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77A06" w14:textId="77777777" w:rsidR="00092BD4" w:rsidRDefault="00092BD4" w:rsidP="00092BD4">
      <w:pPr>
        <w:rPr>
          <w:sz w:val="28"/>
          <w:szCs w:val="28"/>
        </w:rPr>
      </w:pPr>
      <w:r w:rsidRPr="008D3054">
        <w:rPr>
          <w:sz w:val="28"/>
          <w:szCs w:val="28"/>
        </w:rPr>
        <w:t xml:space="preserve">Gut microbiome response to temperature is related to </w:t>
      </w:r>
      <w:r>
        <w:rPr>
          <w:sz w:val="28"/>
          <w:szCs w:val="28"/>
        </w:rPr>
        <w:t>host immunity</w:t>
      </w:r>
      <w:r w:rsidRPr="008D3054">
        <w:rPr>
          <w:sz w:val="28"/>
          <w:szCs w:val="28"/>
        </w:rPr>
        <w:t xml:space="preserve"> in wild a primate</w:t>
      </w:r>
    </w:p>
    <w:p w14:paraId="032DBF91" w14:textId="77777777" w:rsidR="00092BD4" w:rsidRDefault="00092BD4" w:rsidP="00092BD4">
      <w:pPr>
        <w:rPr>
          <w:sz w:val="28"/>
          <w:szCs w:val="28"/>
        </w:rPr>
      </w:pPr>
    </w:p>
    <w:p w14:paraId="590EACE1" w14:textId="591D23FE" w:rsidR="00092BD4" w:rsidRDefault="00092BD4" w:rsidP="00034BF3">
      <w:r>
        <w:t xml:space="preserve">Temperature is a primary driver of adaptation, and species have evolved unique thermal limits that characterize diverse aspects of their behavior and physiology. Rising temperatures due to climate change are predicted to push species beyond their evolved thermal tolerance and challenge them to adapt to hotter climates </w:t>
      </w:r>
      <w:r>
        <w:fldChar w:fldCharType="begin"/>
      </w:r>
      <w:r>
        <w:instrText xml:space="preserve"> ADDIN ZOTERO_ITEM CSL_CITATION {"citationID":"8xiH9gLt","properties":{"formattedCitation":"(Bellard et al., 2012; Bennett et al., 2021)","plainCitation":"(Bellard et al., 2012; Bennett et al., 2021)","noteIndex":0},"citationItems":[{"id":491,"uris":["http://zotero.org/users/13901503/items/YSCHU94H"],"itemData":{"id":491,"type":"article-journal","abstract":"Ecology Letters (2012) 15: 365–377 Abstract Many studies in recent years have investigated the effects of climate change on the future of biodiversity. In this review, we first examine the different possible effects of climate change that can operate at individual, population, species, community, ecosystem and biome scales, notably showing that species can respond to climate change challenges by shifting their climatic niche along three non-exclusive axes: time (e.g. phenology), space (e.g. range) and self (e.g. physiology). Then, we present the principal specificities and caveats of the most common approaches used to estimate future biodiversity at global and sub-continental scales and we synthesise their results. Finally, we highlight several challenges for future research both in theoretical and applied realms. Overall, our review shows that current estimates are very variable, depending on the method, taxonomic group, biodiversity loss metrics, spatial scales and time periods considered. Yet, the majority of models indicate alarming consequences for biodiversity, with the worst-case scenarios leading to extinction rates that would qualify as the sixth mass extinction in the history of the earth.","container-title":"Ecology Letters","DOI":"10.1111/j.1461-0248.2011.01736.x","ISSN":"1461-0248","issue":"4","language":"en","license":"© 2012 Blackwell Publishing Ltd/CNRS","note":"_eprint: https://onlinelibrary.wiley.com/doi/pdf/10.1111/j.1461-0248.2011.01736.x","page":"365-377","source":"Wiley Online Library","title":"Impacts of climate change on the future of biodiversity","volume":"15","author":[{"family":"Bellard","given":"Céline"},{"family":"Bertelsmeier","given":"Cleo"},{"family":"Leadley","given":"Paul"},{"family":"Thuiller","given":"Wilfried"},{"family":"Courchamp","given":"Franck"}],"issued":{"date-parts":[["2012"]]}}},{"id":498,"uris":["http://zotero.org/users/13901503/items/S7CPPLIV"],"itemData":{"id":498,"type":"article-journal","abstract":"Understanding how species’ thermal limits have evolved across the tree of life is central to predicting species’ responses to climate change. Here, using experimentally-derived estimates of thermal tolerance limits for over 2000 terrestrial and aquatic species, we show that most of the variation in thermal tolerance can be attributed to a combination of adaptation to current climatic extremes, and the existence of evolutionary ‘attractors’ that reflect either boundaries or optima in thermal tolerance limits. Our results also reveal deep-time climate legacies in ectotherms, whereby orders that originated in cold paleoclimates have presently lower cold tolerance limits than those with warm thermal ancestry. Conversely, heat tolerance appears unrelated to climate ancestry. Cold tolerance has evolved more quickly than heat tolerance in endotherms and ectotherms. If the past tempo of evolution for upper thermal limits continues, adaptive responses in thermal limits will have limited potential to rescue the large majority of species given the unprecedented rate of contemporary climate change.","container-title":"Nature Communications","DOI":"10.1038/s41467-021-21263-8","ISSN":"2041-1723","issue":"1","journalAbbreviation":"Nat Commun","language":"en","license":"2021 The Author(s)","note":"publisher: Nature Publishing Group","page":"1198","source":"www-nature-com.proxy.lib.umich.edu","title":"The evolution of critical thermal limits of life on Earth","volume":"12","author":[{"family":"Bennett","given":"Joanne M."},{"family":"Sunday","given":"Jennifer"},{"family":"Calosi","given":"Piero"},{"family":"Villalobos","given":"Fabricio"},{"family":"Martínez","given":"Brezo"},{"family":"Molina-Venegas","given":"Rafael"},{"family":"Araújo","given":"Miguel B."},{"family":"Algar","given":"Adam C."},{"family":"Clusella-Trullas","given":"Susana"},{"family":"Hawkins","given":"Bradford A."},{"family":"Keith","given":"Sally A."},{"family":"Kühn","given":"Ingolf"},{"family":"Rahbek","given":"Carsten"},{"family":"Rodríguez","given":"Laura"},{"family":"Singer","given":"Alexander"},{"family":"Morales-Castilla","given":"Ignacio"},{"family":"Olalla-Tárraga","given":"Miguel Ángel"}],"issued":{"date-parts":[["2021",2,19]]}}}],"schema":"https://github.com/citation-style-language/schema/raw/master/csl-citation.json"} </w:instrText>
      </w:r>
      <w:r>
        <w:fldChar w:fldCharType="separate"/>
      </w:r>
      <w:r>
        <w:rPr>
          <w:noProof/>
        </w:rPr>
        <w:t>(Bellard et al., 2012; Bennett et al., 2021)</w:t>
      </w:r>
      <w:r>
        <w:fldChar w:fldCharType="end"/>
      </w:r>
      <w:r>
        <w:t xml:space="preserve">. Efforts to evaluate mechanisms by which species respond and adapt to heat stress have revealed that microbiomes may play a key role in determining the thermal tolerance of their host species </w:t>
      </w:r>
      <w:r>
        <w:fldChar w:fldCharType="begin"/>
      </w:r>
      <w:r>
        <w:instrText xml:space="preserve"> ADDIN ZOTERO_ITEM CSL_CITATION {"citationID":"oKd2vMr3","properties":{"formattedCitation":"(Moghadam et al., 2018; Ziegler et al., 2017)","plainCitation":"(Moghadam et al., 2018; Ziegler et al., 2017)","noteIndex":0},"citationItems":[{"id":2012,"uris":["http://zotero.org/users/13901503/items/FPXKKFBT"],"itemData":{"id":2012,"type":"article-journal","abstract":"Physiological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fldChar w:fldCharType="separate"/>
      </w:r>
      <w:r>
        <w:t>(Moghadam et al., 2018; Ziegler et al., 2017)</w:t>
      </w:r>
      <w:r>
        <w:fldChar w:fldCharType="end"/>
      </w:r>
      <w:r>
        <w:t xml:space="preserve"> and could be important in facilitating adaptation to higher temperatures </w:t>
      </w:r>
      <w:r>
        <w:fldChar w:fldCharType="begin"/>
      </w:r>
      <w:r>
        <w:instrText xml:space="preserve"> ADDIN ZOTERO_ITEM CSL_CITATION {"citationID":"b0f0qx7i","properties":{"formattedCitation":"(Baldassarre et al., 2022; Fontaine &amp; Kohl, 2023; Hector et al., 2022)","plainCitation":"(Baldassarre et al., 2022; Fontaine &amp; Kohl, 2023; Hector et al., 2022)","noteIndex":0},"citationItems":[{"id":2007,"uris":["http://zotero.org/users/13901503/items/HV624X5I"],"itemData":{"id":2007,"type":"article-journal","abstract":"At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fldChar w:fldCharType="separate"/>
      </w:r>
      <w:r>
        <w:rPr>
          <w:noProof/>
        </w:rPr>
        <w:t>(Baldassarre et al., 2022; Fontaine &amp; Kohl, 2023; Hector et al., 2022)</w:t>
      </w:r>
      <w:r>
        <w:fldChar w:fldCharType="end"/>
      </w:r>
      <w:r>
        <w:t xml:space="preserve">. Animals have evolved complex relationships with the microbial communities (i.e., microbiomes) that live on and inside them to the extent that hosts rely on their microbiomes to support diverse aspects of their functioning. Experimental research has shown that heat stress can deplete microbiome communities and has been associated with negative phenotypic, survivorship, and fitness outcomes for the host </w:t>
      </w:r>
      <w:r>
        <w:fldChar w:fldCharType="begin"/>
      </w:r>
      <w:r>
        <w:instrText xml:space="preserve"> ADDIN ZOTERO_ITEM CSL_CITATION {"citationID":"4mSUqt8V","properties":{"formattedCitation":"(Jaramillo &amp; Casta\\uc0\\u241{}eda, 2021; B. Zhang et al., 2019)","plainCitation":"(Jaramillo &amp; Castañeda, 2021; B. Zhang et al., 2019)","noteIndex":0},"citationItems":[{"id":1939,"uris":["http://zotero.org/users/13901503/items/SAKGV5WG"],"itemData":{"id":1939,"type":"article-journal","abstract":"&lt;p&gt;The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fldChar w:fldCharType="separate"/>
      </w:r>
      <w:r w:rsidRPr="00205D31">
        <w:t>(Jaramillo &amp; Castañeda, 2021; B. Zhang et al., 2019)</w:t>
      </w:r>
      <w:r>
        <w:fldChar w:fldCharType="end"/>
      </w:r>
      <w:r>
        <w:t xml:space="preserve">. The gastrointestinal tract is home to a particularly dense microbial community, the gut microbiome, that plays a crucial role in regulating host responses to environmental change </w:t>
      </w:r>
      <w:r>
        <w:fldChar w:fldCharType="begin"/>
      </w:r>
      <w:r>
        <w:instrText xml:space="preserve"> ADDIN ZOTERO_ITEM CSL_CITATION {"citationID":"kSWF8uoc","properties":{"formattedCitation":"(Amato, 2016)","plainCitation":"(Amato, 2016)","noteIndex":0},"citationItems":[{"id":79,"uris":["http://zotero.org/users/13901503/items/C8P3HJIC"],"itemData":{"id":79,"type":"article-journal","abstract":"The mammalian gut is home to a diverse community of microbes. Advances in technology over the past two decades have allowed us to examine this community, the gut microbiota, in more detail, revealing a wide range of influences on host nutrition, health, and behavior. These host-gut microbe interactions appear to shape host plasticity and fitness in a variety of contexts, and therefore represent a key factor missing from existing models of human and non-human primate ecology and evolution. However, current studies of the gut microbiota tend to include limited contextual data or are clinical, making it difficult to directly test broad anthropological hypotheses. Here, I review what is known about the animal gut microbiota and provide examples of how gut microbiota research can be integrated into the study of human and non-human primate ecology and evolution with targeted data collection. Specifically, I examine how the gut microbiota may impact primate diet, energetics, disease resistance, and cognition. While gut microbiota research is proliferating rapidly, especially in the context of humans, there remain important gaps in our understanding of host-gut microbe interactions that will require an anthropological perspective to fill. Likewise, gut microbiota research will be an important tool for filling remaining gaps in anthropological research. Am J Phys Anthropol 159:S196–S215, 2016. © 2016 American Association of Physical Anthropologists","container-title":"American Journal of Physical Anthropology","DOI":"10.1002/ajpa.22908","ISSN":"1096-8644","issue":"S61","language":"en","license":"© 2016 American Association of Physical Anthropologists","note":"_eprint: https://onlinelibrary.wiley.com/doi/pdf/10.1002/ajpa.22908","page":"196-215","source":"Wiley Online Library","title":"Incorporating the gut microbiota into models of human and non-human primate ecology and evolution","volume":"159","author":[{"family":"Amato","given":"Katherine R."}],"issued":{"date-parts":[["2016"]]}}}],"schema":"https://github.com/citation-style-language/schema/raw/master/csl-citation.json"} </w:instrText>
      </w:r>
      <w:r>
        <w:fldChar w:fldCharType="separate"/>
      </w:r>
      <w:r>
        <w:rPr>
          <w:noProof/>
        </w:rPr>
        <w:t>(Amato, 2016)</w:t>
      </w:r>
      <w:r>
        <w:fldChar w:fldCharType="end"/>
      </w:r>
      <w:r>
        <w:t xml:space="preserve">, making it an ideal system to explore how species may respond to rising temperatures. </w:t>
      </w:r>
    </w:p>
    <w:p w14:paraId="20E0F3EA" w14:textId="77777777" w:rsidR="00092BD4" w:rsidRDefault="00092BD4" w:rsidP="00092BD4">
      <w:pPr>
        <w:ind w:firstLine="720"/>
      </w:pPr>
    </w:p>
    <w:p w14:paraId="0CBF1592" w14:textId="583D0F12" w:rsidR="00034BF3" w:rsidRDefault="00092BD4" w:rsidP="00034BF3">
      <w:r>
        <w:t xml:space="preserve">The gut microbiome is sensitive to ambient temperature, and compositional changes associated with high temperatures may harm the host by reducing the gut microbiome’s ability to carry out essential functions. For example, heat stress has been shown to alter the abundances of specific microbial taxa </w:t>
      </w:r>
      <w:r>
        <w:fldChar w:fldCharType="begin"/>
      </w:r>
      <w:r>
        <w:instrText xml:space="preserve"> ADDIN ZOTERO_ITEM CSL_CITATION {"citationID":"CW8A05XN","properties":{"formattedCitation":"(Sepulveda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r>
        <w:t xml:space="preserve"> </w:t>
      </w:r>
      <w:r w:rsidR="00034BF3">
        <w:t xml:space="preserve">and is associated with changes in host digestion and metabolism </w:t>
      </w:r>
      <w:r w:rsidR="00034BF3">
        <w:fldChar w:fldCharType="begin"/>
      </w:r>
      <w:r w:rsidR="00034BF3">
        <w:instrText xml:space="preserve"> ADDIN ZOTERO_ITEM CSL_CITATION {"citationID":"GePsuZvw","properties":{"formattedCitation":"(Fontaine et al., 2018; Tajima et al., 2007; Zhu et al., 2019)","plainCitation":"(Fontaine et al., 2018; Tajima et al., 2007; Zhu et al., 2019)","noteIndex":0},"citationItems":[{"id":1909,"uris":["http://zotero.org/users/13901503/items/Y6B943CR"],"itemData":{"id":1909,"type":"article-journal","abstract":"Environmental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034BF3">
        <w:fldChar w:fldCharType="separate"/>
      </w:r>
      <w:r w:rsidR="00034BF3">
        <w:rPr>
          <w:noProof/>
        </w:rPr>
        <w:t>(Fontaine et al., 2018; Tajima et al., 2007; Zhu et al., 2019)</w:t>
      </w:r>
      <w:r w:rsidR="00034BF3">
        <w:fldChar w:fldCharType="end"/>
      </w:r>
      <w:r w:rsidR="00034BF3">
        <w:t>.</w:t>
      </w:r>
      <w:r w:rsidR="00034BF3">
        <w:t xml:space="preserve"> </w:t>
      </w:r>
      <w:r w:rsidR="00034BF3">
        <w:t>These shifts may be linked to changes in the gut’s redox environment</w:t>
      </w:r>
      <w:r w:rsidR="00034BF3">
        <w:t xml:space="preserve">– </w:t>
      </w:r>
      <w:r w:rsidR="00034BF3">
        <w:t>the balance between the production and elimination of reactive oxygen species (ROS).</w:t>
      </w:r>
      <w:r w:rsidR="00034BF3" w:rsidRPr="00034BF3">
        <w:t xml:space="preserve"> </w:t>
      </w:r>
      <w:r w:rsidR="00034BF3">
        <w:t>Heat stress can lead to an accumulation of ROS</w:t>
      </w:r>
      <w:r w:rsidR="00034BF3">
        <w:t xml:space="preserve"> </w:t>
      </w:r>
      <w:r w:rsidR="00762AD7">
        <w:fldChar w:fldCharType="begin"/>
      </w:r>
      <w:r w:rsidR="00762AD7">
        <w:instrText xml:space="preserve"> ADDIN ZOTERO_ITEM CSL_CITATION {"citationID":"tg7ZNnJl","properties":{"formattedCitation":"(Lin et al., 2006)","plainCitation":"(Lin et al., 2006)","noteIndex":0},"citationItems":[{"id":3669,"uris":["http://zotero.org/users/13901503/items/BF6XKP7S"],"itemData":{"id":3669,"type":"article-journal","abstract":"The stress responses and possible oxidative damage in plasma, liver and heart were investigated in broiler chickens acutely exposed to high temperature. Eighty 5-week old broiler chickens were exposed to 32°C for 6h. The extent of lipid peroxidation, activities of superoxide dismutase and total antioxidant power in plasma, liver and heart tissues were investigated. Meanwhile, the blood metabolites such as glucose, urate, triiodothyronine, thyroxine, corticosterone, ceruloplasmin and creatine kinase were measured before and after 3 and 6h of heat exposure. The results showed that oxidative stress could be induced in 5-week old broiler chickens by acute heat exposure (32°C, 6h). The results suggest that the elevated body temperature can induce the metabolic changes that are involved in the induction of oxidative stress. The liver is more susceptible to oxidative stress than heart during acute heat exposure in broiler chickens. The oxidative stress should be considered as part of the stress response of broiler chickens to heat exposure.","container-title":"Comparative Biochemistry and Physiology Part A: Molecular &amp; Integrative Physiology","DOI":"10.1016/j.cbpa.2006.01.032","ISSN":"1095-6433","issue":"1","journalAbbreviation":"Comparative Biochemistry and Physiology Part A: Molecular &amp; Integrative Physiology","page":"11-17","source":"ScienceDirect","title":"Acute heat stress induces oxidative stress in broiler chickens","volume":"144","author":[{"family":"Lin","given":"Hai"},{"family":"Decuypere","given":"Eddy"},{"family":"Buyse","given":"Johan"}],"issued":{"date-parts":[["2006",5,1]]}}}],"schema":"https://github.com/citation-style-language/schema/raw/master/csl-citation.json"} </w:instrText>
      </w:r>
      <w:r w:rsidR="00762AD7">
        <w:fldChar w:fldCharType="separate"/>
      </w:r>
      <w:r w:rsidR="00762AD7">
        <w:rPr>
          <w:noProof/>
        </w:rPr>
        <w:t>(Lin et al., 2006)</w:t>
      </w:r>
      <w:r w:rsidR="00762AD7">
        <w:fldChar w:fldCharType="end"/>
      </w:r>
      <w:r w:rsidR="00034BF3">
        <w:t>, which are toxic</w:t>
      </w:r>
      <w:r w:rsidR="00034BF3">
        <w:t xml:space="preserve"> </w:t>
      </w:r>
      <w:r w:rsidR="00034BF3">
        <w:t xml:space="preserve">and can cause extensive damage to DNA and </w:t>
      </w:r>
      <w:r w:rsidR="00034BF3">
        <w:t xml:space="preserve">lipid </w:t>
      </w:r>
      <w:r w:rsidR="00034BF3">
        <w:t xml:space="preserve">peroxidation </w:t>
      </w:r>
      <w:r w:rsidR="00034BF3">
        <w:t xml:space="preserve">leading to cell death </w:t>
      </w:r>
      <w:r w:rsidR="00034BF3">
        <w:fldChar w:fldCharType="begin"/>
      </w:r>
      <w:r w:rsidR="00034BF3">
        <w:instrText xml:space="preserve"> ADDIN ZOTERO_ITEM CSL_CITATION {"citationID":"x4HkqTJT","properties":{"formattedCitation":"(Dodson et al., 2019)","plainCitation":"(Dodson et al., 2019)","noteIndex":0},"citationItems":[{"id":3578,"uris":["http://zotero.org/users/13901503/items/P49Z4HNB"],"itemData":{"id":3578,"type":"article-journal","abstract":"The transcription factor nuclear factor erythroid 2-related factor 2 (NRF2) is a key regulator of the cellular antioxidant response, controlling the expression of genes that counteract oxidative and electrophilic stresses. Many pathological conditions are linked to imbalances in redox homeostasis, illustrating the important role of antioxidant defense systems in preventing the pathogenic effects associated with the accumulation of reactive species. In particular, it is becoming increasingly apparent that the accumulation of lipid peroxides has an important role in driving the pathogenesis of multiple disease states. A key example of this is the recent discovery of a novel form of cell death termed ferroptosis. Ferroptosis is an iron-dependent, lipid peroxidation-driven cell death cascade that has become a key target in the development of anti-cancer therapies, as well as the prevention of neurodegenerative and cardiovascular diseases. In this review, we will provide a brief overview of lipid peroxidation, as well as key components involved in the ferroptotic cascade. We will also highlight the role of the NRF2 signaling pathway in mediating lipid peroxidation and ferroptosis, focusing on established NRF2 target genes that mitigate these pathways, as well as the relevance of the NRF2-lipid peroxidation-ferroptosis axis in disease.","collection-title":"Lipoxidation targets: from basic mechanisms to pathophysiology","container-title":"Redox Biology","DOI":"10.1016/j.redox.2019.101107","ISSN":"2213-2317","journalAbbreviation":"Redox Biology","page":"101107","source":"ScienceDirect","title":"NRF2 plays a critical role in mitigating lipid peroxidation and ferroptosis","volume":"23","author":[{"family":"Dodson","given":"Matthew"},{"family":"Castro-Portuguez","given":"Raul"},{"family":"Zhang","given":"Donna D."}],"issued":{"date-parts":[["2019",5,1]]}}}],"schema":"https://github.com/citation-style-language/schema/raw/master/csl-citation.json"} </w:instrText>
      </w:r>
      <w:r w:rsidR="00034BF3">
        <w:fldChar w:fldCharType="separate"/>
      </w:r>
      <w:r w:rsidR="00034BF3">
        <w:rPr>
          <w:noProof/>
        </w:rPr>
        <w:t>(Dodson et al., 2019)</w:t>
      </w:r>
      <w:r w:rsidR="00034BF3">
        <w:fldChar w:fldCharType="end"/>
      </w:r>
      <w:r w:rsidR="00034BF3">
        <w:t>.</w:t>
      </w:r>
      <w:r w:rsidR="00034BF3">
        <w:t xml:space="preserve"> </w:t>
      </w:r>
      <w:r w:rsidR="00034BF3">
        <w:t xml:space="preserve">Redox imbalance in the gut can </w:t>
      </w:r>
      <w:r w:rsidR="00034BF3">
        <w:t xml:space="preserve">then </w:t>
      </w:r>
      <w:r w:rsidR="00034BF3">
        <w:t xml:space="preserve">compromise the epithelial barrier by damaging tight junction proteins, leading to immune activation </w:t>
      </w:r>
      <w:r w:rsidR="00034BF3">
        <w:t>due to</w:t>
      </w:r>
      <w:r w:rsidR="00034BF3">
        <w:t xml:space="preserve"> systemic exposure to </w:t>
      </w:r>
      <w:r w:rsidR="00034BF3">
        <w:t xml:space="preserve">gut microbes and their metabolites (). </w:t>
      </w:r>
      <w:r w:rsidR="00034BF3">
        <w:t xml:space="preserve">Notably, heat stress has been directly implicated in epithelial damage </w:t>
      </w:r>
      <w:r w:rsidR="00034BF3">
        <w:fldChar w:fldCharType="begin"/>
      </w:r>
      <w:r w:rsidR="00034BF3">
        <w:instrText xml:space="preserve"> ADDIN ZOTERO_ITEM CSL_CITATION {"citationID":"1QOhHM0S","properties":{"formattedCitation":"(Lambert et al., 2002)","plainCitation":"(Lambert et al., 2002)","noteIndex":0},"citationItems":[{"id":3191,"uris":["http://zotero.org/users/13901503/items/EJNDQDMH"],"itemData":{"id":3191,"type":"article-journal","abstract":"The purpose of this study was to characterize intestinal permeability changes over a range of physiologically relevant body temperatures in vivo and in vitro. Initially, FITC-dextran (4,000 Da), a large fluorescent molecule, was loaded into the small intestine of anesthetized rats. The rats were then maintained at </w:instrText>
      </w:r>
      <w:r w:rsidR="00034BF3">
        <w:rPr>
          <w:rFonts w:ascii="Cambria Math" w:hAnsi="Cambria Math" w:cs="Cambria Math"/>
        </w:rPr>
        <w:instrText>∼</w:instrText>
      </w:r>
      <w:r w:rsidR="00034BF3">
        <w:instrText xml:space="preserve">37°C or heated over 90 min to a core body temperature of </w:instrText>
      </w:r>
      <w:r w:rsidR="00034BF3">
        <w:rPr>
          <w:rFonts w:ascii="Cambria Math" w:hAnsi="Cambria Math" w:cs="Cambria Math"/>
        </w:rPr>
        <w:instrText>∼</w:instrText>
      </w:r>
      <w:r w:rsidR="00034BF3">
        <w:instrText xml:space="preserve">41, </w:instrText>
      </w:r>
      <w:r w:rsidR="00034BF3">
        <w:rPr>
          <w:rFonts w:ascii="Cambria Math" w:hAnsi="Cambria Math" w:cs="Cambria Math"/>
        </w:rPr>
        <w:instrText>∼</w:instrText>
      </w:r>
      <w:r w:rsidR="00034BF3">
        <w:instrText xml:space="preserve">41.5, or </w:instrText>
      </w:r>
      <w:r w:rsidR="00034BF3">
        <w:rPr>
          <w:rFonts w:ascii="Cambria Math" w:hAnsi="Cambria Math" w:cs="Cambria Math"/>
        </w:rPr>
        <w:instrText>∼</w:instrText>
      </w:r>
      <w:r w:rsidR="00034BF3">
        <w:instrText xml:space="preserve">42.5°C. Permeability was greater in the 42.5°C group compared with the 37, 41, or 41.5°C groups. Histological analysis revealed intestinal epithelial damage in heated groups. Everted intestinal sacs were then used to further characterize hyperthermia-induced intestinal permeability and to study the potential role of oxidative and nitrosative stress. Increased permeability to 4,000-Da FITC-dextran in both small intestinal and colonic sacs was observed at a temperature of 41.5–42°C compared with 37°C, along with widespread intestinal epithelial damage. Administration of antioxidant enzyme mimics or a nitric oxide synthase inhibitor did not reduce permeability due to heat stress, and tissue concentrations of a lipid peroxidation product were not altered by heat stress, suggesting that oxidative and nitrosative stress were not likely mediators of this phenomenon in vitro. In conclusion, hyperthermia produced increased permeability and marked intestinal epithelial damage both in vivo and in vitro, suggesting that thermal disruption of epithelial membranes contributes to the intestinal barrier dysfunction manifested with heat stress.","container-title":"Journal of Applied Physiology","DOI":"10.1152/japplphysiol.00787.2001","ISSN":"8750-7587","issue":"4","note":"publisher: American Physiological Society","page":"1750-1761","source":"journals.physiology.org (Atypon)","title":"Selected Contribution: Hyperthermia-induced intestinal  permeability and the role of oxidative  and nitrosative stress","title-short":"Selected Contribution","volume":"92","author":[{"family":"Lambert","given":"G. P."},{"family":"Gisolfi","given":"C. V."},{"family":"Berg","given":"D. J."},{"family":"Moseley","given":"P. L."},{"family":"Oberley","given":"L. W."},{"family":"Kregel","given":"K. C."}],"issued":{"date-parts":[["2002",4]]}}}],"schema":"https://github.com/citation-style-language/schema/raw/master/csl-citation.json"} </w:instrText>
      </w:r>
      <w:r w:rsidR="00034BF3">
        <w:fldChar w:fldCharType="separate"/>
      </w:r>
      <w:r w:rsidR="00034BF3">
        <w:rPr>
          <w:noProof/>
        </w:rPr>
        <w:t>(Lambert et al., 2002)</w:t>
      </w:r>
      <w:r w:rsidR="00034BF3">
        <w:fldChar w:fldCharType="end"/>
      </w:r>
      <w:r w:rsidR="00034BF3">
        <w:t xml:space="preserve"> and is associated with changes in gut microbiome composition </w:t>
      </w:r>
      <w:r w:rsidR="00034BF3">
        <w:fldChar w:fldCharType="begin"/>
      </w:r>
      <w:r w:rsidR="00034BF3">
        <w:instrText xml:space="preserve"> ADDIN ZOTERO_ITEM CSL_CITATION {"citationID":"8vD9oF4J","properties":{"formattedCitation":"(Xia et al., 2022)","plainCitation":"(Xia et al., 2022)","noteIndex":0},"citationItems":[{"id":3294,"uris":["http://zotero.org/users/13901503/items/K5DSCTE2"],"itemData":{"id":3294,"type":"article-journal","abstract":"Heat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rsidR="00034BF3">
        <w:fldChar w:fldCharType="separate"/>
      </w:r>
      <w:r w:rsidR="00034BF3">
        <w:rPr>
          <w:noProof/>
        </w:rPr>
        <w:t>(Xia et al., 2022)</w:t>
      </w:r>
      <w:r w:rsidR="00034BF3">
        <w:fldChar w:fldCharType="end"/>
      </w:r>
      <w:r w:rsidR="00034BF3">
        <w:t xml:space="preserve"> and immune cell recruitment </w:t>
      </w:r>
      <w:r w:rsidR="00034BF3">
        <w:fldChar w:fldCharType="begin"/>
      </w:r>
      <w:r w:rsidR="00034BF3">
        <w:instrText xml:space="preserve"> ADDIN ZOTERO_ITEM CSL_CITATION {"citationID":"2RpdLl5x","properties":{"formattedCitation":"(Koch et al., 2019)","plainCitation":"(Koch et al., 2019)","noteIndex":0},"citationItems":[{"id":430,"uris":["http://zotero.org/users/13901503/items/SNI7JEF9"],"itemData":{"id":430,"type":"article-journal","abstract":"High ambient temperature has multiple potential effects on the organism such as hyperthermia, endotoxemia, and/or systemic inflammation. However, it is often difficult to discriminate between cause and consequence of phenotypic effects, such as the indirect influence of heat stress via reduced food intake. Lactating dairy cows are a particularly sensitive model to examine the effects of heat stress due to their intensive metabolic heat production and small surface:volume ratio. Results from this model show heat stress directly induced a so-far unknown infiltration of yet uncategorized cells into the mucosa and submucosa of the jejunum. Due to a pair-feeding design, we can exclude this effect being a consequence of the concurrent heat-induced reduction in feed intake. Isolation and characterization of the infiltrating cells using laser capture microdissection and RNA sequencing indicated a myeloic origin and macrophage-like phenotype. Furthermore, targeted transcriptome analyses provided evidence of activated immune- and phagocytosis-related pathways with LPS and cytokines as upstream regulators directly associated with heat stress. Finally, we obtained indication that heat stress may directly alter jejunal tight junction proteins suggesting an impaired intestinal barrier. The penetration of toxic and bacterial compounds during heat stress may have triggered a modulated immune repertoire and induced an antioxidative defense mechanism to maintain homeostasis between commensal bacteria and the jejunal immune system. Our bovine model indicates direct effects of heat stress on the jejunum of mammals already at moderately elevated ambient temperature. These results need to be considered when developing concepts to combat the negative consequences of heat stress.","container-title":"Proceedings of the National Academy of Sciences","DOI":"10.1073/pnas.1820130116","issue":"21","note":"publisher: Proceedings of the National Academy of Sciences","page":"10333-10338","source":"www-pnas-org.proxy.lib.umich.edu (Atypon)","title":"Heat stress directly impairs gut integrity and recruits distinct immune cell populations into the bovine intestine","volume":"116","author":[{"family":"Koch","given":"Franziska"},{"family":"Thom","given":"Ulrike"},{"family":"Albrecht","given":"Elke"},{"family":"Weikard","given":"Rosemarie"},{"family":"Nolte","given":"Wietje"},{"family":"Kuhla","given":"Björn"},{"family":"Kuehn","given":"Christa"}],"issued":{"date-parts":[["2019",5,21]]}}}],"schema":"https://github.com/citation-style-language/schema/raw/master/csl-citation.json"} </w:instrText>
      </w:r>
      <w:r w:rsidR="00034BF3">
        <w:fldChar w:fldCharType="separate"/>
      </w:r>
      <w:r w:rsidR="00034BF3">
        <w:rPr>
          <w:noProof/>
        </w:rPr>
        <w:t>(Koch et al., 2019)</w:t>
      </w:r>
      <w:r w:rsidR="00034BF3">
        <w:fldChar w:fldCharType="end"/>
      </w:r>
      <w:r w:rsidR="00034BF3">
        <w:t xml:space="preserve"> likely due to the accumulation of ROS at high temperature. The resulting increased immune activation </w:t>
      </w:r>
      <w:r w:rsidR="00034BF3">
        <w:t xml:space="preserve">may </w:t>
      </w:r>
      <w:r w:rsidR="00034BF3">
        <w:t>continue to exacerbate redox imbalance because activated immune cells, particularly phagocytes, release ROS as part of the inflammatory response ().</w:t>
      </w:r>
      <w:r w:rsidR="00034BF3">
        <w:t xml:space="preserve"> Gut microbes also play an important role in maintaining redox balance in the gut through antioxidant metabolism and redox recycling </w:t>
      </w:r>
      <w:r w:rsidR="00034BF3">
        <w:fldChar w:fldCharType="begin"/>
      </w:r>
      <w:r w:rsidR="00034BF3">
        <w:instrText xml:space="preserve"> ADDIN ZOTERO_ITEM CSL_CITATION {"citationID":"yxSWjnfP","properties":{"formattedCitation":"(Kunst et al., 2023; Sun et al., 2024; Yardeni et al., 2019)","plainCitation":"(Kunst et al., 2023; Sun et al., 2024; Yardeni et al., 2019)","noteIndex":0},"citationItems":[{"id":3255,"uris":["http://zotero.org/users/13901503/items/FQ9APYWZ"],"itemData":{"id":3255,"type":"article-journal","abstract":"The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rsidR="00034BF3">
        <w:fldChar w:fldCharType="separate"/>
      </w:r>
      <w:r w:rsidR="00034BF3">
        <w:rPr>
          <w:noProof/>
        </w:rPr>
        <w:t>(Kunst et al., 2023; Sun et al., 2024; Yardeni et al., 2019)</w:t>
      </w:r>
      <w:r w:rsidR="00034BF3">
        <w:fldChar w:fldCharType="end"/>
      </w:r>
      <w:r w:rsidR="00034BF3">
        <w:t xml:space="preserve"> and reduction in these functions has been associated with compositional changes during heat stress </w:t>
      </w:r>
      <w:r w:rsidR="00034BF3">
        <w:fldChar w:fldCharType="begin"/>
      </w:r>
      <w:r w:rsidR="00ED7040">
        <w:instrText xml:space="preserve"> ADDIN ZOTERO_ITEM CSL_CITATION {"citationID":"5jiQMwyG","properties":{"formattedCitation":"(Fang et al., 2023; Liu, Ma, et al., 2023)","plainCitation":"(Fang et al., 2023; Liu, Ma,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rsidR="00034BF3">
        <w:fldChar w:fldCharType="separate"/>
      </w:r>
      <w:r w:rsidR="00ED7040">
        <w:rPr>
          <w:noProof/>
        </w:rPr>
        <w:t>(Fang et al., 2023; Liu, Ma, et al., 2023)</w:t>
      </w:r>
      <w:r w:rsidR="00034BF3">
        <w:fldChar w:fldCharType="end"/>
      </w:r>
      <w:r w:rsidR="00034BF3">
        <w:t xml:space="preserve">. </w:t>
      </w:r>
      <w:r w:rsidR="00034BF3">
        <w:t xml:space="preserve">Thus, ROS </w:t>
      </w:r>
      <w:r w:rsidR="00034BF3">
        <w:t xml:space="preserve">accumulation </w:t>
      </w:r>
      <w:r w:rsidR="00762AD7">
        <w:t>init</w:t>
      </w:r>
      <w:r w:rsidR="00CC19C4">
        <w:t>iat</w:t>
      </w:r>
      <w:r w:rsidR="00762AD7">
        <w:t xml:space="preserve">ed by heat stress </w:t>
      </w:r>
      <w:r w:rsidR="00CC19C4">
        <w:t>likely</w:t>
      </w:r>
      <w:r w:rsidR="00034BF3">
        <w:t xml:space="preserve"> disrupt</w:t>
      </w:r>
      <w:r w:rsidR="00762AD7">
        <w:t>s</w:t>
      </w:r>
      <w:r w:rsidR="00034BF3">
        <w:t xml:space="preserve"> microbiome composition</w:t>
      </w:r>
      <w:r w:rsidR="00762AD7">
        <w:t xml:space="preserve"> which may further exacerbate redox imbalance by compromising </w:t>
      </w:r>
      <w:r w:rsidR="00CC19C4">
        <w:t>ROS</w:t>
      </w:r>
      <w:r w:rsidR="00762AD7">
        <w:t xml:space="preserve"> neutralizing functions. </w:t>
      </w:r>
    </w:p>
    <w:p w14:paraId="5AC5FCE1" w14:textId="77777777" w:rsidR="00034BF3" w:rsidRDefault="00034BF3" w:rsidP="00034BF3">
      <w:pPr>
        <w:ind w:firstLine="720"/>
      </w:pPr>
    </w:p>
    <w:p w14:paraId="4CF38064" w14:textId="781E7EFB" w:rsidR="00034BF3" w:rsidRDefault="00034BF3" w:rsidP="00762AD7">
      <w:r>
        <w:t>Redox imbalance may drive changes in microbiome composition during heat stress because</w:t>
      </w:r>
      <w:r w:rsidR="00762AD7">
        <w:t xml:space="preserve"> oxygen gradients are an important determinant of community structure </w:t>
      </w:r>
      <w:r w:rsidR="00762AD7">
        <w:fldChar w:fldCharType="begin"/>
      </w:r>
      <w:r w:rsidR="00762AD7">
        <w:instrText xml:space="preserve"> ADDIN ZOTERO_ITEM CSL_CITATION {"citationID":"CVbd1gER","properties":{"formattedCitation":"(Albenberg et al., 2014; Chikina &amp; Matic Vignjevic, 2021)","plainCitation":"(Albenberg et al., 2014; Chikina &amp; Matic Vignjevic, 2021)","noteIndex":0},"citationItems":[{"id":3399,"uris":["http://zotero.org/users/13901503/items/9SHPRSI6"],"itemData":{"id":3399,"type":"article-journal","abstract":"Background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D."}],"issued":{"date-parts":[["2014",11,1]]}}},{"id":3675,"uris":["http://zotero.org/users/13901503/items/9R2YBLHZ"],"itemData":{"id":3675,"type":"article-journal","abstract":"The gastrointestinal system is highly compartmentalized, where individual segments perform separate tasks to achieve common physiological goals. The gut luminal content, chyme, changes its chemical and physical properties as it passes through different intestinal segments. Together, the chyme composition, mucus, pH and oxygen gradients along the gut create a variety of highly distinct ecological niches that form, maintain and reinforce the symbiosis with the particular microbiota. Hosting different microbiota members at specific locations creates one of the most complex and sophisticated gradient – gradient of the local ecosystems that live and interact with each other, providing advantages and challenges to the host and creating our microbial self. Here, we discuss how intestinal luminal gradients are created and maintained in homeostasis, their role in a correct microbiota positioning, and their change upon inflammation and cancer.","collection-title":"Quantitative Cell and Developmental Biology","container-title":"Cells &amp; Development","DOI":"10.1016/j.cdev.2021.203712","ISSN":"2667-2901","journalAbbreviation":"Cells &amp; Development","page":"203712","source":"ScienceDirect","title":"At the right time in the right place: How do luminal gradients position the microbiota along the gut?","title-short":"At the right time in the right place","volume":"168","author":[{"family":"Chikina","given":"Aleksandra"},{"family":"Matic Vignjevic","given":"Danijela"}],"issued":{"date-parts":[["2021",12,1]]}}}],"schema":"https://github.com/citation-style-language/schema/raw/master/csl-citation.json"} </w:instrText>
      </w:r>
      <w:r w:rsidR="00762AD7">
        <w:fldChar w:fldCharType="separate"/>
      </w:r>
      <w:r w:rsidR="00762AD7">
        <w:rPr>
          <w:noProof/>
        </w:rPr>
        <w:t>(Albenberg et al., 2014; Chikina &amp; Matic Vignjevic, 2021)</w:t>
      </w:r>
      <w:r w:rsidR="00762AD7">
        <w:fldChar w:fldCharType="end"/>
      </w:r>
      <w:r w:rsidR="00762AD7">
        <w:t xml:space="preserve">. The distal colon is typically a hypoxic environment that is </w:t>
      </w:r>
      <w:r w:rsidR="00762AD7">
        <w:lastRenderedPageBreak/>
        <w:t xml:space="preserve">dominated by obligate anaerobes primarily from the Firmicutes and </w:t>
      </w:r>
      <w:proofErr w:type="spellStart"/>
      <w:r w:rsidR="00762AD7" w:rsidRPr="00762AD7">
        <w:t>Bacteroidota</w:t>
      </w:r>
      <w:proofErr w:type="spellEnd"/>
      <w:r w:rsidR="00762AD7">
        <w:t xml:space="preserve"> phyla. T</w:t>
      </w:r>
      <w:r w:rsidR="00762AD7">
        <w:t xml:space="preserve">hese taxa are </w:t>
      </w:r>
      <w:r w:rsidR="00762AD7">
        <w:t>especially</w:t>
      </w:r>
      <w:r w:rsidR="00762AD7">
        <w:t xml:space="preserve"> vulnerable to redox disruption due to their limited enzymatic defenses against reactive oxygen specie</w:t>
      </w:r>
      <w:r w:rsidR="00762AD7">
        <w:t xml:space="preserve">s, unlike facultative anaerobes, </w:t>
      </w:r>
      <w:r w:rsidR="00762AD7">
        <w:t xml:space="preserve">which are better equipped to tolerate </w:t>
      </w:r>
      <w:r w:rsidR="00762AD7">
        <w:t xml:space="preserve">oxygen fluctuations </w:t>
      </w:r>
      <w:r w:rsidR="00762AD7">
        <w:fldChar w:fldCharType="begin"/>
      </w:r>
      <w:r w:rsidR="00762AD7">
        <w:instrText xml:space="preserve"> ADDIN ZOTERO_ITEM CSL_CITATION {"citationID":"li75gYnN","properties":{"formattedCitation":"(Z. Lu et al., 2018; McCord et al., 1971)","plainCitation":"(Z. 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rsidR="00762AD7">
        <w:fldChar w:fldCharType="separate"/>
      </w:r>
      <w:r w:rsidR="00762AD7">
        <w:rPr>
          <w:noProof/>
        </w:rPr>
        <w:t>(Z. Lu et al., 2018; McCord et al., 1971)</w:t>
      </w:r>
      <w:r w:rsidR="00762AD7">
        <w:fldChar w:fldCharType="end"/>
      </w:r>
      <w:r w:rsidR="00762AD7">
        <w:t xml:space="preserve">. </w:t>
      </w:r>
      <w:r w:rsidR="00762AD7">
        <w:t xml:space="preserve">Across a variety of vertebrate species, heat stress is consistently associated with declines in Firmicutes and </w:t>
      </w:r>
      <w:proofErr w:type="spellStart"/>
      <w:r w:rsidR="00762AD7">
        <w:t>Bacteroidota</w:t>
      </w:r>
      <w:proofErr w:type="spellEnd"/>
      <w:r w:rsidR="00762AD7">
        <w:t xml:space="preserve"> </w:t>
      </w:r>
      <w:proofErr w:type="spellStart"/>
      <w:r w:rsidR="00762AD7">
        <w:t>abudnances</w:t>
      </w:r>
      <w:proofErr w:type="spellEnd"/>
      <w:r w:rsidR="00762AD7">
        <w:t xml:space="preserve"> </w:t>
      </w:r>
      <w:r w:rsidR="00762AD7">
        <w:t xml:space="preserve">[reptiles, </w:t>
      </w:r>
      <w:r w:rsidR="00762AD7">
        <w:fldChar w:fldCharType="begin"/>
      </w:r>
      <w:r w:rsidR="00762AD7">
        <w:instrText xml:space="preserve"> ADDIN ZOTERO_ITEM CSL_CITATION {"citationID":"vuOg0hY0","properties":{"formattedCitation":"(Bestion et al., 2017)","plainCitation":"(Bestion et al., 2017)","noteIndex":0},"citationItems":[{"id":1961,"uris":["http://zotero.org/users/13901503/items/UL2CLBKR"],"itemData":{"id":1961,"type":"article-journal","abstract":"Climate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sidR="00762AD7">
        <w:rPr>
          <w:rFonts w:ascii="Arial" w:hAnsi="Arial" w:cs="Arial"/>
        </w:rPr>
        <w:instrText> </w:instrText>
      </w:r>
      <w:r w:rsidR="00762AD7">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Gesu","given":"Lucie"},{"family":"Richard","given":"Murielle"},{"family":"White","given":"Joël"},{"family":"Cote","given":"Julien"}],"issued":{"date-parts":[["2017",5,8]]}}}],"schema":"https://github.com/citation-style-language/schema/raw/master/csl-citation.json"} </w:instrText>
      </w:r>
      <w:r w:rsidR="00762AD7">
        <w:fldChar w:fldCharType="separate"/>
      </w:r>
      <w:r w:rsidR="00762AD7">
        <w:rPr>
          <w:noProof/>
        </w:rPr>
        <w:t>(Bestion et al., 2017)</w:t>
      </w:r>
      <w:r w:rsidR="00762AD7">
        <w:fldChar w:fldCharType="end"/>
      </w:r>
      <w:r w:rsidR="00762AD7" w:rsidRPr="00762AD7">
        <w:t xml:space="preserve"> </w:t>
      </w:r>
      <w:r w:rsidR="00762AD7">
        <w:fldChar w:fldCharType="begin"/>
      </w:r>
      <w:r w:rsidR="00762AD7">
        <w:instrText xml:space="preserve"> ADDIN ZOTERO_ITEM CSL_CITATION {"citationID":"ESpHgtOu","properties":{"formattedCitation":"(Moeller et al., 2020)","plainCitation":"(Moeller et al., 2020)","noteIndex":0},"citationItems":[{"id":1022,"uris":["http://zotero.org/users/13901503/items/BYK4NQF8"],"itemData":{"id":1022,"type":"article-journal","abstract":"Vertebrates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762AD7">
        <w:fldChar w:fldCharType="separate"/>
      </w:r>
      <w:r w:rsidR="00762AD7">
        <w:rPr>
          <w:noProof/>
        </w:rPr>
        <w:t>(Moeller et al., 2020)</w:t>
      </w:r>
      <w:r w:rsidR="00762AD7">
        <w:fldChar w:fldCharType="end"/>
      </w:r>
      <w:r w:rsidR="00762AD7">
        <w:t xml:space="preserve">, birds </w:t>
      </w:r>
      <w:r w:rsidR="00762AD7">
        <w:fldChar w:fldCharType="begin"/>
      </w:r>
      <w:r w:rsidR="00762AD7">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762AD7">
        <w:fldChar w:fldCharType="separate"/>
      </w:r>
      <w:r w:rsidR="00762AD7">
        <w:rPr>
          <w:noProof/>
        </w:rPr>
        <w:t>(Zhu et al., 2019)</w:t>
      </w:r>
      <w:r w:rsidR="00762AD7">
        <w:fldChar w:fldCharType="end"/>
      </w:r>
      <w:r w:rsidR="00762AD7">
        <w:t xml:space="preserve">, mammals </w:t>
      </w:r>
      <w:r w:rsidR="00762AD7">
        <w:fldChar w:fldCharType="begin"/>
      </w:r>
      <w:r w:rsidR="00762AD7">
        <w:instrText xml:space="preserve"> ADDIN ZOTERO_ITEM CSL_CITATION {"citationID":"RkOD0Ofz","properties":{"formattedCitation":"(Bai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rsidR="00762AD7">
        <w:fldChar w:fldCharType="separate"/>
      </w:r>
      <w:r w:rsidR="00762AD7">
        <w:rPr>
          <w:noProof/>
        </w:rPr>
        <w:t>(Bai et al., 2022)</w:t>
      </w:r>
      <w:r w:rsidR="00762AD7">
        <w:fldChar w:fldCharType="end"/>
      </w:r>
      <w:r w:rsidR="00762AD7">
        <w:t>]</w:t>
      </w:r>
      <w:r w:rsidR="00762AD7">
        <w:t xml:space="preserve"> </w:t>
      </w:r>
      <w:r w:rsidR="00762AD7">
        <w:t>suggesting that elevated temperatures may alter gut conditions in ways that disproportionately affect these groups.</w:t>
      </w:r>
      <w:r w:rsidR="00762AD7">
        <w:t xml:space="preserve"> In contrast, </w:t>
      </w:r>
      <w:r w:rsidR="00762AD7">
        <w:t>heat stress is often linked to an increase in Proteobacteria</w:t>
      </w:r>
      <w:r w:rsidR="00762AD7">
        <w:t xml:space="preserve"> </w:t>
      </w:r>
      <w:r w:rsidR="00762AD7">
        <w:fldChar w:fldCharType="begin"/>
      </w:r>
      <w:r w:rsidR="00762AD7">
        <w:instrText xml:space="preserve"> ADDIN ZOTERO_ITEM CSL_CITATION {"citationID":"SGLa3gqs","properties":{"formattedCitation":"(Sepulveda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rsidR="00762AD7">
        <w:fldChar w:fldCharType="separate"/>
      </w:r>
      <w:r w:rsidR="00762AD7">
        <w:rPr>
          <w:noProof/>
        </w:rPr>
        <w:t>(Sepulveda &amp; Moeller, 2020)</w:t>
      </w:r>
      <w:r w:rsidR="00762AD7">
        <w:fldChar w:fldCharType="end"/>
      </w:r>
      <w:r w:rsidR="00762AD7">
        <w:t xml:space="preserve"> a phylum consisting primarily of facultative anaerobes </w:t>
      </w:r>
      <w:r w:rsidR="00762AD7">
        <w:t>capable of exploiting higher-oxygen conditions that are inhospitable to obligate anaerobes</w:t>
      </w:r>
      <w:r w:rsidR="00762AD7">
        <w:t xml:space="preserve"> </w:t>
      </w:r>
      <w:r w:rsidR="00762AD7">
        <w:fldChar w:fldCharType="begin"/>
      </w:r>
      <w:r w:rsidR="00762AD7">
        <w:instrText xml:space="preserve"> ADDIN ZOTERO_ITEM CSL_CITATION {"citationID":"hywOAMMP","properties":{"formattedCitation":"(Albenberg et al., 2014; Shin et al., 2015)","plainCitation":"(Albenberg et al., 2014; Shin et al., 2015)","noteIndex":0},"citationItems":[{"id":3399,"uris":["http://zotero.org/users/13901503/items/9SHPRSI6"],"itemData":{"id":3399,"type":"article-journal","abstract":"Background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rsidR="00762AD7">
        <w:fldChar w:fldCharType="separate"/>
      </w:r>
      <w:r w:rsidR="00762AD7">
        <w:rPr>
          <w:noProof/>
        </w:rPr>
        <w:t>(Albenberg et al., 2014; Shin et al., 2015)</w:t>
      </w:r>
      <w:r w:rsidR="00762AD7">
        <w:fldChar w:fldCharType="end"/>
      </w:r>
      <w:r w:rsidR="00762AD7">
        <w:t xml:space="preserve">. </w:t>
      </w:r>
      <w:r w:rsidR="00762AD7">
        <w:t>Therefore, changes in redox conditions likely underlie heat stress–associated shifts in gut microbiome composition by creating an environment that favors facultative taxa over obligate anaerobes.</w:t>
      </w:r>
      <w:r w:rsidR="00762AD7">
        <w:t xml:space="preserve"> </w:t>
      </w:r>
    </w:p>
    <w:p w14:paraId="7E0E5862" w14:textId="77777777" w:rsidR="00394F65" w:rsidRDefault="00394F65" w:rsidP="00762AD7"/>
    <w:p w14:paraId="72E966CB" w14:textId="039FCF20" w:rsidR="00D61088" w:rsidRDefault="00394F65" w:rsidP="00394F65">
      <w:r>
        <w:t>A decline in obligate anaerobes during heat stress may disrupt the gut microbiome’s ability to regulate host immunity by impairing key immunomodulatory functions.</w:t>
      </w:r>
      <w:r>
        <w:t xml:space="preserve"> The gut microbiome and immune system share a bidirectional relationship that broadly involves</w:t>
      </w:r>
      <w:r>
        <w:t xml:space="preserve"> host-driven immune mechanisms that confine the gut microbiome to the </w:t>
      </w:r>
      <w:r w:rsidRPr="00344BA4">
        <w:t>intestinal lumen</w:t>
      </w:r>
      <w:r>
        <w:t xml:space="preserve"> () while microbial regulation of immunity maintains host tolerance of gut microbiome (). O</w:t>
      </w:r>
      <w:r>
        <w:t>bligate anaerobes</w:t>
      </w:r>
      <w:r>
        <w:t xml:space="preserve"> are particularly important for maintaining gut-immune homeostasis because </w:t>
      </w:r>
      <w:r>
        <w:t>they ferment dietary fiber to produce short-chain fatty acids (SCFAs)</w:t>
      </w:r>
      <w:r w:rsidR="00ED7040">
        <w:fldChar w:fldCharType="begin"/>
      </w:r>
      <w:r w:rsidR="00ED7040">
        <w:instrText xml:space="preserve"> ADDIN ZOTERO_ITEM CSL_CITATION {"citationID":"4EOAwxYn","properties":{"formattedCitation":"(Flint et al., 2012; Hooper et al., 2002; Maier et al., 2014)","plainCitation":"(Flint et al., 2012; Hooper et al., 2002; Maier et al., 2014)","noteIndex":0},"citationItems":[{"id":3409,"uris":["http://zotero.org/users/13901503/items/73VRZX5M"],"itemData":{"id":3409,"type":"article-journal","abstract":"Bacteria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rsidR="00ED7040">
        <w:fldChar w:fldCharType="separate"/>
      </w:r>
      <w:r w:rsidR="00ED7040">
        <w:rPr>
          <w:noProof/>
        </w:rPr>
        <w:t>(Flint et al., 2012; Hooper et al., 2002; Maier et al., 2014)</w:t>
      </w:r>
      <w:r w:rsidR="00ED7040">
        <w:fldChar w:fldCharType="end"/>
      </w:r>
      <w:r>
        <w:t>, especially butyrate and propionate, which are critical for immune regulation</w:t>
      </w:r>
      <w:r>
        <w:t xml:space="preserve"> </w:t>
      </w:r>
      <w:r w:rsidR="00ED7040">
        <w:fldChar w:fldCharType="begin"/>
      </w:r>
      <w:r w:rsidR="00ED7040">
        <w:instrText xml:space="preserve"> ADDIN ZOTERO_ITEM CSL_CITATION {"citationID":"Q3MWn0Wi","properties":{"formattedCitation":"(Corr\\uc0\\u234{}a-Oliveira et al., 2016; Liu, Shao, et al., 2023)","plainCitation":"(Corrêa-Oliveira et al., 2016; Liu, Shao, et al., 2023)","noteIndex":0},"citationItems":[{"id":2073,"uris":["http://zotero.org/users/13901503/items/AVMVJBUV"],"itemData":{"id":2073,"type":"article-journal","abstract":"Short-chain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R"}],"issued":{"date-parts":[["2016"]]}}},{"id":3170,"uris":["http://zotero.org/users/13901503/items/NFAARTHA"],"itemData":{"id":3170,"type":"article-journal","abstract":"A growing body of research suggests that short-chain fatty acids (SCFAs), metabolites produced by intestinal symbiotic bacteria that ferment dietary fibers (DFs), play a crucial role in the health status of symbiotes. SCFAs act on a variety of cell types to regulate important biological processes, including host metabolism, intestinal function, and immune function. SCFAs also affect the function and fate of immune cells. This finding provides a new concept in immune metabolism and a better understanding of the regulatory role of SCFAs in the immune system, which impacts the prevention and treatment of disease. The mechanism by which SCFAs induce or regulate the immune response is becoming increasingly clear. This review summarizes the different mechanisms through which SCFAs act in cells. According to the latest research, the regulatory role of SCFAs in the innate immune system, including in NLRP3 inflammasomes, receptors of TLR family members, neutrophils, macrophages, natural killer cells, eosinophils, basophils and innate lymphocyte subsets, is emphasized. The regulatory role of SCFAs in the adaptive immune system, including in T-cell subsets, B cells, and plasma cells, is also highlighted. In addition, we discuss the role that SCFAs play in regulating allergic airway inflammation, colitis, and osteoporosis by influencing the immune system. These findings provide evidence for determining treatment options based on metabolic regulation.","container-title":"Frontiers in Immunology","DOI":"10.3389/fimmu.2023.1186892","ISSN":"1664-3224","journalAbbreviation":"Front Immunol","note":"PMID: 37215145\nPMCID: PMC10196242","page":"1186892","source":"PubMed Central","title":"Regulation of short-chain fatty acids in the immune system","volume":"14","author":[{"family":"Liu","given":"Xiao-feng"},{"family":"Shao","given":"Jia-hao"},{"family":"Liao","given":"Yi-Tao"},{"family":"Wang","given":"Li-Ning"},{"family":"Jia","given":"Yuan"},{"family":"Dong","given":"Peng-jun"},{"family":"Liu","given":"Zhi-zhong"},{"family":"He","given":"Dan-dan"},{"family":"Li","given":"Chao"},{"family":"Zhang","given":"Xian"}],"issued":{"date-parts":[["2023",5,5]]}}}],"schema":"https://github.com/citation-style-language/schema/raw/master/csl-citation.json"} </w:instrText>
      </w:r>
      <w:r w:rsidR="00ED7040">
        <w:fldChar w:fldCharType="separate"/>
      </w:r>
      <w:r w:rsidR="00ED7040" w:rsidRPr="00ED7040">
        <w:t>(Corrêa-Oliveira et al., 2016; Liu, Shao, et al., 2023)</w:t>
      </w:r>
      <w:r w:rsidR="00ED7040">
        <w:fldChar w:fldCharType="end"/>
      </w:r>
      <w:r>
        <w:t>.</w:t>
      </w:r>
      <w:r>
        <w:t xml:space="preserve"> SCFA’s support </w:t>
      </w:r>
      <w:r>
        <w:t xml:space="preserve">anti-inflammatory </w:t>
      </w:r>
      <w:r>
        <w:t xml:space="preserve">mechanisms that promote immune tolerance of the microbiome including </w:t>
      </w:r>
      <w:r>
        <w:t>promotion of anti-inflammatory regulatory T cell activity</w:t>
      </w:r>
      <w:r w:rsidRPr="00E42C53">
        <w:t xml:space="preserve"> </w:t>
      </w:r>
      <w:r>
        <w:fldChar w:fldCharType="begin"/>
      </w:r>
      <w:r>
        <w:instrText xml:space="preserve"> ADDIN ZOTERO_ITEM CSL_CITATION {"citationID":"F0dZSKDI","properties":{"formattedCitation":"(Arpaia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fldChar w:fldCharType="separate"/>
      </w:r>
      <w:r>
        <w:rPr>
          <w:noProof/>
        </w:rPr>
        <w:t>(Arpaia et al., 2013; Furusawa et al., 2013)</w:t>
      </w:r>
      <w:r>
        <w:fldChar w:fldCharType="end"/>
      </w:r>
      <w:r>
        <w:t xml:space="preserve"> and the suppression of proinflammatory cytokine signaling </w:t>
      </w:r>
      <w:r>
        <w:fldChar w:fldCharType="begin"/>
      </w:r>
      <w:r>
        <w:instrText xml:space="preserve"> ADDIN ZOTERO_ITEM CSL_CITATION {"citationID":"NLmuonGp","properties":{"formattedCitation":"(Hung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Pr>
          <w:noProof/>
        </w:rPr>
        <w:t>(Hung et al., 2023; Klampfer et al., 2003)</w:t>
      </w:r>
      <w:r>
        <w:fldChar w:fldCharType="end"/>
      </w:r>
      <w:r>
        <w:t>. In addition, SCFA’s, particularly butyrate, are the</w:t>
      </w:r>
      <w:r>
        <w:t xml:space="preserve"> primary energy source for colonic epithelial cells, helping to maintain the integrity of the intestinal barrier</w:t>
      </w:r>
      <w:r>
        <w:t xml:space="preserve"> </w:t>
      </w:r>
      <w:r>
        <w:fldChar w:fldCharType="begin"/>
      </w:r>
      <w:r>
        <w:instrText xml:space="preserve"> ADDIN ZOTERO_ITEM CSL_CITATION {"citationID":"GyT07F19","properties":{"formattedCitation":"(Donohoe et al., 2011)","plainCitation":"(Donohoe et al., 2011)","noteIndex":0},"citationItems":[{"id":3688,"uris":["http://zotero.org/users/13901503/items/45UWS9R3"],"itemData":{"id":3688,"type":"article-journal","container-title":"Cell Metabolism","DOI":"10.1016/j.cmet.2011.02.018","ISSN":"1550-4131","issue":"5","journalAbbreviation":"Cell Metabolism","language":"English","note":"publisher: Elsevier\nPMID: 21531334","page":"517-526","source":"www.cell.com","title":"The Microbiome and Butyrate Regulate Energy Metabolism and Autophagy in the Mammalian Colon","volume":"13","author":[{"family":"Donohoe","given":"Dallas R."},{"family":"Garge","given":"Nikhil"},{"family":"Zhang","given":"Xinxin"},{"family":"Sun","given":"Wei"},{"family":"O'Connell","given":"Thomas M."},{"family":"Bunger","given":"Maureen K."},{"family":"Bultman","given":"Scott J."}],"issued":{"date-parts":[["2011",5,4]]}}}],"schema":"https://github.com/citation-style-language/schema/raw/master/csl-citation.json"} </w:instrText>
      </w:r>
      <w:r>
        <w:fldChar w:fldCharType="separate"/>
      </w:r>
      <w:r>
        <w:rPr>
          <w:noProof/>
        </w:rPr>
        <w:t>(Donohoe et al., 2011)</w:t>
      </w:r>
      <w:r>
        <w:fldChar w:fldCharType="end"/>
      </w:r>
      <w:r>
        <w:t>.</w:t>
      </w:r>
      <w:r w:rsidR="00ED7040">
        <w:t xml:space="preserve"> Importantly, </w:t>
      </w:r>
      <w:r w:rsidR="00F71328">
        <w:t>declines in abu</w:t>
      </w:r>
      <w:r w:rsidR="00D61088">
        <w:t>n</w:t>
      </w:r>
      <w:r w:rsidR="00F71328">
        <w:t>dances of</w:t>
      </w:r>
      <w:r w:rsidR="00ED7040">
        <w:t xml:space="preserve"> obligate taxa </w:t>
      </w:r>
      <w:r w:rsidR="00F71328">
        <w:t>and SCFA’s are</w:t>
      </w:r>
      <w:r w:rsidR="00ED7040">
        <w:t xml:space="preserve"> associated with chronic inflammatory disorders</w:t>
      </w:r>
      <w:r w:rsidR="00F71328">
        <w:t xml:space="preserve"> </w:t>
      </w:r>
      <w:r w:rsidR="00F71328">
        <w:fldChar w:fldCharType="begin"/>
      </w:r>
      <w:r w:rsidR="00F71328">
        <w:instrText xml:space="preserve"> ADDIN ZOTERO_ITEM CSL_CITATION {"citationID":"PUhTnYps","properties":{"formattedCitation":"(Frank et al., 2007; Ott et al., 2004; F. Zhang et al., 2022)","plainCitation":"(Frank et al., 2007; Ott et al., 2004; F. Zhang et al., 2022)","noteIndex":0},"citationItems":[{"id":3541,"uris":["http://zotero.org/users/13901503/items/G4H9JM44"],"itemData":{"id":3541,"type":"article-journal","abstract":"The two primary human inflammatory bowel diseases, Crohn's disease (CD) and ulcerative colitis (UC), are idiopathic relapsing disorders characterized by chronic inflammation of the intestinal tract. Although several lines of reasoning suggest that gastrointestinal (GI) microbes influence inflammatory bowel disease (IBD) pathogenesis, the types of microbes involved have not been adequately described. Here we report the results of a culture-independent rRNA sequence analysis of GI tissue samples obtained from CD and UC patients, as well as non-IBD controls. Specimens were obtained through surgery from a variety of intestinal sites and included both pathologically normal and abnormal states. Our results provide comprehensive molecular-based analysis of the microbiota of the human small intestine. Comparison of clone libraries reveals statistically significant differences between the microbiotas of CD and UC patients and those of non-IBD controls. Significantly, our results indicate that a subset of CD and UC samples contained abnormal GI microbiotas, characterized by depletion of commensal bacteria, notably members of the phyla Firmicutes and Bacteroidetes. Patient stratification by GI microbiota provides further evidence that CD represents a spectrum of disease states and suggests that treatment of some forms of IBD may be facilitated by redress of the detected microbiological imbalances.","container-title":"Proceedings of the National Academy of Sciences","DOI":"10.1073/pnas.0706625104","issue":"34","note":"publisher: Proceedings of the National Academy of Sciences","page":"13780-13785","source":"www-pnas-org.proxy.lib.umich.edu (Atypon)","title":"Molecular-phylogenetic characterization of microbial community imbalances in human inflammatory bowel diseases","volume":"104","author":[{"family":"Frank","given":"Daniel N."},{"family":"St. Amand","given":"Allison L."},{"family":"Feldman","given":"Robert A."},{"family":"Boedeker","given":"Edgar C."},{"family":"Harpaz","given":"Noam"},{"family":"Pace","given":"Norman R."}],"issued":{"date-parts":[["2007",8,21]]}}},{"id":3543,"uris":["http://zotero.org/users/13901503/items/LDVN6UJ4"],"itemData":{"id":3543,"type":"article-journal","abstract":"Background and aims: The intestinal bacterial microflora plays an important role in the aetiology of inflammatory bowel disease (IBD). As most of the colonic bacteria cannot be identified by culture techniques, genomic technology can be used for analysis of the composition of the microflora.\nPatients and methods: The mucosa associated colonic microflora of 57 patients with active inflammatory bowel disease and 46 controls was investigated using 16S rDNA based single strand conformation polymorphism (SSCP) fingerprint, cloning experiments, and real time polymerase chain reaction (PCR).\nResults: Full length sequencing of 1019 clones from 16S rDNA libraries (n = 3) revealed an overall bacterial diversity of 83 non-redundant sequences—among them, only 49 known bacterial species. Molecular epidemiology of the composition of the colonic microflora was investigated by SSCP. Diversity of the microflora in Crohn’s disease was reduced to 50% compared with controls (21.7 v 50.4; p&lt;0.0001) and to 30% in ulcerative colitis (17.2 v 50.4; p&lt;0.0001). The reduction in diversity in inflammatory bowel disease was due to loss of normal anaerobic bacteria such as Bacteroides species, Eubacterium species, and Lactobacillus species, as revealed by direct sequencing of variable bands and confirmed by real time PCR. Bacterial diversity in the Crohn’s group showed no association with CARD15/NOD2 status.\nConclusions: Mucosal inflammation in inflammatory bowel disease is associated with loss of normal anaerobic bacteria. This effect is independent of NOD2/CARD15 status of patients.","container-title":"Gut","DOI":"10.1136/gut.2003.025403","ISSN":"0017-5749, 1468-3288","issue":"5","language":"en","license":"Copyright 2004 by Gut","note":"publisher: BMJ Publishing Group\nsection: Inflammatory bowel disease\nPMID: 15082587","page":"685-693","source":"gut-bmj-com.proxy.lib.umich.edu","title":"Reduction in diversity of the colonic mucosa associated bacterial microflora in patients with active inflammatory bowel disease","volume":"53","author":[{"family":"Ott","given":"S. J."},{"family":"Musfeldt","given":"M."},{"family":"Wenderoth","given":"D. F."},{"family":"Hampe","given":"J."},{"family":"Brant","given":"O."},{"family":"Fölsch","given":"U. R."},{"family":"Timmis","given":"K. N."},{"family":"Schreiber","given":"S."}],"issued":{"date-parts":[["2004",5,1]]}}},{"id":2189,"uris":["http://zotero.org/users/13901503/items/WZLVS6S3"],"itemData":{"id":2189,"type":"article-journal","abstract":"Dietary fiber intake in humans is nowadays substantially decreased as compared to the communities of ancestral populations. Accompanying that, the incidences of inflammatory bowel disease (IBD), allergy, and other autoimmune diseases are steadily increasing over the past 60 years, especially in high-income countries, which is partly attributed to the changing dietary habit in modern societies. Chronic inflammation triggered by immune disorders is the central part of the pathophysiology of various non-communicable diseases. Dietary fiber intake is inexorably linked to the gut microbiome leading to the reduction of inflammation. This review explores how dietary fibers modulate the gut microbiota composition and function leading to the alteration of host physiology. High-fiber dietary regime has been consistently shown to increase the microbiome alpha diversity and short-chain fatty acids (SCFAs)-producing bacteria in the human gut. SCFAs are the main players in the interplay between diet, microbiota, and host health. In clinical settings, therapies with high fiber or SCFA supplementations are proposed for inflammatory diseases. However, due to greater variations in the dosage, type, and duration of dietary fiber intervention in different clinical trials, the effects remain controversial. Unraveling the mechanisms exerted by dietary fiber in synergy with the gut microbiome in human pathophysiology holds a promising prospect in guiding next-generation precision therapies.","container-title":"Medicine in Microecology","DOI":"10.1016/j.medmic.2022.100070","ISSN":"2590-0978","journalAbbreviation":"Medicine in Microecology","page":"100070","source":"ScienceDirect","title":"The gut microbiome: linking dietary fiber to inflammatory diseases","title-short":"The gut microbiome","volume":"14","author":[{"family":"Zhang","given":"Feng"},{"family":"Fan","given":"Dejun"},{"family":"Huang","given":"Jian-lin"},{"family":"Zuo","given":"Tao"}],"issued":{"date-parts":[["2022",12,1]]}}}],"schema":"https://github.com/citation-style-language/schema/raw/master/csl-citation.json"} </w:instrText>
      </w:r>
      <w:r w:rsidR="00F71328">
        <w:fldChar w:fldCharType="separate"/>
      </w:r>
      <w:r w:rsidR="00F71328">
        <w:rPr>
          <w:noProof/>
        </w:rPr>
        <w:t>(Frank et al., 2007; Ott et al., 2004; F. Zhang et al., 2022)</w:t>
      </w:r>
      <w:r w:rsidR="00F71328">
        <w:fldChar w:fldCharType="end"/>
      </w:r>
      <w:r w:rsidR="00ED7040">
        <w:t xml:space="preserve">, </w:t>
      </w:r>
      <w:r w:rsidR="00F71328">
        <w:t xml:space="preserve">underscoring their importance for maintaining homeostasis between the gut microbiome and host immunity. </w:t>
      </w:r>
      <w:r w:rsidR="00D61088">
        <w:t xml:space="preserve">Changes in microbiome composition during heat stress have been associated with both immune function </w:t>
      </w:r>
      <w:r w:rsidR="00D61088">
        <w:fldChar w:fldCharType="begin"/>
      </w:r>
      <w:r w:rsidR="00D61088">
        <w:instrText xml:space="preserve"> ADDIN ZOTERO_ITEM CSL_CITATION {"citationID":"pLZZrluM","properties":{"formattedCitation":"(Chen et al., 2018; Yu et al., 2024)","plainCitation":"(Chen et al., 2018; Yu et al., 2024)","noteIndex":0},"citationItems":[{"id":3108,"uris":["http://zotero.org/users/13901503/items/989JE4MX"],"itemData":{"id":3108,"type":"article-journal","abstract":"Abstract\n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3059,"uris":["http://zotero.org/users/13901503/items/984DGQQS"],"itemData":{"id":3059,"type":"article-journal","abstract":"Recent studies indicate that heat stress pathophysiology is associated with intestinal barrier dysfunction, local and systemic inflammation, and gut dysbiosis. However, inconclusive results and a poor description of tissue-specific changes must be addressed to identify potential intervention targets against heat stress illness in growing calves. Therefore, the objective of this study was to evaluate components of the intestinal barrier, pro- and anti-inflammatory signals, and microbiota community composition in Holstein bull calves exposed to heat stress. Animals (mean age = 12 wk old; mean body weight = 122 kg) penned individually in temperature-controlled rooms were assigned to (1) thermoneutral conditions (constant room temperature at 19.5°C) and restricted offer of feed (TNR, n = 8), or (2) heat stress conditions (cycles of room temperatures ranging from 20 to 37.8°C) along with ad libitum offer of feed (HS, n = 8) for 7 d. Upon treatment completion, sections of the jejunum, ileum, and colon were collected and snap-frozen immediately to evaluate gene and protein expression, cytokine concentrations, and myeloperoxidase activity. Digesta aliquots of the ileum, colon, and rectum were collected to assess bacterial communities. Plasma was harvested on d 2, 5, and 7 to determine cytokine concentrations. Overall, results showed a section-specific effect of HS on intestinal integrity. Jejunal mRNA expression of TJP1 was decreased by 70.9% in HS relative to TNR calves. In agreement, jejunal expression of heat shock transcription factor-1 protein, a known tight junction protein expression regulator, decreased by 48% in HS calves. Jejunal analyses showed that HS decreased concentrations of IL-1α by 36.6% and tended to decrease the concentration of IL-17A. Conversely, HS elicited a 3.5-fold increase in jejunal concentration of anti-inflammatory IL-36 receptor antagonist. Plasma analysis of pro-inflammatory cytokines showed that IL-6 decreased by 51% in HS relative to TNR calves. Heat stress alteration of the large intestine bacterial communities was characterized by increased genus Butyrivibrio_3, a known butyrate-producing organism, and changes in bacteria metabolism of energy and AA. A strong positive correlation between the rectal temperature and pro-inflammatory Eggerthii spp. was detected in HS calves. In conclusion, this work indicates that HS impairs the intestinal barrier function of jejunum. The pro- and anti-inflammatory signal changes may be part of a broader response to restore intestinal homeostasis in jejunum. The changes in large intestine bacterial communities favoring butyrate-producing organisms (e.g., Butyrivibrio spp.) may be part of a successful response to maintain the integrity of the colonic mucosa of HS calves. The alteration of intestinal homeostasis should be the target for heat stress therapies to restore biological functions, and, thus highlights the relevance of this work.","container-title":"Journal of Dairy Science","DOI":"10.3168/jds.2023-23873","ISSN":"0022-0302","issue":"2","journalAbbreviation":"Journal of Dairy Science","page":"1175-1196","source":"ScienceDirect","title":"Heat stress–associated changes in the intestinal barrier, inflammatory signals, and microbiome communities in dairy calves","volume":"107","author":[{"family":"Yu","given":"Z."},{"family":"Cantet","given":"J. M."},{"family":"Paz","given":"H. A."},{"family":"Kaufman","given":"J. D."},{"family":"Orellano","given":"M. S."},{"family":"Ipharraguerre","given":"I. R."},{"family":"Ríus","given":"A. G."}],"issued":{"date-parts":[["2024",2,1]]}}}],"schema":"https://github.com/citation-style-language/schema/raw/master/csl-citation.json"} </w:instrText>
      </w:r>
      <w:r w:rsidR="00D61088">
        <w:fldChar w:fldCharType="separate"/>
      </w:r>
      <w:r w:rsidR="00D61088">
        <w:rPr>
          <w:noProof/>
        </w:rPr>
        <w:t>(Chen et al., 2018; Yu et al., 2024)</w:t>
      </w:r>
      <w:r w:rsidR="00D61088">
        <w:fldChar w:fldCharType="end"/>
      </w:r>
      <w:r w:rsidR="00D61088">
        <w:t xml:space="preserve"> declines in SCFA concentration </w:t>
      </w:r>
      <w:r w:rsidR="00D61088">
        <w:fldChar w:fldCharType="begin"/>
      </w:r>
      <w:r w:rsidR="00D61088">
        <w:instrText xml:space="preserve"> ADDIN ZOTERO_ITEM CSL_CITATION {"citationID":"96RB1402","properties":{"formattedCitation":"(Tajima et al., 2007)","plainCitation":"(Tajima et al., 2007)","noteIndex":0},"citationItems":[{"id":1974,"uris":["http://zotero.org/users/13901503/items/TEZ5HVYB"],"itemData":{"id":1974,"type":"article-journal","abstract":"The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D61088">
        <w:fldChar w:fldCharType="separate"/>
      </w:r>
      <w:r w:rsidR="00D61088">
        <w:rPr>
          <w:noProof/>
        </w:rPr>
        <w:t>(Tajima et al., 2007)</w:t>
      </w:r>
      <w:r w:rsidR="00D61088">
        <w:fldChar w:fldCharType="end"/>
      </w:r>
      <w:r w:rsidR="00D61088">
        <w:t xml:space="preserve"> suggesting that heat-driven shifts in composition have consequences for the microbiome-immune interactions.  </w:t>
      </w:r>
    </w:p>
    <w:p w14:paraId="3A35CFDC" w14:textId="77777777" w:rsidR="00CC19C4" w:rsidRDefault="00CC19C4" w:rsidP="00394F65"/>
    <w:p w14:paraId="08173933" w14:textId="10CF4520" w:rsidR="00CC19C4" w:rsidRDefault="00CC19C4" w:rsidP="00394F65">
      <w:r>
        <w:t xml:space="preserve">These relationships suggest that heat stress may initiate </w:t>
      </w:r>
      <w:r>
        <w:t xml:space="preserve">a physiological cascade that disrupts redox balance, alters microbiome composition, and activates immune responses, which together compromise the gut microbiome’s ability to perform functions essential to host health. Because microbiome-host relationships are bidirectional (), each change likely amplifies the others, creating a feedback loop </w:t>
      </w:r>
      <w:r>
        <w:t>that increases the risk of chronic gut inflammation</w:t>
      </w:r>
      <w:r>
        <w:t xml:space="preserve"> during extended periods of high temperatures. </w:t>
      </w:r>
      <w:r w:rsidR="000427FD">
        <w:t xml:space="preserve">Although these relationships have been explored in experimental and clinical settings, </w:t>
      </w:r>
    </w:p>
    <w:p w14:paraId="5DB8D69A" w14:textId="77777777" w:rsidR="004B3C62" w:rsidRDefault="004B3C62" w:rsidP="00394F65"/>
    <w:p w14:paraId="53A22DE8" w14:textId="77777777" w:rsidR="000427FD" w:rsidRDefault="000427FD" w:rsidP="00394F65"/>
    <w:p w14:paraId="4985104D" w14:textId="77777777" w:rsidR="000427FD" w:rsidRDefault="000427FD" w:rsidP="000427FD">
      <w:r>
        <w:lastRenderedPageBreak/>
        <w:t xml:space="preserve">Interactions between these systems have been </w:t>
      </w:r>
      <w:proofErr w:type="spellStart"/>
      <w:r>
        <w:t>extensilve</w:t>
      </w:r>
      <w:proofErr w:type="spellEnd"/>
      <w:r>
        <w:t xml:space="preserve"> </w:t>
      </w:r>
      <w:proofErr w:type="spellStart"/>
      <w:r>
        <w:t>expored</w:t>
      </w:r>
      <w:proofErr w:type="spellEnd"/>
      <w:r>
        <w:t xml:space="preserve"> in clinical research but no research look s at how this function sin a while system in response to a natural temperature gradient</w:t>
      </w:r>
    </w:p>
    <w:p w14:paraId="07265D81" w14:textId="77777777" w:rsidR="000427FD" w:rsidRDefault="000427FD" w:rsidP="00394F65"/>
    <w:p w14:paraId="09CBC73F" w14:textId="77777777" w:rsidR="000427FD" w:rsidRDefault="000427FD" w:rsidP="00394F65"/>
    <w:p w14:paraId="5825CBEC" w14:textId="77777777" w:rsidR="000427FD" w:rsidRDefault="000427FD" w:rsidP="00394F65"/>
    <w:p w14:paraId="035E85DE" w14:textId="69A7744E" w:rsidR="004B3C62" w:rsidRDefault="004B3C62" w:rsidP="00394F65">
      <w:r>
        <w:t xml:space="preserve">Here, we evaluate </w:t>
      </w:r>
      <w:r w:rsidR="000427FD">
        <w:t xml:space="preserve">if gut microbiome composition </w:t>
      </w:r>
    </w:p>
    <w:p w14:paraId="1F1B12E2" w14:textId="77777777" w:rsidR="004B3C62" w:rsidRDefault="004B3C62" w:rsidP="00394F65"/>
    <w:p w14:paraId="3B9A68E1" w14:textId="4396F69A" w:rsidR="004B3C62" w:rsidRDefault="004B3C62" w:rsidP="00394F65">
      <w:r>
        <w:t xml:space="preserve">Here we evaluate the importance of temperature as a predictor of the gut microbiome and whether it is associated with host immunity, </w:t>
      </w:r>
    </w:p>
    <w:p w14:paraId="76ED2512" w14:textId="77777777" w:rsidR="004B3C62" w:rsidRDefault="004B3C62" w:rsidP="00394F65"/>
    <w:p w14:paraId="4FE3AEC6" w14:textId="65F7ABEB" w:rsidR="004B3C62" w:rsidRDefault="004B3C62" w:rsidP="00394F65">
      <w:r>
        <w:t xml:space="preserve">Here, </w:t>
      </w:r>
      <w:r>
        <w:t>we evaluate if temperature is an important predictor for explaining gut microbiome composition</w:t>
      </w:r>
      <w:r>
        <w:t xml:space="preserve"> and metabolic functions</w:t>
      </w:r>
      <w:r>
        <w:t xml:space="preserve"> in a wild population of capuchin monkeys, </w:t>
      </w:r>
      <w:r w:rsidRPr="00297A0D">
        <w:rPr>
          <w:i/>
          <w:iCs/>
        </w:rPr>
        <w:t>Cebus imitator</w:t>
      </w:r>
      <w:r>
        <w:t>, in Costa Rica</w:t>
      </w:r>
    </w:p>
    <w:p w14:paraId="7D198DCC" w14:textId="77777777" w:rsidR="00CC19C4" w:rsidRDefault="00CC19C4" w:rsidP="00394F65"/>
    <w:p w14:paraId="3C81F9A3" w14:textId="77777777" w:rsidR="00CC19C4" w:rsidRDefault="00CC19C4" w:rsidP="00394F65"/>
    <w:p w14:paraId="3AA3FDAF" w14:textId="564ACD19" w:rsidR="00CC19C4" w:rsidRDefault="00CC19C4" w:rsidP="00394F65">
      <w:r>
        <w:t xml:space="preserve">Here… </w:t>
      </w:r>
    </w:p>
    <w:p w14:paraId="2613C138" w14:textId="55B7E9FA" w:rsidR="00CC19C4" w:rsidRDefault="00CC19C4" w:rsidP="00394F65">
      <w:r>
        <w:t xml:space="preserve">This underscores a critical mechanisms by which rising temperatures due to climate change may have negative effects on wild animals through microbiome-mediated mechanisms. </w:t>
      </w:r>
    </w:p>
    <w:p w14:paraId="10446B2D" w14:textId="77777777" w:rsidR="00CC19C4" w:rsidRDefault="00CC19C4" w:rsidP="00394F65"/>
    <w:p w14:paraId="7F7FFC0B" w14:textId="77777777" w:rsidR="00F71328" w:rsidRDefault="00F71328" w:rsidP="00394F65"/>
    <w:p w14:paraId="5673E557" w14:textId="0B97EC86" w:rsidR="004D158F" w:rsidRDefault="008A4179" w:rsidP="00A566A6">
      <w:r>
        <w:t xml:space="preserve">… </w:t>
      </w:r>
    </w:p>
    <w:p w14:paraId="153357B3" w14:textId="77777777" w:rsidR="00833814" w:rsidRDefault="00833814" w:rsidP="00A566A6"/>
    <w:p w14:paraId="78307F84" w14:textId="5F54F545" w:rsidR="00034BF3" w:rsidRDefault="00034BF3" w:rsidP="00A566A6">
      <w:r>
        <w:t xml:space="preserve">Here we….. are </w:t>
      </w:r>
      <w:proofErr w:type="spellStart"/>
      <w:r>
        <w:t>goin</w:t>
      </w:r>
      <w:proofErr w:type="spellEnd"/>
      <w:r>
        <w:t xml:space="preserve"> to do this! </w:t>
      </w:r>
    </w:p>
    <w:p w14:paraId="4C703D94" w14:textId="2CB66CA3" w:rsidR="00833814" w:rsidRDefault="00833814" w:rsidP="00833814">
      <w:pPr>
        <w:ind w:firstLine="720"/>
      </w:pPr>
      <w:r>
        <w:t xml:space="preserve">The majority of research investigating how temperature affects microbiomes has been conducted in experimental settings on ectotherms because their lack of physiological thermoregulation leaves them vulnerable to temperature </w:t>
      </w:r>
      <w:r w:rsidRPr="00EF7E65">
        <w:t xml:space="preserve">change </w:t>
      </w:r>
      <w:r>
        <w:t>[</w:t>
      </w:r>
      <w:r w:rsidRPr="00EF7E65">
        <w:t xml:space="preserve">e.g. reptiles </w:t>
      </w:r>
      <w:r w:rsidRPr="00EF7E65">
        <w:fldChar w:fldCharType="begin"/>
      </w:r>
      <w:r w:rsidRPr="00EF7E65">
        <w:instrText xml:space="preserve"> ADDIN ZOTERO_ITEM CSL_CITATION {"citationID":"V09JRzOj","properties":{"formattedCitation":"(Bestion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Pr="00EF7E65">
        <w:fldChar w:fldCharType="separate"/>
      </w:r>
      <w:r w:rsidRPr="00EF7E65">
        <w:rPr>
          <w:noProof/>
        </w:rPr>
        <w:t>(Bestion et al., 2017; Moeller et al., 2020)</w:t>
      </w:r>
      <w:r w:rsidRPr="00EF7E65">
        <w:fldChar w:fldCharType="end"/>
      </w:r>
      <w:r w:rsidRPr="00EF7E65">
        <w:t xml:space="preserve">, amphibians </w:t>
      </w:r>
      <w:r w:rsidRPr="00EF7E65">
        <w:fldChar w:fldCharType="begin"/>
      </w:r>
      <w:r>
        <w:instrText xml:space="preserve"> ADDIN ZOTERO_ITEM CSL_CITATION {"citationID":"1KCbbxhK","properties":{"formattedCitation":"(Emerson et al., 2023; Fontaine et al., 2018; Kohl &amp; Yahn, 2016)","plainCitation":"(Emerson et al., 2023; Fontaine et al., 2018; Kohl &amp; Yahn, 2016)","noteIndex":0},"citationItems":[{"id":1987,"uris":["http://zotero.org/users/13901503/items/VRKTJEKQ"],"itemData":{"id":1987,"type":"article-journal","abstract":"Understanding how the global climate impacts the physiology of wildlife animals is of importance. Amphibians are particularly sensitive to climate change, and it is hypothesized that rising temperatures impair their neurodevelopment. Temperature influences the composition of the gut microbiota, which is critical to host neurodevelopment through the microbiota–gut–brain (MGB) axis. Most research investigating the link between the gut microbiota and neurodevelopment occurs in germ-free mammalian model systems, leaving the nature of the MGB axis in non-mammalian wildlife unclear. Here, we tested the hypothesis that the temperature and the microbial environment in which tadpoles were raised shapes neurodevelopment, possibly through the MGB axis. Newly hatched green frog tadpoles (Lithobates clamitans) were raised in natural pond water or autoclaved pond water, serving as an experimental manipulation of the microbiota by reducing colonizing microbes, at three different water temperatures: 14, 22 and 28°C. Neurodevelopment was analyzed through measures of relative brain mass and morphology of brain structures of interest. We found that tadpole development in warmer temperatures increased relative brain mass and optic tectum width and length. Further, tadpole development in autoclaved pond water increased relative optic tectum width and length. Additionally, the interaction of treatments altered relative diencephalon length. Lastly, we found that variation in brain morphology was associated with gut microbial diversity and the relative abundance of individual bacterial taxa. Our results indicate that both environmental temperature and microbial communities influence relative brain mass and shape. Furthermore, we provide some of the first evidence for the MGB axis in amphibians.","container-title":"Journal of Experimental Biology","DOI":"10.1242/jeb.245333","ISSN":"0022-0949","issue":"12","journalAbbreviation":"Journal of Experimental Biology","page":"jeb245333","source":"Silverchair","title":"Temperature and the microbial environment alter brain morphology in a larval amphibian","volume":"226","author":[{"family":"Emerson","given":"Kyle J."},{"family":"Fontaine","given":"Samantha S."},{"family":"Kohl","given":"Kevin D."},{"family":"Woodley","given":"Sarah K."}],"issued":{"date-parts":[["2023",6,23]]}}},{"id":1909,"uris":["http://zotero.org/users/13901503/items/Y6B943CR"],"itemData":{"id":1909,"type":"article-journal","abstract":"Environmental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Pr="00EF7E65">
        <w:fldChar w:fldCharType="separate"/>
      </w:r>
      <w:r>
        <w:rPr>
          <w:noProof/>
        </w:rPr>
        <w:t>(Emerson et al., 2023; Fontaine et al., 2018; Kohl &amp; Yahn, 2016)</w:t>
      </w:r>
      <w:r w:rsidRPr="00EF7E65">
        <w:fldChar w:fldCharType="end"/>
      </w:r>
      <w:r w:rsidRPr="00EF7E65">
        <w:t>,</w:t>
      </w:r>
      <w:r>
        <w:t xml:space="preserve"> snails </w:t>
      </w:r>
      <w:r>
        <w:fldChar w:fldCharType="begin"/>
      </w:r>
      <w:r w:rsidR="00034BF3">
        <w:instrText xml:space="preserve"> ADDIN ZOTERO_ITEM CSL_CITATION {"citationID":"rPRBPZww","properties":{"formattedCitation":"(S. Li et al., 2022)","plainCitation":"(S. Li et al., 2022)","noteIndex":0},"citationItems":[{"id":1026,"uris":["http://zotero.org/users/13901503/items/YI4CIUAY"],"itemData":{"id":1026,"type":"article-journal","abstract":"&lt;p&gt;The gut microbiome is vital to the physiological and biochemical functions of the host, and changes in the composition of these microbial communities may affect growth and adaptability to the environment. &lt;italic&gt;Pomacea canaliculata&lt;/italic&gt; is an invasive freshwater snail which has become a serious agricultural pest. Temperature adaptation is considered an important reason for the widespread distribution of this species. To date, the contribution of the gut microbes to host fitness of &lt;italic&gt;P. canaliculata&lt;/italic&gt; during long-term temperature stress is not well understood. In this study, the morphological changes and intestinal microbiome of &lt;italic&gt;P. canaliculata&lt;/italic&gt; under long-term stress at low temperature (15°C) and high temperature (35°C) were investigated with laboratory experiments. Compared with control group (25°C), the alpha diversity increased and pathogenic bacteria enriched changed under high and low temperature stress. The effect of high temperature stress on the intestinal microbiome of &lt;italic&gt;P. canaliculata&lt;/italic&gt; was more significant than that of low temperature stress. A sustained high temperature environment led to an increase in the abundance of pathogenic bacteria, such as &lt;italic&gt;Aeromonas&lt;/italic&gt; and &lt;italic&gt;Enterobacter&lt;/italic&gt;, and a decrease in the abundance of immune-related bacteria such as Bacteroidetes, Firmicutes, and &lt;italic&gt;Lactococcus&lt;/italic&gt;. These intestine microbiome changes can increase the risk of diseases like intestinal inflammation, and lead to more deaths at high temperature environments. In addition, with the extension of stress time from 14 to 28 days, the beneficial bacteria such as Bacteroidetes, Firmicutes, and &lt;italic&gt;Lactococcus&lt;/italic&gt; were significantly enriched, while potential pathogenic bacteria such as &lt;italic&gt;Pseudomonas&lt;/italic&gt;, &lt;italic&gt;Acinetobacter&lt;/italic&gt;, &lt;italic&gt;Shivalella&lt;/italic&gt;, and &lt;italic&gt;Flavobacterium&lt;/italic&gt; decreased, suggesting that intestinal microbiota may play an important role in host response to heat stress. These results are consistent with previously reported results that the survival rate of both male and female &lt;italic&gt;P. canaliculata&lt;/italic&gt; no longer significantly reduced after 21 days of high temperature stress, suggesting that the surviving &lt;italic&gt;P. canaliculata&lt;/italic&gt; had gradually adapted to high temperature environments under long-term high temperature stress.&lt;/p&gt;","container-title":"Frontiers in Microbiology","DOI":"10.3389/fmicb.2022.961502","ISSN":"1664-302X","journalAbbreviation":"Front. Microbiol.","language":"English","note":"publisher: Frontiers","source":"Frontiers","title":"Effect of long-term temperature stress on the intestinal microbiome of an invasive snail","URL":"https://www.frontiersin.org/journals/microbiology/articles/10.3389/fmicb.2022.961502/full","volume":"13","author":[{"family":"Li","given":"Shuxian"},{"family":"Qian","given":"Zijin"},{"family":"Gao","given":"Shuo"},{"family":"Shen","given":"Wenjia"},{"family":"Li","given":"Xuexia"},{"family":"Li","given":"Hong"},{"family":"Chen","given":"Lian"}],"accessed":{"date-parts":[["2024",9,26]]},"issued":{"date-parts":[["2022",8,29]]}}}],"schema":"https://github.com/citation-style-language/schema/raw/master/csl-citation.json"} </w:instrText>
      </w:r>
      <w:r>
        <w:fldChar w:fldCharType="separate"/>
      </w:r>
      <w:r w:rsidR="00034BF3">
        <w:rPr>
          <w:noProof/>
        </w:rPr>
        <w:t>(S. Li et al., 2022)</w:t>
      </w:r>
      <w:r>
        <w:fldChar w:fldCharType="end"/>
      </w:r>
      <w:r>
        <w:t>,</w:t>
      </w:r>
      <w:r w:rsidRPr="00EF7E65">
        <w:t xml:space="preserve"> insects </w:t>
      </w:r>
      <w:r w:rsidRPr="00EF7E65">
        <w:fldChar w:fldCharType="begin"/>
      </w:r>
      <w:r>
        <w:instrText xml:space="preserve"> ADDIN ZOTERO_ITEM CSL_CITATION {"citationID":"x0L9Lm7u","properties":{"formattedCitation":"(Jaramillo &amp; Casta\\uc0\\u241{}eda, 2021; Moghadam et al., 2018; B. Zhang et al., 2019)","plainCitation":"(Jaramillo &amp; Castañeda, 2021; Moghadam et al., 2018; B. Zhang et al., 2019)","noteIndex":0},"citationItems":[{"id":1939,"uris":["http://zotero.org/users/13901503/items/SAKGV5WG"],"itemData":{"id":1939,"type":"article-journal","abstract":"&lt;p&gt;The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rsidRPr="00EF7E65">
        <w:fldChar w:fldCharType="separate"/>
      </w:r>
      <w:r w:rsidRPr="00EF7E65">
        <w:t>(Jaramillo &amp; Castañeda, 2021; Moghadam et al., 2018; B. Zhang et al., 2019)</w:t>
      </w:r>
      <w:r w:rsidRPr="00EF7E65">
        <w:fldChar w:fldCharType="end"/>
      </w:r>
      <w:r w:rsidRPr="00EF7E65">
        <w:t xml:space="preserve">, corals </w:t>
      </w:r>
      <w:r w:rsidRPr="00EF7E65">
        <w:fldChar w:fldCharType="begin"/>
      </w:r>
      <w:r w:rsidRPr="00EF7E65">
        <w:instrText xml:space="preserve"> ADDIN ZOTERO_ITEM CSL_CITATION {"citationID":"eYGzR30t","properties":{"formattedCitation":"(Baldassarre et al., 2022; Ziegler et al., 2017)","plainCitation":"(Baldassarre et al., 2022; Ziegler et al., 2017)","noteIndex":0},"citationItems":[{"id":2007,"uris":["http://zotero.org/users/13901503/items/HV624X5I"],"itemData":{"id":2007,"type":"article-journal","abstract":"At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rsidRPr="00EF7E65">
        <w:fldChar w:fldCharType="separate"/>
      </w:r>
      <w:r w:rsidRPr="00EF7E65">
        <w:rPr>
          <w:noProof/>
        </w:rPr>
        <w:t>(Baldassarre et al., 2022; Ziegler et al., 2017)</w:t>
      </w:r>
      <w:r w:rsidRPr="00EF7E65">
        <w:fldChar w:fldCharType="end"/>
      </w:r>
      <w:r>
        <w:t>]</w:t>
      </w:r>
      <w:r>
        <w:t xml:space="preserve"> or in livestock populations to understand the relationship between heat-stress and productivity (). </w:t>
      </w:r>
      <w:r>
        <w:t>While experimental research is advantageous because it can isolate the effect of temperature on the gut microbiome, it does little to evaluate why the temperature-microbiome relationship evolved and how it functions in a natural system. Here, we evaluate if temperature is an important predictor for explaining gut microbiome composition</w:t>
      </w:r>
      <w:r>
        <w:t xml:space="preserve"> and metabolic function</w:t>
      </w:r>
      <w:r>
        <w:t xml:space="preserve"> in a wild population of capuchin monkeys, </w:t>
      </w:r>
      <w:r w:rsidRPr="00297A0D">
        <w:rPr>
          <w:i/>
          <w:iCs/>
        </w:rPr>
        <w:t>Cebus imitator</w:t>
      </w:r>
      <w:r>
        <w:t>, in Costa Rica.</w:t>
      </w:r>
      <w:r w:rsidRPr="00833814">
        <w:t xml:space="preserve"> </w:t>
      </w:r>
      <w:r>
        <w:t xml:space="preserve">We also examine </w:t>
      </w:r>
      <w:r>
        <w:t>whether host immunity is associated with the gut microbiome’s relationship with temperature</w:t>
      </w:r>
      <w:r>
        <w:t xml:space="preserve"> to try to evaluate the interplay between temperature, the gut microbiome, and gut-</w:t>
      </w:r>
      <w:proofErr w:type="spellStart"/>
      <w:r>
        <w:t>immnue</w:t>
      </w:r>
      <w:proofErr w:type="spellEnd"/>
      <w:r>
        <w:t xml:space="preserve"> </w:t>
      </w:r>
      <w:proofErr w:type="spellStart"/>
      <w:r>
        <w:t>homoestasis</w:t>
      </w:r>
      <w:proofErr w:type="spellEnd"/>
      <w:r>
        <w:t xml:space="preserve">. </w:t>
      </w:r>
      <w:r>
        <w:t xml:space="preserve">We measure host immunity using neopterin, a byproduct of macrophage activity when stimulated by interferon-gamma produced by </w:t>
      </w:r>
      <w:r w:rsidRPr="00F60396">
        <w:t>T</w:t>
      </w:r>
      <w:r>
        <w:t>-</w:t>
      </w:r>
      <w:r w:rsidRPr="00F60396">
        <w:t>helper 1</w:t>
      </w:r>
      <w:r>
        <w:t xml:space="preserve"> cells during the </w:t>
      </w:r>
      <w:r w:rsidRPr="00F60396">
        <w:t>cellular immune response</w:t>
      </w:r>
      <w:r>
        <w:t xml:space="preserve"> </w:t>
      </w:r>
      <w:r>
        <w:fldChar w:fldCharType="begin"/>
      </w:r>
      <w:r>
        <w:instrText xml:space="preserve"> ADDIN ZOTERO_ITEM CSL_CITATION {"citationID":"UNmWgoQb","properties":{"formattedCitation":"(Murr et al., 2002)","plainCitation":"(Murr et al., 2002)","noteIndex":0},"citationItems":[{"id":513,"uris":["http://zotero.org/users/13901503/items/BEFXLUSL"],"itemData":{"id":513,"type":"article-journal","abstract":"Increased amounts of neopterin are produced by human monocytes/macrophages upon stimulation with the cytokine interferon-y. Therefore, measurement of neopterin concentrations in body fluids like serum, cerebrospinal fluid or urine provides information about activation of T helper cell 1 derived cellular immune activation. Increased neopterin production is found in infections by viruses including human immunodeficiency virus (HIV), infections by intracellular living bacteria and parasites, autoimmune diseases, malignant tumor diseases and in allograft rejection episodes. But also in neurological and in cardiovascular diseases cellular immune activation indicated by increased neopterin production, is found. Major diagnostic applications of neopterin measurements are, e.g. monitoring of allograft recipients to recognize immunological complications early. Neopterin production provides prognostic information in patients with malignant tumor diseases and in HIV-infected individuals, high levels being associated with poorer survival expectations. Neopterin measurements are also useful to monitor therapy in patients with autoimmune disorders and in individuals with HIV infection. Screening of neopterin concentrations in blood donations allows to detect acute infections in a non-specific way and improves safety of blood transfusions. As high neopterin production is associated with increased production of reactive oxygen species and with low serum concentrations of antioxidants like alpha-tocopherol, neopterin can also be regarded as a marker of reactive oxygen species formed by the activated cellular immune system. Therefore, by neopterin measurements not only the extent of cellular immune activation but also the extent of oxidative stress can be estimated.","container-title":"Current Drug Metabolism","DOI":"10.2174/1389200024605082","ISSN":"1389-2002","issue":"2","journalAbbreviation":"Curr Drug Metab","language":"eng","note":"PMID: 12003349","page":"175-187","source":"PubMed","title":"Neopterin as a marker for immune system activation","volume":"3","author":[{"family":"Murr","given":"C."},{"family":"Widner","given":"B."},{"family":"Wirleitner","given":"B."},{"family":"Fuchs","given":"D."}],"issued":{"date-parts":[["2002",4]]}}}],"schema":"https://github.com/citation-style-language/schema/raw/master/csl-citation.json"} </w:instrText>
      </w:r>
      <w:r>
        <w:fldChar w:fldCharType="separate"/>
      </w:r>
      <w:r>
        <w:rPr>
          <w:noProof/>
        </w:rPr>
        <w:t>(Murr et al., 2002)</w:t>
      </w:r>
      <w:r>
        <w:fldChar w:fldCharType="end"/>
      </w:r>
      <w:r>
        <w:t xml:space="preserve">. The gastrointestinal tract harbors the highest density of macrophages in the body, as they play a central role </w:t>
      </w:r>
      <w:r>
        <w:t>in host containment of gut microbiome by</w:t>
      </w:r>
      <w:r>
        <w:t xml:space="preserve"> limiting systemic exposure to </w:t>
      </w:r>
      <w:r w:rsidRPr="00344BA4">
        <w:t>gut microbes</w:t>
      </w:r>
      <w:r>
        <w:t xml:space="preserve"> </w:t>
      </w:r>
      <w:r>
        <w:fldChar w:fldCharType="begin"/>
      </w:r>
      <w:r>
        <w:instrText xml:space="preserve"> ADDIN ZOTERO_ITEM CSL_CITATION {"citationID":"EavUBInj","properties":{"formattedCitation":"(Kelsall, 2008)","plainCitation":"(Kelsall, 2008)","noteIndex":0},"citationItems":[{"id":2059,"uris":["http://zotero.org/users/13901503/items/JE3VXSP3"],"itemData":{"id":2059,"type":"article-journal","abstract":"Mucosal immune responses must be tightly controlled, particularly in the intestine. As members of the mononuclear phagocyte family, dendritic cells (DCs) and macrophages are well represented in intestinal tissues and have developed unique functional niches. This review will focus on recent findings on antigen uptake and processing in the intestine and the role of DCs in the imprinting of homing receptors on T and B cells, the induction of immunoglobulin A B-cell responses, and the differentiation of regulatory T cells. It will also address the unique phenotype of intestinal macrophages and briefly what is known regarding the relationships between these cell types.","container-title":"Mucosal Immunology","DOI":"10.1038/mi.2008.61","ISSN":"1933-0219","issue":"6","journalAbbreviation":"Mucosal Immunology","page":"460-469","source":"ScienceDirect","title":"Recent progress in understanding the phenotype and function of intestinal dendritic cells and macrophages","volume":"1","author":[{"family":"Kelsall","given":"B"}],"issued":{"date-parts":[["2008",11,1]]}}}],"schema":"https://github.com/citation-style-language/schema/raw/master/csl-citation.json"} </w:instrText>
      </w:r>
      <w:r>
        <w:fldChar w:fldCharType="separate"/>
      </w:r>
      <w:r>
        <w:rPr>
          <w:noProof/>
        </w:rPr>
        <w:t>(Kelsall, 2008)</w:t>
      </w:r>
      <w:r>
        <w:fldChar w:fldCharType="end"/>
      </w:r>
      <w:r>
        <w:t>. Therefore, neopterin is likely a valuable indicator of intestinal immune activity</w:t>
      </w:r>
      <w:r>
        <w:t xml:space="preserve">. </w:t>
      </w:r>
      <w:r>
        <w:t>In turn, specific microbes regulate macrophage activity through</w:t>
      </w:r>
      <w:r w:rsidRPr="00FA374E">
        <w:t xml:space="preserve"> </w:t>
      </w:r>
      <w:r>
        <w:t xml:space="preserve">generation of metabolites like </w:t>
      </w:r>
      <w:r>
        <w:t>short-chain fatty acids and</w:t>
      </w:r>
      <w:r>
        <w:t xml:space="preserve"> </w:t>
      </w:r>
      <w:proofErr w:type="spellStart"/>
      <w:r>
        <w:t>mondautrdyaed</w:t>
      </w:r>
      <w:proofErr w:type="spellEnd"/>
      <w:r>
        <w:t xml:space="preserve"> fatty acids to </w:t>
      </w:r>
      <w:r>
        <w:t xml:space="preserve">prevent chronic inflammatory disorders </w:t>
      </w:r>
      <w:r>
        <w:fldChar w:fldCharType="begin"/>
      </w:r>
      <w:r>
        <w:instrText xml:space="preserve"> ADDIN ZOTERO_ITEM CSL_CITATION {"citationID":"YxsMzISt","properties":{"formattedCitation":"(Corr\\uc0\\u234{}a-Oliveira et al., 2016; Wang et al., 2020)","plainCitation":"(Corrêa-Oliveira et al., 2016; Wang et al., 2020)","noteIndex":0},"citationItems":[{"id":2073,"uris":["http://zotero.org/users/13901503/items/AVMVJBUV"],"itemData":{"id":2073,"type":"article-journal","abstract":"Short-chain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R"}],"issued":{"date-parts":[["2016"]]}}},{"id":1508,"uris":["http://zotero.org/users/13901503/items/V6FDCZ8Q"],"itemData":{"id":1508,"type":"article-journal","abstract":"&lt;p&gt;Gut microbiota, an integral part of the human body, comprise bacteria, fungi, archaea, and protozoa. There is consensus that the disruption of the gut microbiota (termed “gut dysbiosis”) is influenced by host genetics, diet, antibiotics, and inflammation, and it is closely linked to the pathogenesis of inflammatory diseases, such as obesity and inflammatory bowel disease (IBD). Macrophages are the key players in the maintenance of tissue homeostasis by eliminating invading pathogens and exhibit extreme plasticity of their phenotypes, such as M1 or M2, which have been demonstrated to exert pro- and anti-inflammatory functions. Microbiota-derived metabolites, short-chain fatty acids (SCFAs) and Gram-negative bacterial lipopolysaccharides (LPS), exert anti-inflammatory or pro-inflammatory effects by acting on macrophages. Understanding the role of macrophages in gut microbiota-inflammation interactions might provide us a novel method for preventing and treating inflammatory diseases. In this review, we summarize the recent research on the relationship between gut microbiota and inflammation and discuss the important role of macrophages in this context.&lt;/p&gt;","container-title":"Frontiers in Microbiology","DOI":"10.3389/fmicb.2020.01065","ISSN":"1664-302X","journalAbbreviation":"Front. Microbiol.","language":"English","note":"publisher: Frontiers","source":"Frontiers","title":"The Relationship Between Gut Microbiota and Inflammatory Diseases: The Role of Macrophages","title-short":"The Relationship Between Gut Microbiota and Inflammatory Diseases","URL":"https://www.frontiersin.org/journals/microbiology/articles/10.3389/fmicb.2020.01065/full","volume":"11","author":[{"family":"Wang","given":"Ji"},{"family":"Chen","given":"Wei-Dong"},{"family":"Wang","given":"Yan-Dong"}],"accessed":{"date-parts":[["2025",1,3]]},"issued":{"date-parts":[["2020",6,9]]}}}],"schema":"https://github.com/citation-style-language/schema/raw/master/csl-citation.json"} </w:instrText>
      </w:r>
      <w:r>
        <w:fldChar w:fldCharType="separate"/>
      </w:r>
      <w:r w:rsidRPr="00FB0A0A">
        <w:t>(Corrêa-Oliveira et al., 2016; Wang et al., 2020)</w:t>
      </w:r>
      <w:r>
        <w:fldChar w:fldCharType="end"/>
      </w:r>
      <w:r>
        <w:t>.</w:t>
      </w:r>
      <w:r>
        <w:t xml:space="preserve"> </w:t>
      </w:r>
      <w:r>
        <w:t xml:space="preserve">Neopterin can also be </w:t>
      </w:r>
      <w:r>
        <w:lastRenderedPageBreak/>
        <w:t xml:space="preserve">measured in urine </w:t>
      </w:r>
      <w:r>
        <w:fldChar w:fldCharType="begin"/>
      </w:r>
      <w:r>
        <w:instrText xml:space="preserve"> ADDIN ZOTERO_ITEM CSL_CITATION {"citationID":"aWFXzaAz","properties":{"formattedCitation":"(Higham et al., 2015; Lucore et al., 2022)","plainCitation":"(Higham et al., 2015; Lucore et al., 2022)","noteIndex":0},"citationItems":[{"id":517,"uris":["http://zotero.org/users/13901503/items/22295YWM"],"itemData":{"id":517,"type":"article-journal","abstract":"Objectives Health, disease, and immune function are key areas of research in studies of ecology and evolution, but work on free-ranging primates has been inhibited by a lack of direct noninvasive measures of condition. Here, we evaluate the potential usefulness of noninvasive measurement of three biomarkers, the acute-phase proteins C-reactive protein (CRP) and haptoglobin, and neopterin, a by-product of macrophage activity. Materials and Methods We took advantage of veterinary checks on captive rhesus (24) and long-tailed (3) macaques at the German Primate Center (DPZ) to analyze serum marker measures, before measuring concentrations in feces and urine, and evaluating relationships between matched serum, urine, and fecal concentrations. In a second study, we monitored excretion of these markers in response to simian immunodeficiency virus (SIV) infection and surgical tissue trauma, undertaken for a separate study. Results We found that each biomarker could be measured in each matrix. Serum and urinary concentrations of neopterin were strongly and significantly correlated, but neither haptoglobin nor CRP concentrations in excreta proxied circulating serum concentrations. Our infection study confirmed that urinary neopterin, in particular, is a reliable marker of viral infection in macaques, but also indicated the potential of urinary and fecal CRP and haptoglobin as indicators of inflammation. Discussion We highlight the potential of noninvasive markers of immune function, especially of urinary neopterin, which correlates strongly with serum neopterin, and is highly responsive to infection. Am J Phys Anthropol 158:673–684, 2015. © 2015 Wiley Periodicals, Inc.","container-title":"American Journal of Physical Anthropology","DOI":"10.1002/ajpa.22821","ISSN":"1096-8644","issue":"4","language":"en","license":"© 2015 Wiley Periodicals, Inc.","note":"_eprint: https://onlinelibrary.wiley.com/doi/pdf/10.1002/ajpa.22821","page":"673-684","source":"Wiley Online Library","title":"Evaluating noninvasive markers of nonhuman primate immune activation and inflammation","volume":"158","author":[{"family":"Higham","given":"James P."},{"family":"Kraus","given":"Cornelia"},{"family":"Stahl-Hennig","given":"Christiane"},{"family":"Engelhardt","given":"Antje"},{"family":"Fuchs","given":"Dietmar"},{"family":"Heistermann","given":"Michael"}],"issued":{"date-parts":[["2015"]]}}},{"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(Higham et al., 2015; Lucore et al., 2022)</w:t>
      </w:r>
      <w:r>
        <w:fldChar w:fldCharType="end"/>
      </w:r>
      <w:r>
        <w:t xml:space="preserve">, making it an ideal choice for non-invasive field research, and has been associated with gut microbiome composition in wild primates </w:t>
      </w:r>
      <w:r>
        <w:fldChar w:fldCharType="begin"/>
      </w:r>
      <w:r>
        <w:instrText xml:space="preserve"> ADDIN ZOTERO_ITEM CSL_CITATION {"citationID":"BQ4iuKiX","properties":{"formattedCitation":"(Schneider-Crease et al., 2022)","plainCitation":"(Schneider-Crease et al., 2022)","noteIndex":0},"citationItems":[{"id":77,"uris":["http://zotero.org/users/13901503/items/HPZSPGIG"],"itemData":{"id":77,"type":"article-journal","abstract":"Neopterin, a product of activated white blood cells, is a marker of nonspecific inflammation that can capture variation in immune investment or disease-related immune activity and can be collected noninvasively in urine. Mounting studies in wildlife point to lifetime patterns in neopterin related to immune development, aging, and certain diseases, but rarely are studies able to assess whether neopterin can capture multiple concurrent dimensions of health and disease in a single system. We assessed the relationship between urinary neopterin stored on filter paper and multiple metrics of health and disease in wild geladas (Theropithecus gelada), primates endemic to the Ethiopian highlands. We tested whether neopterin captures age-related variation in inflammation arising from developing immunity in infancy and chronic inflammation in old age, inflammation related to intramuscular tapeworm infection, helminth-induced anti-inflammatory immunomodulation, and perturbations in the gastrointestinal microbiome. We found that neopterin had a U-shaped relationship with age, no association with larval tapeworm infection, a negative relationship with metrics related to gastrointestinal helminth infection, and a negative relationship with microbial diversity. Together with growing research on neopterin and specific diseases, our results demonstrate that urinary neopterin can be a powerful tool for assessing multiple dimensions of health and disease in wildlife.","container-title":"Scientific Reports","DOI":"10.1038/s41598-022-25298-9","ISSN":"2045-2322","issue":"1","journalAbbreviation":"Sci Rep","language":"en","license":"2022 The Author(s)","note":"publisher: Nature Publishing Group","page":"21307","source":"www.nature.com","title":"Urinary neopterin reflects immunological variation associated with age, helminth parasitism, and the microbiome in a wild primate","volume":"12","author":[{"family":"Schneider-Crease","given":"India A."},{"family":"Feder","given":"Jacob A."},{"family":"Baniel","given":"Alice"},{"family":"McCann","given":"Colleen"},{"family":"Haile","given":"Abebaw Azanaw"},{"family":"Abebe","given":"Belayneh"},{"family":"Fitzgerald","given":"Lauren"},{"family":"Gomery","given":"Megan A."},{"family":"Simberloff","given":"Ruth A."},{"family":"Petrie","given":"Zack L."},{"family":"Gabriel","given":"Sarah"},{"family":"Dorny","given":"Pierre"},{"family":"Fashing","given":"Peter J."},{"family":"Nguyen","given":"Nga"},{"family":"Bergman","given":"Thore J."},{"family":"Beehner","given":"Jacinta C."},{"family":"Snyder-Mackler","given":"Noah"},{"family":"Lu","given":"Amy"}],"issued":{"date-parts":[["2022",12,9]]}}}],"schema":"https://github.com/citation-style-language/schema/raw/master/csl-citation.json"} </w:instrText>
      </w:r>
      <w:r>
        <w:fldChar w:fldCharType="separate"/>
      </w:r>
      <w:r>
        <w:rPr>
          <w:noProof/>
        </w:rPr>
        <w:t>(Schneider-Crease et al., 2022)</w:t>
      </w:r>
      <w:r>
        <w:fldChar w:fldCharType="end"/>
      </w:r>
      <w:r>
        <w:t xml:space="preserve">. </w:t>
      </w:r>
    </w:p>
    <w:p w14:paraId="16CE1077" w14:textId="08F72CB6" w:rsidR="00833814" w:rsidRDefault="00833814" w:rsidP="00A566A6"/>
    <w:p w14:paraId="4F4B5C9C" w14:textId="0A44DECC" w:rsidR="00833814" w:rsidRDefault="00833814" w:rsidP="00A566A6">
      <w:r>
        <w:t xml:space="preserve">Intro about primate work and how this is different? </w:t>
      </w:r>
    </w:p>
    <w:p w14:paraId="2CF0DD77" w14:textId="2115F12D" w:rsidR="00463305" w:rsidRDefault="00833814" w:rsidP="00A566A6">
      <w:r w:rsidRPr="00E87F9D">
        <w:t>Ou</w:t>
      </w:r>
      <w:r>
        <w:t>r study aims to (1) assess the influence of temperature on microbiome composition</w:t>
      </w:r>
      <w:r>
        <w:t xml:space="preserve"> and </w:t>
      </w:r>
      <w:proofErr w:type="spellStart"/>
      <w:r>
        <w:t>metaboic</w:t>
      </w:r>
      <w:proofErr w:type="spellEnd"/>
      <w:r>
        <w:t xml:space="preserve"> function</w:t>
      </w:r>
      <w:r>
        <w:t xml:space="preserve"> in a wild primate population and (2) examine how gut microbiome response to temperature is related to host immunity</w:t>
      </w:r>
      <w:r>
        <w:t>….</w:t>
      </w:r>
    </w:p>
    <w:p w14:paraId="6BDFC8F0" w14:textId="77777777" w:rsidR="00394F65" w:rsidRDefault="00394F65" w:rsidP="00A566A6"/>
    <w:p w14:paraId="612819DE" w14:textId="77777777" w:rsidR="00394F65" w:rsidRDefault="00394F65" w:rsidP="00A566A6"/>
    <w:p w14:paraId="5FFFABA8" w14:textId="4A91C419" w:rsidR="00394F65" w:rsidRDefault="00394F65" w:rsidP="00A566A6">
      <w:r>
        <w:t xml:space="preserve">Interactions between these systems have been </w:t>
      </w:r>
      <w:proofErr w:type="spellStart"/>
      <w:r>
        <w:t>extensilve</w:t>
      </w:r>
      <w:proofErr w:type="spellEnd"/>
      <w:r>
        <w:t xml:space="preserve"> </w:t>
      </w:r>
      <w:proofErr w:type="spellStart"/>
      <w:r>
        <w:t>expored</w:t>
      </w:r>
      <w:proofErr w:type="spellEnd"/>
      <w:r>
        <w:t xml:space="preserve"> in clinical research but no research look s at how this function sin a while system in response to a natural temperature gradient</w:t>
      </w:r>
    </w:p>
    <w:p w14:paraId="13649DC2" w14:textId="77777777" w:rsidR="004D158F" w:rsidRDefault="004D158F" w:rsidP="00A566A6"/>
    <w:p w14:paraId="52A6CB2C" w14:textId="77777777" w:rsidR="00833814" w:rsidRDefault="00833814" w:rsidP="00A566A6"/>
    <w:p w14:paraId="7C8D1BFB" w14:textId="0E9228AF" w:rsidR="00092BD4" w:rsidRDefault="00833814" w:rsidP="00A566A6">
      <w:r>
        <w:t xml:space="preserve">This study highlights the crucial role of temperature in shaping </w:t>
      </w:r>
      <w:proofErr w:type="spellStart"/>
      <w:r>
        <w:t>essneital</w:t>
      </w:r>
      <w:proofErr w:type="spellEnd"/>
      <w:r>
        <w:t xml:space="preserve"> gut </w:t>
      </w:r>
      <w:proofErr w:type="spellStart"/>
      <w:r>
        <w:t>micobiome</w:t>
      </w:r>
      <w:proofErr w:type="spellEnd"/>
      <w:r>
        <w:t xml:space="preserve"> functions in wild endotherms and illustrates how temperature may affect the relationship between the gut microbiome and host immunity by impacting interactions in the gut-immune axis. Our results also offer crucial insight into how rising temperatures due to climate change may affect wild animals through changes in the microbiome and their relationship with host immunity.</w:t>
      </w:r>
    </w:p>
    <w:p w14:paraId="6B6BBCC7" w14:textId="77777777" w:rsidR="00E57C21" w:rsidRDefault="00E57C21" w:rsidP="00E57C21"/>
    <w:p w14:paraId="498DD54B" w14:textId="77777777" w:rsidR="00E57C21" w:rsidRDefault="00E57C21" w:rsidP="00E57C21"/>
    <w:p w14:paraId="677BB9CD" w14:textId="485E9DF1" w:rsidR="00E57C21" w:rsidRDefault="00E57C21" w:rsidP="00E57C21">
      <w:r>
        <w:t xml:space="preserve">Methods: </w:t>
      </w:r>
    </w:p>
    <w:p w14:paraId="0B201EAB" w14:textId="77777777" w:rsidR="00C83F85" w:rsidRDefault="00C83F85" w:rsidP="00A566A6"/>
    <w:p w14:paraId="0E08463D" w14:textId="19F29A8F" w:rsidR="004D0329" w:rsidRDefault="00786945" w:rsidP="00A566A6">
      <w:r>
        <w:t xml:space="preserve">Results: </w:t>
      </w:r>
    </w:p>
    <w:p w14:paraId="6A14D265" w14:textId="77777777" w:rsidR="00786945" w:rsidRDefault="00786945" w:rsidP="00786945">
      <w:pPr>
        <w:rPr>
          <w:u w:val="single"/>
        </w:rPr>
      </w:pPr>
      <w:r w:rsidRPr="00AE374C">
        <w:rPr>
          <w:u w:val="single"/>
        </w:rPr>
        <w:t>Gut microbiome</w:t>
      </w:r>
      <w:r>
        <w:rPr>
          <w:u w:val="single"/>
        </w:rPr>
        <w:t xml:space="preserve"> taxonomic and metabolic functional</w:t>
      </w:r>
      <w:r w:rsidRPr="00AE374C">
        <w:rPr>
          <w:u w:val="single"/>
        </w:rPr>
        <w:t xml:space="preserve"> composition is </w:t>
      </w:r>
      <w:r>
        <w:rPr>
          <w:u w:val="single"/>
        </w:rPr>
        <w:t>related to temperature</w:t>
      </w:r>
    </w:p>
    <w:p w14:paraId="0EC13E9C" w14:textId="77777777" w:rsidR="00786945" w:rsidRPr="00991E79" w:rsidRDefault="00786945" w:rsidP="00786945">
      <w:r w:rsidRPr="00991E79">
        <w:rPr>
          <w:i/>
          <w:iCs/>
        </w:rPr>
        <w:t>Community-level</w:t>
      </w:r>
      <w:r>
        <w:rPr>
          <w:i/>
          <w:iCs/>
        </w:rPr>
        <w:t xml:space="preserve"> results</w:t>
      </w:r>
    </w:p>
    <w:p w14:paraId="017B3213" w14:textId="481F1E13" w:rsidR="00786945" w:rsidRDefault="00786945" w:rsidP="00A566A6">
      <w:r>
        <w:tab/>
        <w:t xml:space="preserve">We found a strong relationship between temperature and both taxonomic and functional community-level diversity metrics. </w:t>
      </w:r>
      <w:r>
        <w:t xml:space="preserve">To assess this relationship, we compared a baseline model that accounted for known predictors of microbiome composition (sex, social group, diet, and season) to a model that included both the baseline predictors and temperature. For taxonomic community composition, the temperature model was the best fit for all community-level indices, accounting for 100% of the model weight for all principal component axes and alpha diversity metrics (Fig 1B). </w:t>
      </w:r>
      <w:r w:rsidR="00A05629">
        <w:t xml:space="preserve">The strong relationship between temperature and principal coordinate axes 1–3 suggests that temperature drives shifts in taxonomic composition </w:t>
      </w:r>
      <w:r w:rsidR="00A05629">
        <w:t xml:space="preserve">that are </w:t>
      </w:r>
      <w:r w:rsidR="00A05629">
        <w:t>substantial enough to</w:t>
      </w:r>
      <w:r w:rsidR="00A05629">
        <w:t xml:space="preserve"> affect community-level</w:t>
      </w:r>
      <w:r w:rsidR="00A05629">
        <w:t xml:space="preserve"> beta diversity.</w:t>
      </w:r>
      <w:r w:rsidR="00A05629">
        <w:t xml:space="preserve"> Both</w:t>
      </w:r>
      <w:r>
        <w:t xml:space="preserve"> alpha diversity indices show a reliable 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-0.49)(Fig 1A)</w:t>
      </w:r>
      <w:r w:rsidR="00A05629">
        <w:t xml:space="preserve">. </w:t>
      </w:r>
      <w:r>
        <w:t>Even though the effect size for all alpha diversity indices is smaller compared to the principal components, alpha diversity reliably declines with increasing temperatures (Fig 2). Since Shannon’s diversity account for community evenness and observed richness reflects the total number of ASV’s, this suggests that higher temperatures are associated with reductions in both overall levels of taxonomic diversity and evenness.</w:t>
      </w:r>
      <w:r>
        <w:t xml:space="preserve"> </w:t>
      </w:r>
    </w:p>
    <w:p w14:paraId="359E5D70" w14:textId="63487EC2" w:rsidR="00C83F85" w:rsidRDefault="00C83F85" w:rsidP="00C83F85">
      <w:pPr>
        <w:ind w:firstLine="720"/>
      </w:pPr>
      <w:r>
        <w:t>For community-level metabolic functional composition, the temperature model was the best fit for all three principal component axes and the total number of observed pathways, accounting for over 96% of the model weight. In contrast,</w:t>
      </w:r>
      <w:r>
        <w:t xml:space="preserve"> </w:t>
      </w:r>
      <w:r>
        <w:t>the baseline model was the best fit</w:t>
      </w:r>
      <w:r>
        <w:t xml:space="preserve"> for </w:t>
      </w:r>
      <w:r>
        <w:lastRenderedPageBreak/>
        <w:t>Shannon’s diversity</w:t>
      </w:r>
      <w:r>
        <w:t xml:space="preserve"> accounting for 7</w:t>
      </w:r>
      <w:r>
        <w:t>7</w:t>
      </w:r>
      <w:r>
        <w:t>% of the model weight (Fig. 1D).</w:t>
      </w:r>
      <w:r>
        <w:t xml:space="preserve"> Therefore, t</w:t>
      </w:r>
      <w:r>
        <w:t xml:space="preserve">emperature is associated with shifts in </w:t>
      </w:r>
      <w:r>
        <w:t xml:space="preserve">individual </w:t>
      </w:r>
      <w:r>
        <w:t xml:space="preserve">metabolic </w:t>
      </w:r>
      <w:r>
        <w:t>pathways</w:t>
      </w:r>
      <w:r>
        <w:t xml:space="preserve"> substantial enough to affect community-level beta diversity</w:t>
      </w:r>
      <w:r>
        <w:t xml:space="preserve">, but, the </w:t>
      </w:r>
      <w:r>
        <w:t xml:space="preserve">relationship </w:t>
      </w:r>
      <w:r>
        <w:t>between temperature</w:t>
      </w:r>
      <w:r>
        <w:t xml:space="preserve"> functional alpha diversity is less clear. Temperature shows a negative association with the total number of unique pathways (Observed: </w:t>
      </w:r>
      <w:r w:rsidRPr="00887114">
        <w:t>β</w:t>
      </w:r>
      <w:r>
        <w:rPr>
          <w:vertAlign w:val="subscript"/>
        </w:rPr>
        <w:t>temp</w:t>
      </w:r>
      <w:r>
        <w:t xml:space="preserve"> = -35.05) but the magnitude and direction of this effect are uncertain given the large confidence intervals that cross zero. The association with Shannon</w:t>
      </w:r>
      <w:r>
        <w:t>’s</w:t>
      </w:r>
      <w:r>
        <w:t xml:space="preserve"> </w:t>
      </w:r>
      <w:r>
        <w:t xml:space="preserve">diversity </w:t>
      </w:r>
      <w:r>
        <w:t>(</w:t>
      </w:r>
      <w:r w:rsidRPr="00887114">
        <w:t>β</w:t>
      </w:r>
      <w:r>
        <w:rPr>
          <w:vertAlign w:val="subscript"/>
        </w:rPr>
        <w:t>temp</w:t>
      </w:r>
      <w:r>
        <w:t xml:space="preserve"> = -0.27)</w:t>
      </w:r>
      <w:r>
        <w:t xml:space="preserve"> is much smaller in magnitude and the confidence intervals also cross zero. </w:t>
      </w:r>
      <w:r>
        <w:t>(Fig. 1C). Considered together, these results suggest that higher temperatures may reduce the number of unique functional pathways but are not associated with changes in pathway evenness.</w:t>
      </w:r>
    </w:p>
    <w:p w14:paraId="12852BEB" w14:textId="77777777" w:rsidR="00C83F85" w:rsidRDefault="00C83F85" w:rsidP="00C83F85">
      <w:pPr>
        <w:rPr>
          <w:i/>
          <w:iCs/>
        </w:rPr>
      </w:pPr>
    </w:p>
    <w:p w14:paraId="0EF64EB1" w14:textId="1B18691D" w:rsidR="00C83F85" w:rsidRDefault="00C83F85" w:rsidP="00C83F85">
      <w:r>
        <w:rPr>
          <w:i/>
          <w:iCs/>
        </w:rPr>
        <w:t>Taxonomic and metabolic pathway results</w:t>
      </w:r>
    </w:p>
    <w:p w14:paraId="25A32E9D" w14:textId="4A84836B" w:rsidR="00E51125" w:rsidRDefault="00C83F85" w:rsidP="000F177E">
      <w:r>
        <w:t xml:space="preserve">Temperature is also related to the abundance of </w:t>
      </w:r>
      <w:r w:rsidR="008B0DD4">
        <w:t>individual</w:t>
      </w:r>
      <w:r>
        <w:t xml:space="preserve"> taxa at both the family and genus levels. The temperature model fit better for 93 out of 163 taxa tested, accounting for more than 50% of the model weight. The 93 differentially abundant taxa included 37 families and 56 genera spanning 10 phyla.</w:t>
      </w:r>
      <w:r w:rsidRPr="003059AC">
        <w:t xml:space="preserve"> </w:t>
      </w:r>
      <w:r>
        <w:t xml:space="preserve">The relationship between abundance and temperature is primarily negative; 82 out of 93 taxa decline in abundance with rising temperatures (supp. Table). We used the model weights for the 97 genera to perform an ancestral state reconstruction and investigate the evolution of temperature sensitivity among gut commensals. </w:t>
      </w:r>
      <w:r w:rsidRPr="000D54E5">
        <w:t>The estimated model weight of the most ancestral node</w:t>
      </w:r>
      <w:r>
        <w:t xml:space="preserve"> is 66%, indicating that the temperature model has relatively strong support for explaining the ancestral state (Fig 3). This suggests that the ancestral commensals of the capuchin gut microbiome were sensitive to increasing temperatures. Among the phyla that represent more than 1% relative abundance, Proteobacteria appear to have diverged from the ancestral state because the temperature model accounts for less than 50% of model weight in 17 out of 24 genera. The genus assigned to </w:t>
      </w:r>
      <w:proofErr w:type="spellStart"/>
      <w:r>
        <w:t>Campylobacterota</w:t>
      </w:r>
      <w:proofErr w:type="spellEnd"/>
      <w:r>
        <w:t xml:space="preserve"> follows the same trend. </w:t>
      </w:r>
      <w:r w:rsidR="00E51125">
        <w:t>Since Proteobacteria is primarily comprised of facultative anaerobes</w:t>
      </w:r>
      <w:r w:rsidR="00E51125">
        <w:t xml:space="preserve"> (), metabolic flexibility (i.e. the ability to </w:t>
      </w:r>
      <w:r w:rsidR="00E51125">
        <w:t>switch between aerobic and anaerobic metabolism depending on oxygen availability</w:t>
      </w:r>
      <w:r w:rsidR="00E51125">
        <w:t>) may be a</w:t>
      </w:r>
      <w:r w:rsidR="004B35E1">
        <w:t xml:space="preserve"> diverged adaptation that </w:t>
      </w:r>
      <w:r w:rsidR="00E51125">
        <w:t>help</w:t>
      </w:r>
      <w:r w:rsidR="004B35E1">
        <w:t>s</w:t>
      </w:r>
      <w:r w:rsidR="00E51125">
        <w:t xml:space="preserve"> facultative taxa persist </w:t>
      </w:r>
      <w:r w:rsidR="004B35E1">
        <w:t>at high</w:t>
      </w:r>
      <w:r w:rsidR="00E51125">
        <w:t xml:space="preserve"> temperatures. </w:t>
      </w:r>
      <w:r w:rsidR="00E51125">
        <w:t xml:space="preserve">In contrast, temperature sensitivity appears more conserved within </w:t>
      </w:r>
      <w:proofErr w:type="spellStart"/>
      <w:r w:rsidR="00E51125">
        <w:t>Bacteroidota</w:t>
      </w:r>
      <w:proofErr w:type="spellEnd"/>
      <w:r w:rsidR="00E51125">
        <w:t xml:space="preserve">, where the temperature model best explains 11 out of 14 genera, </w:t>
      </w:r>
      <w:proofErr w:type="spellStart"/>
      <w:r w:rsidR="00E51125">
        <w:t>Actinobacteriota</w:t>
      </w:r>
      <w:proofErr w:type="spellEnd"/>
      <w:r w:rsidR="00E51125">
        <w:t xml:space="preserve"> (4 out of 6 genera), and Firmicutes (29 out of 42 genera). For these phyla, the relationship with temperature appears primarily negative (Fig 3), indicating that these taxa decrease in abundance with rising temperatures. </w:t>
      </w:r>
      <w:r w:rsidR="00E51125">
        <w:t xml:space="preserve">Since </w:t>
      </w:r>
      <w:proofErr w:type="spellStart"/>
      <w:r w:rsidR="00E51125">
        <w:t>B</w:t>
      </w:r>
      <w:r w:rsidR="00E51125">
        <w:t>acteroidota</w:t>
      </w:r>
      <w:proofErr w:type="spellEnd"/>
      <w:r w:rsidR="00E51125">
        <w:t xml:space="preserve"> and </w:t>
      </w:r>
      <w:r w:rsidR="00E51125">
        <w:t>Firmicutes</w:t>
      </w:r>
      <w:r w:rsidR="00E51125">
        <w:t xml:space="preserve"> include several obligate anaerobes that decrease with rising temperatures </w:t>
      </w:r>
      <w:r w:rsidR="00E51125">
        <w:t xml:space="preserve">(i.e., </w:t>
      </w:r>
      <w:r w:rsidR="00E51125" w:rsidRPr="006915F0">
        <w:rPr>
          <w:i/>
          <w:iCs/>
        </w:rPr>
        <w:t xml:space="preserve">Bacteroides, Parabacteroides, Clostridium, </w:t>
      </w:r>
      <w:proofErr w:type="spellStart"/>
      <w:r w:rsidR="00E51125" w:rsidRPr="006915F0">
        <w:rPr>
          <w:i/>
          <w:iCs/>
        </w:rPr>
        <w:t>Ruminococcus</w:t>
      </w:r>
      <w:proofErr w:type="spellEnd"/>
      <w:r w:rsidR="00E51125" w:rsidRPr="006915F0">
        <w:rPr>
          <w:i/>
          <w:iCs/>
        </w:rPr>
        <w:t xml:space="preserve">, Eubacterium, </w:t>
      </w:r>
      <w:proofErr w:type="spellStart"/>
      <w:r w:rsidR="00E51125" w:rsidRPr="006915F0">
        <w:rPr>
          <w:i/>
          <w:iCs/>
        </w:rPr>
        <w:t>Blautia</w:t>
      </w:r>
      <w:proofErr w:type="spellEnd"/>
      <w:r w:rsidR="00E51125" w:rsidRPr="006915F0">
        <w:rPr>
          <w:i/>
          <w:iCs/>
        </w:rPr>
        <w:t xml:space="preserve">, </w:t>
      </w:r>
      <w:proofErr w:type="spellStart"/>
      <w:r w:rsidR="00E51125" w:rsidRPr="006915F0">
        <w:rPr>
          <w:i/>
          <w:iCs/>
        </w:rPr>
        <w:t>Anaerostipes</w:t>
      </w:r>
      <w:proofErr w:type="spellEnd"/>
      <w:r w:rsidR="00E51125" w:rsidRPr="006915F0">
        <w:rPr>
          <w:i/>
          <w:iCs/>
        </w:rPr>
        <w:t xml:space="preserve">, </w:t>
      </w:r>
      <w:r w:rsidR="00E51125" w:rsidRPr="006915F0">
        <w:t>and</w:t>
      </w:r>
      <w:r w:rsidR="00E51125" w:rsidRPr="006915F0">
        <w:rPr>
          <w:i/>
          <w:iCs/>
        </w:rPr>
        <w:t xml:space="preserve"> </w:t>
      </w:r>
      <w:proofErr w:type="spellStart"/>
      <w:r w:rsidR="00E51125" w:rsidRPr="006915F0">
        <w:rPr>
          <w:i/>
          <w:iCs/>
        </w:rPr>
        <w:t>Alistipes</w:t>
      </w:r>
      <w:proofErr w:type="spellEnd"/>
      <w:r w:rsidR="00E51125">
        <w:t>)</w:t>
      </w:r>
      <w:r w:rsidR="00E51125">
        <w:t xml:space="preserve">, sensitivity to oxygen gradients may limit the ability to cope with high temperatures. </w:t>
      </w:r>
    </w:p>
    <w:p w14:paraId="13DDD374" w14:textId="77777777" w:rsidR="000F177E" w:rsidRDefault="000F177E" w:rsidP="000F177E"/>
    <w:p w14:paraId="559309BE" w14:textId="07E97D0B" w:rsidR="000F177E" w:rsidRDefault="00462EB7" w:rsidP="000F177E">
      <w:r>
        <w:t>Temperature is also related to the abundance of microbial metabolic pathways. The temperature model fits best for 169 out of 383 total pathways tested, accounting for more than 50% of the model’s weight (sup table). To facilitate downstream interpretation, we grouped 10</w:t>
      </w:r>
      <w:r w:rsidR="008C1D80">
        <w:t>3</w:t>
      </w:r>
      <w:r>
        <w:t xml:space="preserve"> of these pathways into five broad functional categories based on shared biological roles and their apparent relationship with temperature: lipid metabolism, </w:t>
      </w:r>
      <w:r>
        <w:t xml:space="preserve">oxygen-driven metabolism and fermentation, </w:t>
      </w:r>
      <w:r>
        <w:t xml:space="preserve">redox maintenance, nucleotide mobilization, and immune regulation (Fig 4). </w:t>
      </w:r>
      <w:r w:rsidR="007A3F4A">
        <w:t xml:space="preserve">The gut microbiome exhibits signs of metabolic restructuring that may </w:t>
      </w:r>
      <w:r w:rsidR="007A3F4A">
        <w:t>help microbes respond to rising temperatures</w:t>
      </w:r>
      <w:r w:rsidR="00F865AD">
        <w:t xml:space="preserve"> but </w:t>
      </w:r>
      <w:r w:rsidR="004B35E1">
        <w:t xml:space="preserve">that </w:t>
      </w:r>
      <w:r w:rsidR="00F865AD">
        <w:t xml:space="preserve">could also compromise essential functions. </w:t>
      </w:r>
      <w:r w:rsidR="00F865AD">
        <w:t>For example, changes in lipid metabolism including an increase in fatty acids synthesis pathways like oleate, cis-</w:t>
      </w:r>
      <w:proofErr w:type="spellStart"/>
      <w:r w:rsidR="00F865AD">
        <w:t>vaccenate</w:t>
      </w:r>
      <w:proofErr w:type="spellEnd"/>
      <w:r w:rsidR="00F865AD">
        <w:t xml:space="preserve">, palmitoleate, stearate, and </w:t>
      </w:r>
      <w:proofErr w:type="spellStart"/>
      <w:r w:rsidR="00F865AD">
        <w:t>gondoate</w:t>
      </w:r>
      <w:proofErr w:type="spellEnd"/>
      <w:r w:rsidR="00F865AD">
        <w:t xml:space="preserve"> and lipid remodeling pathways such as </w:t>
      </w:r>
      <w:r w:rsidR="00F865AD">
        <w:lastRenderedPageBreak/>
        <w:t>mevalonate pathway and downstream isoprenoid lipids synthesis, may help maintain cytoplasmic membrane integrity at high temperatures</w:t>
      </w:r>
      <w:r w:rsidR="00F865AD">
        <w:t xml:space="preserve"> </w:t>
      </w:r>
      <w:r w:rsidR="00F865AD">
        <w:t>(Fig 4A)</w:t>
      </w:r>
      <w:r w:rsidR="00F865AD">
        <w:fldChar w:fldCharType="begin"/>
      </w:r>
      <w:r w:rsidR="00034BF3">
        <w:instrText xml:space="preserve"> ADDIN ZOTERO_ITEM CSL_CITATION {"citationID":"ZsjASiqo","properties":{"formattedCitation":"(Mansilla et al., 2004; Y.-M. Zhang &amp; Rock, 2008)","plainCitation":"(Mansilla et al., 2004; Y.-M. Zhang &amp; Rock, 2008)","noteIndex":0},"citationItems":[{"id":3378,"uris":["http://zotero.org/users/13901503/items/TZK8TZFH"],"itemData":{"id":3378,"type":"article-journal","container-title":"Journal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865AD">
        <w:fldChar w:fldCharType="separate"/>
      </w:r>
      <w:r w:rsidR="00034BF3">
        <w:rPr>
          <w:noProof/>
        </w:rPr>
        <w:t>(Mansilla et al., 2004; Y.-M. Zhang &amp; Rock, 2008)</w:t>
      </w:r>
      <w:r w:rsidR="00F865AD">
        <w:fldChar w:fldCharType="end"/>
      </w:r>
      <w:r w:rsidR="00F865AD">
        <w:t xml:space="preserve">. However, a decrease in </w:t>
      </w:r>
      <w:r w:rsidR="00F865AD">
        <w:t>pathways involved in lipid catabolism and recycling including fatty acid β-oxidation, fatty acid salvage, and phospholipid turnover</w:t>
      </w:r>
      <w:r w:rsidR="00F865AD">
        <w:t xml:space="preserve"> </w:t>
      </w:r>
      <w:r w:rsidR="00F865AD">
        <w:t>likely impairs membrane repair mechanisms</w:t>
      </w:r>
      <w:r w:rsidR="00F865AD">
        <w:t xml:space="preserve"> </w:t>
      </w:r>
      <w:r w:rsidR="00F865AD">
        <w:fldChar w:fldCharType="begin"/>
      </w:r>
      <w:r w:rsidR="00034BF3">
        <w:instrText xml:space="preserve"> ADDIN ZOTERO_ITEM CSL_CITATION {"citationID":"lWyrjH6E","properties":{"formattedCitation":"(Dennis, 1994; Y.-M. Zhang &amp; Rock, 2008)","plainCitation":"(Dennis, 1994; Y.-M. Zhang &amp; Rock, 2008)","noteIndex":0},"citationItems":[{"id":3285,"uris":["http://zotero.org/users/13901503/items/932HVZ4C"],"itemData":{"id":3285,"type":"article-journal","container-title":"Journal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865AD">
        <w:fldChar w:fldCharType="separate"/>
      </w:r>
      <w:r w:rsidR="00034BF3">
        <w:rPr>
          <w:noProof/>
        </w:rPr>
        <w:t>(Dennis, 1994; Y.-M. Zhang &amp; Rock, 2008)</w:t>
      </w:r>
      <w:r w:rsidR="00F865AD">
        <w:fldChar w:fldCharType="end"/>
      </w:r>
      <w:r w:rsidR="00F865AD" w:rsidRPr="00F865AD">
        <w:t xml:space="preserve"> </w:t>
      </w:r>
      <w:r w:rsidR="00F865AD">
        <w:t xml:space="preserve">and </w:t>
      </w:r>
      <w:r w:rsidR="00F865AD">
        <w:t>may compromise</w:t>
      </w:r>
      <w:r w:rsidR="00F865AD">
        <w:t xml:space="preserve"> integrity during extended periods of high temperatures. Further, </w:t>
      </w:r>
      <w:r w:rsidR="008C1D80">
        <w:t>an increase in anaerobic pathways</w:t>
      </w:r>
      <w:r w:rsidR="005B1580">
        <w:t>,</w:t>
      </w:r>
      <w:r w:rsidR="008C1D80">
        <w:t xml:space="preserve"> </w:t>
      </w:r>
      <w:r w:rsidR="005B1580">
        <w:t xml:space="preserve">including </w:t>
      </w:r>
      <w:r w:rsidR="008C1D80">
        <w:t xml:space="preserve">the </w:t>
      </w:r>
      <w:r w:rsidR="008C1D80">
        <w:t>reductive TCA cycle</w:t>
      </w:r>
      <w:r w:rsidR="005B1580">
        <w:t xml:space="preserve"> and several involved in glycolysis,</w:t>
      </w:r>
      <w:r w:rsidR="008C1D80">
        <w:t xml:space="preserve"> </w:t>
      </w:r>
      <w:r w:rsidR="008C1D80">
        <w:t>alongside a decrease in pathways that support aerobic metabolism</w:t>
      </w:r>
      <w:r w:rsidR="008C1D80">
        <w:t xml:space="preserve"> </w:t>
      </w:r>
      <w:r w:rsidR="005B1580">
        <w:t>may reflect a</w:t>
      </w:r>
      <w:r w:rsidR="008C1D80">
        <w:t xml:space="preserve"> response to increased gut hypoxia at high temperatures </w:t>
      </w:r>
      <w:r w:rsidR="005B1580">
        <w:t>(Fig 4B)</w:t>
      </w:r>
      <w:r w:rsidR="008C1D80">
        <w:fldChar w:fldCharType="begin"/>
      </w:r>
      <w:r w:rsidR="008C1D80">
        <w:instrText xml:space="preserve"> ADDIN ZOTERO_ITEM CSL_CITATION {"citationID":"RZiOC71a","properties":{"formattedCitation":"(Hall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8C1D80">
        <w:rPr>
          <w:rFonts w:ascii="Cambria Math" w:hAnsi="Cambria Math" w:cs="Cambria Math"/>
        </w:rPr>
        <w:instrText>𝑃</w:instrText>
      </w:r>
      <w:r w:rsidR="008C1D80">
        <w:instrText xml:space="preserve">⁢CO2P⁢CO2, while decreasing venous O2 saturation and venous pH. One hour after heat exposure, liver glycogen levels were decreased </w:instrText>
      </w:r>
      <w:r w:rsidR="008C1D80">
        <w:rPr>
          <w:rFonts w:ascii="Cambria Math" w:hAnsi="Cambria Math" w:cs="Cambria Math"/>
        </w:rPr>
        <w:instrText>∼</w:instrText>
      </w:r>
      <w:r w:rsidR="008C1D80">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8C1D80">
        <w:fldChar w:fldCharType="separate"/>
      </w:r>
      <w:r w:rsidR="008C1D80">
        <w:rPr>
          <w:noProof/>
        </w:rPr>
        <w:t>(Hall et al., 1999)</w:t>
      </w:r>
      <w:r w:rsidR="008C1D80">
        <w:fldChar w:fldCharType="end"/>
      </w:r>
      <w:r w:rsidR="005B1580">
        <w:t xml:space="preserve"> and help maintain energy production under increased oxygen limitation</w:t>
      </w:r>
      <w:r w:rsidR="008C1D80">
        <w:t>. However, the</w:t>
      </w:r>
      <w:r w:rsidR="005B1580">
        <w:t>se</w:t>
      </w:r>
      <w:r w:rsidR="008C1D80">
        <w:t xml:space="preserve"> anaerobic pathways</w:t>
      </w:r>
      <w:r w:rsidR="005B1580">
        <w:t xml:space="preserve"> are </w:t>
      </w:r>
      <w:r w:rsidR="005B1580">
        <w:t xml:space="preserve">primarily </w:t>
      </w:r>
      <w:r w:rsidR="005B1580">
        <w:t xml:space="preserve">used in </w:t>
      </w:r>
      <w:r w:rsidR="005B1580">
        <w:t>simple carbohydrate metabolism</w:t>
      </w:r>
      <w:r w:rsidR="005B1580">
        <w:t xml:space="preserve"> a</w:t>
      </w:r>
      <w:r w:rsidR="005B1580">
        <w:t>nd coincide with a decline in complex polysaccharide fermentation</w:t>
      </w:r>
      <w:r w:rsidR="005B1580">
        <w:t xml:space="preserve">, these changes may </w:t>
      </w:r>
      <w:r w:rsidR="005B1580">
        <w:t>eventually decrease overall energy availability</w:t>
      </w:r>
      <w:r w:rsidR="005B1580">
        <w:t xml:space="preserve"> (). </w:t>
      </w:r>
    </w:p>
    <w:p w14:paraId="7A4872B8" w14:textId="77777777" w:rsidR="004B35E1" w:rsidRDefault="004B35E1" w:rsidP="000F177E"/>
    <w:p w14:paraId="5324CA72" w14:textId="59DE1BC1" w:rsidR="00AB74C6" w:rsidRDefault="00333F2D" w:rsidP="000F177E">
      <w:r>
        <w:t>Some metabolic changes</w:t>
      </w:r>
      <w:r w:rsidR="005B1580">
        <w:t xml:space="preserve"> </w:t>
      </w:r>
      <w:r w:rsidR="004B35E1">
        <w:t xml:space="preserve">indicate that rising temperature may negatively affect the </w:t>
      </w:r>
      <w:r w:rsidR="003340EB">
        <w:t>gastrointestinal</w:t>
      </w:r>
      <w:r w:rsidR="004B35E1">
        <w:t xml:space="preserve"> environment.</w:t>
      </w:r>
      <w:r w:rsidR="003340EB">
        <w:t xml:space="preserve"> </w:t>
      </w:r>
      <w:proofErr w:type="spellStart"/>
      <w:r w:rsidR="003340EB">
        <w:t>Specifcially</w:t>
      </w:r>
      <w:proofErr w:type="spellEnd"/>
      <w:r w:rsidR="003340EB">
        <w:t>, declines in pathways that support</w:t>
      </w:r>
      <w:r w:rsidR="004B35E1">
        <w:t xml:space="preserve"> redox maintenance</w:t>
      </w:r>
      <w:r w:rsidR="003340EB">
        <w:t xml:space="preserve"> </w:t>
      </w:r>
      <w:r w:rsidR="004B35E1">
        <w:t xml:space="preserve">including the synthesis of redox cofactors such as B vitamins </w:t>
      </w:r>
      <w:r w:rsidR="004B35E1">
        <w:fldChar w:fldCharType="begin"/>
      </w:r>
      <w:r w:rsidR="004B35E1">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4B35E1">
        <w:fldChar w:fldCharType="separate"/>
      </w:r>
      <w:r w:rsidR="004B35E1">
        <w:rPr>
          <w:noProof/>
        </w:rPr>
        <w:t>(Hellmann &amp; Mooney, 2010; Powers, 2003)</w:t>
      </w:r>
      <w:r w:rsidR="004B35E1">
        <w:fldChar w:fldCharType="end"/>
      </w:r>
      <w:r w:rsidR="004B35E1">
        <w:t xml:space="preserve">, coenzymes </w:t>
      </w:r>
      <w:r w:rsidR="004B35E1">
        <w:fldChar w:fldCharType="begin"/>
      </w:r>
      <w:r w:rsidR="004B35E1">
        <w:instrText xml:space="preserve"> ADDIN ZOTERO_ITEM CSL_CITATION {"citationID":"4f75BpHM","properties":{"formattedCitation":"(Gout,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rsidR="004B35E1">
        <w:fldChar w:fldCharType="separate"/>
      </w:r>
      <w:r w:rsidR="004B35E1">
        <w:rPr>
          <w:noProof/>
        </w:rPr>
        <w:t>(Gout, 2018)</w:t>
      </w:r>
      <w:r w:rsidR="004B35E1">
        <w:fldChar w:fldCharType="end"/>
      </w:r>
      <w:r w:rsidR="004B35E1">
        <w:t xml:space="preserve">, and antioxidant precursors to glutathione </w:t>
      </w:r>
      <w:r w:rsidR="004B35E1">
        <w:fldChar w:fldCharType="begin"/>
      </w:r>
      <w:r w:rsidR="004B35E1">
        <w:instrText xml:space="preserve"> ADDIN ZOTERO_ITEM CSL_CITATION {"citationID":"2FPwkzM8","properties":{"formattedCitation":"(S. C. Lu, 2013)","plainCitation":"(S. C. 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4B35E1">
        <w:fldChar w:fldCharType="separate"/>
      </w:r>
      <w:r w:rsidR="004B35E1">
        <w:rPr>
          <w:noProof/>
        </w:rPr>
        <w:t>(S. C. Lu, 2013)</w:t>
      </w:r>
      <w:r w:rsidR="004B35E1">
        <w:fldChar w:fldCharType="end"/>
      </w:r>
      <w:r w:rsidR="003340EB" w:rsidRPr="003340EB">
        <w:t xml:space="preserve"> </w:t>
      </w:r>
      <w:r w:rsidR="003340EB">
        <w:t>may impair the gut microbiome’s ability to neutralize reactive oxygen species</w:t>
      </w:r>
      <w:r w:rsidR="003340EB">
        <w:t xml:space="preserve"> (ROS). </w:t>
      </w:r>
      <w:r w:rsidR="003340EB">
        <w:t xml:space="preserve">Similarly, </w:t>
      </w:r>
      <w:r w:rsidR="003340EB">
        <w:t>reductions</w:t>
      </w:r>
      <w:r w:rsidR="003340EB">
        <w:t xml:space="preserve"> in detoxification pathways for aromatic compounds and aldehydes (Kalapos, 1999), along with declines in redox cycling processes such as NADPH production, quinone synthesis, and siderophore-mediated iron transport (Fig 4C; Dhungana &amp; Crumbliss, 2005; Ying, 2008), may further contribute to redox imbalance at high temperatures.</w:t>
      </w:r>
      <w:r w:rsidR="003340EB">
        <w:t xml:space="preserve"> </w:t>
      </w:r>
      <w:r>
        <w:t>However, some pathways that support redox maintenance increase with rising temperatures including the synthesis of antioxidant precursors</w:t>
      </w:r>
      <w:r>
        <w:t xml:space="preserve"> and </w:t>
      </w:r>
      <w:r>
        <w:t>vitamin B12</w:t>
      </w:r>
      <w:r>
        <w:t xml:space="preserve"> </w:t>
      </w:r>
      <w:r>
        <w:fldChar w:fldCharType="begin"/>
      </w:r>
      <w:r>
        <w:instrText xml:space="preserve"> ADDIN ZOTERO_ITEM CSL_CITATION {"citationID":"RysgoECv","properties":{"formattedCitation":"(Martens et al., 2002)","plainCitation":"(Martens et al., 2002)","noteIndex":0},"citationItems":[{"id":3337,"uris":["http://zotero.org/users/13901503/items/ZQRDCT8W"],"itemData":{"id":3337,"type":"article-journal","abstract":"One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fldChar w:fldCharType="separate"/>
      </w:r>
      <w:r>
        <w:rPr>
          <w:noProof/>
        </w:rPr>
        <w:t>(Martens et al., 2002)</w:t>
      </w:r>
      <w:r>
        <w:fldChar w:fldCharType="end"/>
      </w:r>
      <w:r>
        <w:t xml:space="preserve">, </w:t>
      </w:r>
      <w:r>
        <w:t>coenzyme metabolism</w:t>
      </w:r>
      <w:r w:rsidR="00573F59">
        <w:t xml:space="preserve"> </w:t>
      </w:r>
      <w:r w:rsidR="00573F59">
        <w:fldChar w:fldCharType="begin"/>
      </w:r>
      <w:r w:rsidR="00573F59">
        <w:instrText xml:space="preserve"> ADDIN ZOTERO_ITEM CSL_CITATION {"citationID":"RUb5pm3b","properties":{"formattedCitation":"(Belenky et al., 2007)","plainCitation":"(Belenky et al., 2007)","noteIndex":0},"citationItems":[{"id":3246,"uris":["http://zotero.org/users/13901503/items/SBMSGALS"],"itemData":{"id":3246,"type":"article-journal","container-title":"Trends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L."},{"family":"Brenner","given":"Charles"}],"issued":{"date-parts":[["2007",1,1]]}}}],"schema":"https://github.com/citation-style-language/schema/raw/master/csl-citation.json"} </w:instrText>
      </w:r>
      <w:r w:rsidR="00573F59">
        <w:fldChar w:fldCharType="separate"/>
      </w:r>
      <w:r w:rsidR="00573F59">
        <w:rPr>
          <w:noProof/>
        </w:rPr>
        <w:t>(Belenky et al., 2007)</w:t>
      </w:r>
      <w:r w:rsidR="00573F59">
        <w:fldChar w:fldCharType="end"/>
      </w:r>
      <w:r w:rsidR="00573F59">
        <w:t>,</w:t>
      </w:r>
      <w:r>
        <w:t xml:space="preserve"> </w:t>
      </w:r>
      <w:r>
        <w:t>and degradation of vitamin-like compounds</w:t>
      </w:r>
      <w:r w:rsidR="00573F59">
        <w:t xml:space="preserve"> </w:t>
      </w:r>
      <w:r w:rsidR="00573F59">
        <w:fldChar w:fldCharType="begin"/>
      </w:r>
      <w:r w:rsidR="00573F59">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rsidR="00573F59">
        <w:fldChar w:fldCharType="separate"/>
      </w:r>
      <w:r w:rsidR="00573F59">
        <w:rPr>
          <w:noProof/>
        </w:rPr>
        <w:t>(Linster &amp; Van Schaftingen, 2007)</w:t>
      </w:r>
      <w:r w:rsidR="00573F59">
        <w:fldChar w:fldCharType="end"/>
      </w:r>
      <w:r>
        <w:t xml:space="preserve">. </w:t>
      </w:r>
      <w:r>
        <w:t xml:space="preserve">These shifts may represent a compensatory effort to counteract the loss of ROS-neutralizing pathways and help sustain redox balance at high temperatures. Unfortunately, this compensation is likely insufficient to prevent the accumulation of ROS as indicated by the concomitant increase in pathways involved in nucleotide mobilization including purine and pyrimidine de novo synthesis, nucleotide salvage, and recycling </w:t>
      </w:r>
      <w:r w:rsidR="00573F59">
        <w:t>(Fig 4D)</w:t>
      </w:r>
      <w:r>
        <w:fldChar w:fldCharType="begin"/>
      </w:r>
      <w:r>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Pr>
          <w:rFonts w:ascii="Cambria Math" w:hAnsi="Cambria Math" w:cs="Cambria Math"/>
        </w:rPr>
        <w:instrText>ﬀ</w:instrText>
      </w:r>
      <w:r>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fldChar w:fldCharType="separate"/>
      </w:r>
      <w:r>
        <w:rPr>
          <w:noProof/>
        </w:rPr>
        <w:t>(Kilstrup et al., 2005; Lane &amp; Fan, 2015)</w:t>
      </w:r>
      <w:r>
        <w:fldChar w:fldCharType="end"/>
      </w:r>
      <w:r>
        <w:t xml:space="preserve">. There is also an increase in pathways that may support accuracy during translation </w:t>
      </w:r>
      <w:r w:rsidRPr="00F33655">
        <w:t xml:space="preserve">such as </w:t>
      </w:r>
      <w:proofErr w:type="spellStart"/>
      <w:r w:rsidRPr="00F33655">
        <w:t>queuosine</w:t>
      </w:r>
      <w:proofErr w:type="spellEnd"/>
      <w:r w:rsidRPr="00F33655">
        <w:t xml:space="preserve"> synthesis and S-adenosylmethionine salvage</w:t>
      </w:r>
      <w:r>
        <w:t xml:space="preserve"> </w:t>
      </w:r>
      <w:r w:rsidRPr="00F33655">
        <w:t>(Vinayak &amp; Pathak, 2010)</w:t>
      </w:r>
      <w:r>
        <w:t xml:space="preserve">. This coordinated increase in nucleotide and translation-associated metabolism may reflect a microbial response to redox imbalance, because the accumulation of ROS can lead to DNA damage </w:t>
      </w:r>
      <w:r>
        <w:fldChar w:fldCharType="begin"/>
      </w:r>
      <w:r>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fldChar w:fldCharType="separate"/>
      </w:r>
      <w:r>
        <w:rPr>
          <w:noProof/>
        </w:rPr>
        <w:t>(Imlay, 2013)</w:t>
      </w:r>
      <w:r>
        <w:fldChar w:fldCharType="end"/>
      </w:r>
      <w:r>
        <w:t>.</w:t>
      </w:r>
      <w:r w:rsidR="00AB74C6">
        <w:t xml:space="preserve"> </w:t>
      </w:r>
    </w:p>
    <w:p w14:paraId="01826818" w14:textId="77777777" w:rsidR="003340EB" w:rsidRDefault="003340EB" w:rsidP="000F177E"/>
    <w:p w14:paraId="6E7CE877" w14:textId="1CF4C8D2" w:rsidR="00280546" w:rsidRDefault="003340EB" w:rsidP="00280546">
      <w:r>
        <w:t xml:space="preserve">Further, shifts in pathways responsible for immune regulation may decrease host immune tolerance towards the microbiome. </w:t>
      </w:r>
      <w:r w:rsidR="00280546">
        <w:t xml:space="preserve">Rising temperatures are associated with a </w:t>
      </w:r>
      <w:r w:rsidR="00280546" w:rsidRPr="00183627">
        <w:t xml:space="preserve">decrease in </w:t>
      </w:r>
      <w:r w:rsidR="00280546">
        <w:t xml:space="preserve">microbial </w:t>
      </w:r>
      <w:r w:rsidR="00280546" w:rsidRPr="00183627">
        <w:t xml:space="preserve">pathways that </w:t>
      </w:r>
      <w:r w:rsidR="00280546">
        <w:t xml:space="preserve">produce metabolites known to support anti-inflammatory signaling directed from the microbiome to the host. This includes a reduction in the production of short-chain fatty acids such as butyrate and propanoate, catabolism of monosaturated fatty acids like oleate, and amino acid–derived immunomodulators including arginine degradation and ornithine biosynthesis (Fig 4E). Loss of these pathways may weaken key mechanisms that promote host immune tolerance toward gut bacteria including support of anti-inflammatory regulatory T cell activity </w:t>
      </w:r>
      <w:r w:rsidR="00280546">
        <w:fldChar w:fldCharType="begin"/>
      </w:r>
      <w:r w:rsidR="00280546">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280546">
        <w:fldChar w:fldCharType="separate"/>
      </w:r>
      <w:r w:rsidR="00280546">
        <w:rPr>
          <w:noProof/>
        </w:rPr>
        <w:t>(Arpaia et al., 2013; Furusawa et al., 2013)</w:t>
      </w:r>
      <w:r w:rsidR="00280546">
        <w:fldChar w:fldCharType="end"/>
      </w:r>
      <w:r w:rsidR="00280546">
        <w:t xml:space="preserve">, suppression of pro-inflammatory cytokine signaling </w:t>
      </w:r>
      <w:r w:rsidR="00280546">
        <w:fldChar w:fldCharType="begin"/>
      </w:r>
      <w:r w:rsidR="00280546">
        <w:instrText xml:space="preserve"> ADDIN ZOTERO_ITEM CSL_CITATION {"citationID":"CvzFPJOA","properties":{"formattedCitation":"(Hung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280546">
        <w:fldChar w:fldCharType="separate"/>
      </w:r>
      <w:r w:rsidR="00280546">
        <w:rPr>
          <w:noProof/>
        </w:rPr>
        <w:t>(Hung et al., 2023; Klampfer et al., 2003)</w:t>
      </w:r>
      <w:r w:rsidR="00280546">
        <w:fldChar w:fldCharType="end"/>
      </w:r>
      <w:r w:rsidR="00280546">
        <w:t>, and support for M2 macrophage anti-</w:t>
      </w:r>
      <w:r w:rsidR="00280546">
        <w:lastRenderedPageBreak/>
        <w:t xml:space="preserve">inflammatory activity </w:t>
      </w:r>
      <w:r w:rsidR="00280546">
        <w:fldChar w:fldCharType="begin"/>
      </w:r>
      <w:r w:rsidR="00280546">
        <w:instrText xml:space="preserve"> ADDIN ZOTERO_ITEM CSL_CITATION {"citationID":"ed86fdVL","properties":{"formattedCitation":"(Bronte &amp; Zanovello, 2005; Rath et al., 2014)","plainCitation":"(Bronte &amp; Zanovello, 2005; Rath et al., 2014)","noteIndex":0},"citationItems":[{"id":3530,"uris":["http://zotero.org/users/13901503/items/C52YCWD9"],"itemData":{"id":3530,"type":"article-journal","abstract":"An impaired balance between immature and mature myeloid cells is one of the hallmarks of seemingly unrelated pathological conditions that are associated with T-cell dysfunction.In mice, co-expression of CD11b and GR1 is associated with myeloid cells at various stages of differentiation that can inhibit T-cell activation induced by either antigen or a polyclonal stimulus. This inhibition occurs through an MHC-independent mechanism that requires cell–cell contact.These myeloid cells are known as myeloid suppressor cells (MSCs), and they partially overlap with the previously described natural suppressor cells. MSCs arise from bone marrow and other haematopoietic organs that are exposed to systemically released factors that act on myelomonocytic precursors.MSCs inhibit antigen-activated T cells by a mechanism that requires important enzymes of L-arginine metabolism, the inducible forms of nitric-oxide synthase (NOS) and arginase (ARG), NOS2 and ARG1. In mouse myeloid cells, NOS2 and ARG1are competitively regulated by T helper 1 (TH1) and TH2 cytokines, respectively.MSCs can use ARG1 and NOS2, either separately or in combination, to restrain T-cell functions. The choice is regulated by a network of signals, cytokines and receptor–ligand interactions that underlie the crosstalk between MSCs and activated T cells.NOS2 generates nitric oxide (NO), which blocks signalling from the interleukin-2 receptor. By contrast, L-arginine depletion induced by the activity of ARG1 causes downregulation of expression of the ζ-chain of CD3 and, consequently, impairment of its signalling properties.Moreover, NO and superoxide (O2−) production in MSCs generates several highly oxidizing molecules known as reactive nitrogen and oxygen species. Generation of reactive nitrogen and oxygen species regulates the contraction phase of CD8+ T cells following antigenic stimulation.The activity of ARG1 and NOS2 working in combination was recently described for CD11b+GR1+ cells from tumour-bearing mice and chronically infected mice, thereby indicating that co-expression of both enzymes could be unique to MSCs.Evidence from animal and human models indicates that the immunomodulatory role of L-arginine metabolism is important in physiological, as well as pathological, conditions, which provides the rationale for development of therapeutic compounds that control the ARG and NOS enzymatic pathways.","container-title":"Nature Reviews Immunology","DOI":"10.1038/nri1668","ISSN":"1474-1741","issue":"8","journalAbbreviation":"Nat Rev Immunol","language":"en","license":"2005 Springer Nature Limited","note":"publisher: Nature Publishing Group","page":"641-654","source":"www.nature.com","title":"Regulation of immune responses by L-arginine metabolism","volume":"5","author":[{"family":"Bronte","given":"Vincenzo"},{"family":"Zanovello","given":"Paola"}],"issued":{"date-parts":[["2005",8]]}}},{"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rsidR="00280546">
        <w:fldChar w:fldCharType="separate"/>
      </w:r>
      <w:r w:rsidR="00280546">
        <w:rPr>
          <w:noProof/>
        </w:rPr>
        <w:t>(Bronte &amp; Zanovello, 2005; Rath et al., 2014)</w:t>
      </w:r>
      <w:r w:rsidR="00280546">
        <w:fldChar w:fldCharType="end"/>
      </w:r>
      <w:r w:rsidR="00280546">
        <w:t xml:space="preserve">. However, these shifts are accompanied by an increase in select pathways that may help compensate for the loss of microbial immune regulation, including the synthesis of the </w:t>
      </w:r>
      <w:r w:rsidR="00280546" w:rsidRPr="000C50E7">
        <w:t>saturated</w:t>
      </w:r>
      <w:r w:rsidR="00280546">
        <w:t xml:space="preserve"> </w:t>
      </w:r>
      <w:r w:rsidR="00280546">
        <w:t>fatty acid</w:t>
      </w:r>
      <w:r w:rsidR="00280546">
        <w:t>s</w:t>
      </w:r>
      <w:r w:rsidR="00280546">
        <w:t xml:space="preserve"> (5Z)-</w:t>
      </w:r>
      <w:proofErr w:type="spellStart"/>
      <w:r w:rsidR="00280546">
        <w:t>dodecenoate</w:t>
      </w:r>
      <w:proofErr w:type="spellEnd"/>
      <w:r w:rsidR="00280546">
        <w:t xml:space="preserve"> and L-tryptophan biosynthesis, which leads to the production of indole derivatives that suppress pro-inflammatory cytokine signaling </w:t>
      </w:r>
      <w:r w:rsidR="00280546">
        <w:fldChar w:fldCharType="begin"/>
      </w:r>
      <w:r w:rsidR="00280546">
        <w:instrText xml:space="preserve"> ADDIN ZOTERO_ITEM CSL_CITATION {"citationID":"WbrfEbW1","properties":{"formattedCitation":"(Konopelski &amp; Mogilnicka, 2022)","plainCitation":"(Konopelski &amp; Mogilnicka, 2022)","noteIndex":0},"citationItems":[{"id":3532,"uris":["http://zotero.org/users/13901503/items/X4GCYZZS"],"itemData":{"id":3532,"type":"article-journal","abstract":"Actions of symbiotic gut microbiota are in dynamic balance with the host’s organism to maintain homeostasis. Many different factors have an impact on this relationship, including bacterial metabolites. Several substrates for their synthesis have been established, including tryptophan, an exogenous amino acid. Many biological processes are influenced by the action of tryptophan and its endogenous metabolites, serotonin, and melatonin. Recent research findings also provide evidence that gut bacteria-derived metabolites of tryptophan share the biological effects of their precursor. Thus, this review aims to investigate the biological actions of indole-3-propionic acid (IPA), a gut microbiota-derived metabolite of tryptophan. We searched PUBMED and Google Scholar databases to identify pre-clinical and clinical studies evaluating the impact of IPA on the health and pathophysiology of the immune, nervous, gastrointestinal and cardiovascular system in mammals. IPA exhibits a similar impact on the energetic balance and cardiovascular system to its precursor, tryptophan. Additionally, IPA has a positive impact on a cellular level, by preventing oxidative stress injury, lipoperoxidation and inhibiting synthesis of proinflammatory cytokines. Its synthesis can be diminished in the presence of different risk factors of atherosclerosis. On the other hand, protective factors, such as the introduction of a Mediterranean diet, tend to increase its plasma concentration. IPA seems to be a promising new target, linking gut health with the cardiovascular system.","container-title":"International Journal of Molecular Sciences","DOI":"10.3390/ijms23031222","ISSN":"1422-0067","issue":"3","language":"en","license":"http://creativecommons.org/licenses/by/3.0/","note":"number: 3\npublisher: Multidisciplinary Digital Publishing Institute","page":"1222","source":"www.mdpi.com","title":"Biological Effects of Indole-3-Propionic Acid, a Gut Microbiota-Derived Metabolite, and Its Precursor Tryptophan in Mammals’ Health and Disease","volume":"23","author":[{"family":"Konopelski","given":"Piotr"},{"family":"Mogilnicka","given":"Izabella"}],"issued":{"date-parts":[["2022",1]]}}}],"schema":"https://github.com/citation-style-language/schema/raw/master/csl-citation.json"} </w:instrText>
      </w:r>
      <w:r w:rsidR="00280546">
        <w:fldChar w:fldCharType="separate"/>
      </w:r>
      <w:r w:rsidR="00280546">
        <w:rPr>
          <w:noProof/>
        </w:rPr>
        <w:t>(Konopelski &amp; Mogilnicka, 2022)</w:t>
      </w:r>
      <w:r w:rsidR="00280546">
        <w:fldChar w:fldCharType="end"/>
      </w:r>
      <w:r w:rsidR="00280546">
        <w:t xml:space="preserve">. </w:t>
      </w:r>
    </w:p>
    <w:p w14:paraId="29E5AA85" w14:textId="77777777" w:rsidR="00786945" w:rsidRDefault="00786945" w:rsidP="00A566A6"/>
    <w:p w14:paraId="13D213D5" w14:textId="77777777" w:rsidR="000C50E7" w:rsidRDefault="000C50E7" w:rsidP="000C50E7">
      <w:pPr>
        <w:rPr>
          <w:u w:val="single"/>
        </w:rPr>
      </w:pPr>
      <w:r>
        <w:rPr>
          <w:u w:val="single"/>
        </w:rPr>
        <w:t>Neopterin</w:t>
      </w:r>
      <w:r w:rsidRPr="00AE374C">
        <w:rPr>
          <w:u w:val="single"/>
        </w:rPr>
        <w:t xml:space="preserve"> is </w:t>
      </w:r>
      <w:r>
        <w:rPr>
          <w:u w:val="single"/>
        </w:rPr>
        <w:t>associated</w:t>
      </w:r>
      <w:r w:rsidRPr="00AE374C">
        <w:rPr>
          <w:u w:val="single"/>
        </w:rPr>
        <w:t xml:space="preserve"> </w:t>
      </w:r>
      <w:r>
        <w:rPr>
          <w:u w:val="single"/>
        </w:rPr>
        <w:t xml:space="preserve">with </w:t>
      </w:r>
      <w:r w:rsidRPr="00AE374C">
        <w:rPr>
          <w:u w:val="single"/>
        </w:rPr>
        <w:t xml:space="preserve">the gut microbiome’s </w:t>
      </w:r>
      <w:r>
        <w:rPr>
          <w:u w:val="single"/>
        </w:rPr>
        <w:t>relationship with</w:t>
      </w:r>
      <w:r w:rsidRPr="00AE374C">
        <w:rPr>
          <w:u w:val="single"/>
        </w:rPr>
        <w:t xml:space="preserve"> temperature</w:t>
      </w:r>
    </w:p>
    <w:p w14:paraId="77AD7B45" w14:textId="77777777" w:rsidR="000C50E7" w:rsidRPr="00991E79" w:rsidRDefault="000C50E7" w:rsidP="000C50E7">
      <w:r w:rsidRPr="00991E79">
        <w:rPr>
          <w:i/>
          <w:iCs/>
        </w:rPr>
        <w:t>Community-level</w:t>
      </w:r>
      <w:r>
        <w:rPr>
          <w:i/>
          <w:iCs/>
        </w:rPr>
        <w:t xml:space="preserve"> results</w:t>
      </w:r>
    </w:p>
    <w:p w14:paraId="1D357A32" w14:textId="7905AEA4" w:rsidR="0081413B" w:rsidRDefault="000C50E7" w:rsidP="00F60603">
      <w:r>
        <w:t>To assess if neopterin concentration is associated with the gut microbiome’s relationship with temperature we compared the temperature model that included</w:t>
      </w:r>
      <w:r>
        <w:t xml:space="preserve"> known predictors of microbiome composition</w:t>
      </w:r>
      <w:r>
        <w:t xml:space="preserve"> plus temperature to a model that included the baseline predictors </w:t>
      </w:r>
      <w:r w:rsidR="00F60603">
        <w:t>and</w:t>
      </w:r>
      <w:r>
        <w:t xml:space="preserve"> an interaction effect between temperature and neopterin. </w:t>
      </w:r>
      <w:r w:rsidR="0081413B">
        <w:t>For taxonomic composition, the interaction model fits best for all three principal components</w:t>
      </w:r>
      <w:r w:rsidR="0081413B" w:rsidRPr="0081413B">
        <w:t xml:space="preserve"> </w:t>
      </w:r>
      <w:r w:rsidR="0081413B">
        <w:t>accounting for at least 98% of the model weight</w:t>
      </w:r>
      <w:r w:rsidR="0081413B">
        <w:t xml:space="preserve"> </w:t>
      </w:r>
      <w:r w:rsidR="0081413B">
        <w:t>(Fig 5B).</w:t>
      </w:r>
      <w:r w:rsidR="0081413B">
        <w:t xml:space="preserve"> </w:t>
      </w:r>
      <w:r w:rsidR="0081413B">
        <w:t>Principal component 1 is the only component with reliable confidence intervals (i.e., 95% CIs do not cross zero)</w:t>
      </w:r>
      <w:r w:rsidR="0081413B" w:rsidRPr="008852E2">
        <w:t xml:space="preserve"> </w:t>
      </w:r>
      <w:r w:rsidR="0081413B">
        <w:t>(Fig 5</w:t>
      </w:r>
      <w:r w:rsidR="002B6A18">
        <w:t>As</w:t>
      </w:r>
      <w:r w:rsidR="0081413B">
        <w:t>) and accounts for the greatest proportion of variance among all principal components. This result, combined with the high model weight for all principal components, suggests that neopterin concentration is associated with the relationship between beta diversity and temperature.</w:t>
      </w:r>
      <w:r w:rsidR="0081413B">
        <w:t xml:space="preserve"> In contrast, the temperature model fits best for both alpha diversity metrics accounting for at least 86% of the model weight. Th</w:t>
      </w:r>
      <w:r w:rsidR="007B10D4">
        <w:t>ese</w:t>
      </w:r>
      <w:r w:rsidR="0081413B">
        <w:t xml:space="preserve"> results combined with the </w:t>
      </w:r>
      <w:r w:rsidR="004477FD">
        <w:t>s</w:t>
      </w:r>
      <w:r w:rsidR="0081413B">
        <w:t xml:space="preserve">mall effect sizes </w:t>
      </w:r>
      <w:r w:rsidR="002B6A18">
        <w:t>(</w:t>
      </w:r>
      <w:r w:rsidR="002B6A18">
        <w:t xml:space="preserve">Shannon </w:t>
      </w:r>
      <w:r w:rsidR="002B6A18" w:rsidRPr="00887114">
        <w:t>β</w:t>
      </w:r>
      <w:r w:rsidR="002B6A18">
        <w:rPr>
          <w:vertAlign w:val="subscript"/>
        </w:rPr>
        <w:t>temp*neopterin</w:t>
      </w:r>
      <w:r w:rsidR="002B6A18">
        <w:t xml:space="preserve"> = -0.</w:t>
      </w:r>
      <w:r w:rsidR="002B6A18">
        <w:t>10</w:t>
      </w:r>
      <w:r w:rsidR="002B6A18">
        <w:t xml:space="preserve">, Observed </w:t>
      </w:r>
      <w:r w:rsidR="002B6A18" w:rsidRPr="00887114">
        <w:t>β</w:t>
      </w:r>
      <w:r w:rsidR="002B6A18">
        <w:rPr>
          <w:vertAlign w:val="subscript"/>
        </w:rPr>
        <w:t>temp</w:t>
      </w:r>
      <w:r w:rsidR="002B6A18">
        <w:rPr>
          <w:vertAlign w:val="subscript"/>
        </w:rPr>
        <w:t>*neopterin</w:t>
      </w:r>
      <w:r w:rsidR="002B6A18">
        <w:t xml:space="preserve"> = -0.</w:t>
      </w:r>
      <w:r w:rsidR="002B6A18">
        <w:t xml:space="preserve">13) </w:t>
      </w:r>
      <w:r w:rsidR="0081413B">
        <w:t>and unreliable confidence intervals for both alpha diversity indices</w:t>
      </w:r>
      <w:r w:rsidR="0081413B">
        <w:t xml:space="preserve"> (Fig 5</w:t>
      </w:r>
      <w:r w:rsidR="007B10D4">
        <w:t>A</w:t>
      </w:r>
      <w:r w:rsidR="0081413B">
        <w:t>)</w:t>
      </w:r>
      <w:r w:rsidR="0081413B" w:rsidRPr="0081413B">
        <w:t xml:space="preserve"> </w:t>
      </w:r>
      <w:r w:rsidR="0081413B">
        <w:t>suggest that the relationship between alpha diversity and temperature is independent of neopterin concentration.</w:t>
      </w:r>
    </w:p>
    <w:p w14:paraId="00D16534" w14:textId="77777777" w:rsidR="000F177E" w:rsidRDefault="000F177E" w:rsidP="000F177E"/>
    <w:p w14:paraId="7AF481BE" w14:textId="0F73CE5A" w:rsidR="00F60603" w:rsidRDefault="00F60603" w:rsidP="000F177E">
      <w:r>
        <w:t xml:space="preserve">For </w:t>
      </w:r>
      <w:r>
        <w:t>functional</w:t>
      </w:r>
      <w:r>
        <w:t xml:space="preserve"> composition</w:t>
      </w:r>
      <w:r>
        <w:t xml:space="preserve">, </w:t>
      </w:r>
      <w:r w:rsidR="0081413B">
        <w:t xml:space="preserve">the interaction model fits best for all three principal components and observed </w:t>
      </w:r>
      <w:r w:rsidR="007B10D4">
        <w:t>pathways</w:t>
      </w:r>
      <w:r w:rsidR="0081413B">
        <w:t xml:space="preserve"> accounting for at least 98% of the model weight</w:t>
      </w:r>
      <w:r w:rsidR="00FA1AA6">
        <w:t>,</w:t>
      </w:r>
      <w:r w:rsidR="0081413B">
        <w:t xml:space="preserve"> while the temperature model fits best for Shannon’s diversity accounting for 63% of the model weight (Fig 5B</w:t>
      </w:r>
      <w:r w:rsidR="002B6A18">
        <w:t>s</w:t>
      </w:r>
      <w:r w:rsidR="0081413B">
        <w:t>).</w:t>
      </w:r>
      <w:r w:rsidR="007B10D4">
        <w:t xml:space="preserve"> Even thoug</w:t>
      </w:r>
      <w:r w:rsidR="00FA1AA6">
        <w:t xml:space="preserve">h Principal component 3 is the only component with reliable confidence intervals, the </w:t>
      </w:r>
      <w:r w:rsidR="002B6A18">
        <w:t xml:space="preserve">large </w:t>
      </w:r>
      <w:r w:rsidR="00FA1AA6">
        <w:t xml:space="preserve">effect </w:t>
      </w:r>
      <w:r w:rsidR="002B6A18">
        <w:t>sizes</w:t>
      </w:r>
      <w:r w:rsidR="00FA1AA6">
        <w:t xml:space="preserve"> for all three components</w:t>
      </w:r>
      <w:r w:rsidR="002B6A18">
        <w:t xml:space="preserve"> </w:t>
      </w:r>
      <w:r w:rsidR="002B6A18">
        <w:t>(</w:t>
      </w:r>
      <w:r w:rsidR="002B6A18">
        <w:t xml:space="preserve">PC1 </w:t>
      </w:r>
      <w:r w:rsidR="002B6A18" w:rsidRPr="00887114">
        <w:t>β</w:t>
      </w:r>
      <w:r w:rsidR="002B6A18">
        <w:rPr>
          <w:vertAlign w:val="subscript"/>
        </w:rPr>
        <w:t>temp*neopterin</w:t>
      </w:r>
      <w:r w:rsidR="002B6A18">
        <w:t xml:space="preserve"> = </w:t>
      </w:r>
      <w:r w:rsidR="002B6A18">
        <w:t>17.60</w:t>
      </w:r>
      <w:r w:rsidR="002B6A18">
        <w:t xml:space="preserve">, </w:t>
      </w:r>
      <w:r w:rsidR="002B6A18">
        <w:t>PC2</w:t>
      </w:r>
      <w:r w:rsidR="002B6A18">
        <w:t xml:space="preserve"> </w:t>
      </w:r>
      <w:r w:rsidR="002B6A18" w:rsidRPr="00887114">
        <w:t>β</w:t>
      </w:r>
      <w:r w:rsidR="002B6A18">
        <w:rPr>
          <w:vertAlign w:val="subscript"/>
        </w:rPr>
        <w:t>temp*neopterin</w:t>
      </w:r>
      <w:r w:rsidR="002B6A18">
        <w:t xml:space="preserve"> = -</w:t>
      </w:r>
      <w:r w:rsidR="002B6A18">
        <w:t xml:space="preserve">7.66, PC3 </w:t>
      </w:r>
      <w:r w:rsidR="002B6A18" w:rsidRPr="00887114">
        <w:t>β</w:t>
      </w:r>
      <w:r w:rsidR="002B6A18">
        <w:rPr>
          <w:vertAlign w:val="subscript"/>
        </w:rPr>
        <w:t>temp*neopterin</w:t>
      </w:r>
      <w:r w:rsidR="002B6A18">
        <w:t xml:space="preserve"> =</w:t>
      </w:r>
      <w:r w:rsidR="002B6A18">
        <w:t xml:space="preserve"> -11.44</w:t>
      </w:r>
      <w:r w:rsidR="002B6A18">
        <w:t xml:space="preserve">) </w:t>
      </w:r>
      <w:r w:rsidR="002B6A18">
        <w:t xml:space="preserve"> </w:t>
      </w:r>
      <w:r w:rsidR="00FA1AA6">
        <w:t xml:space="preserve">plus the model weights </w:t>
      </w:r>
      <w:r w:rsidR="00FA1AA6">
        <w:t>suggest that neopterin concentration is associated with the relationship between</w:t>
      </w:r>
      <w:r w:rsidR="00FA1AA6">
        <w:t xml:space="preserve"> functional</w:t>
      </w:r>
      <w:r w:rsidR="00FA1AA6">
        <w:t xml:space="preserve"> beta diversity and temperature.</w:t>
      </w:r>
      <w:r w:rsidR="00FA1AA6">
        <w:t xml:space="preserve"> The effect size and model weight for observed pathways</w:t>
      </w:r>
      <w:r w:rsidR="002B6A18">
        <w:t xml:space="preserve"> (</w:t>
      </w:r>
      <w:r w:rsidR="002B6A18">
        <w:t xml:space="preserve">Observed </w:t>
      </w:r>
      <w:r w:rsidR="002B6A18" w:rsidRPr="00887114">
        <w:t>β</w:t>
      </w:r>
      <w:r w:rsidR="002B6A18">
        <w:rPr>
          <w:vertAlign w:val="subscript"/>
        </w:rPr>
        <w:t>temp*neopterin</w:t>
      </w:r>
      <w:r w:rsidR="002B6A18">
        <w:t xml:space="preserve"> = </w:t>
      </w:r>
      <w:r w:rsidR="002B6A18">
        <w:t xml:space="preserve">72.78) </w:t>
      </w:r>
      <w:r w:rsidR="00FA1AA6">
        <w:t>suggest that neopterin may be associated with the relationship between the total number of distinct metabolic pathways and temperature</w:t>
      </w:r>
      <w:r w:rsidR="004477FD">
        <w:t xml:space="preserve">. </w:t>
      </w:r>
      <w:r w:rsidR="00FA1AA6">
        <w:t>However, it is unlikely that neopterin is associated with the relationship between temperature and functional even</w:t>
      </w:r>
      <w:r w:rsidR="004477FD">
        <w:t>n</w:t>
      </w:r>
      <w:r w:rsidR="00FA1AA6">
        <w:t>ess due to the small effect size</w:t>
      </w:r>
      <w:r w:rsidR="002B6A18">
        <w:t xml:space="preserve"> </w:t>
      </w:r>
      <w:r w:rsidR="002B6A18">
        <w:t>(</w:t>
      </w:r>
      <w:r w:rsidR="002B6A18">
        <w:t>Shannon</w:t>
      </w:r>
      <w:r w:rsidR="002B6A18">
        <w:t xml:space="preserve"> </w:t>
      </w:r>
      <w:r w:rsidR="002B6A18" w:rsidRPr="00887114">
        <w:t>β</w:t>
      </w:r>
      <w:r w:rsidR="002B6A18">
        <w:rPr>
          <w:vertAlign w:val="subscript"/>
        </w:rPr>
        <w:t>temp*neopterin</w:t>
      </w:r>
      <w:r w:rsidR="002B6A18">
        <w:t xml:space="preserve"> = </w:t>
      </w:r>
      <w:r w:rsidR="002B6A18">
        <w:t>0.46</w:t>
      </w:r>
      <w:r w:rsidR="002B6A18">
        <w:t>)</w:t>
      </w:r>
      <w:r w:rsidR="00FA1AA6">
        <w:t xml:space="preserve">, unreliable confidence intervals, and model weight for Shannon’s diversity. </w:t>
      </w:r>
    </w:p>
    <w:p w14:paraId="168BCD18" w14:textId="77777777" w:rsidR="000C50E7" w:rsidRDefault="000C50E7" w:rsidP="00A566A6"/>
    <w:p w14:paraId="152349B8" w14:textId="77777777" w:rsidR="00502B08" w:rsidRDefault="00502B08" w:rsidP="00502B08">
      <w:pPr>
        <w:rPr>
          <w:i/>
          <w:iCs/>
        </w:rPr>
      </w:pPr>
      <w:r>
        <w:rPr>
          <w:i/>
          <w:iCs/>
        </w:rPr>
        <w:t>Taxonomic and metabolic pathway results</w:t>
      </w:r>
    </w:p>
    <w:p w14:paraId="779F0001" w14:textId="29BE9650" w:rsidR="009C62EC" w:rsidRDefault="00A46A10" w:rsidP="000F177E">
      <w:r>
        <w:t>Neopterin concentration is also associated with the relationship between</w:t>
      </w:r>
      <w:r w:rsidRPr="008852E2">
        <w:t xml:space="preserve"> </w:t>
      </w:r>
      <w:r>
        <w:t>temperature and the abundance of individual taxa. The same model comparison approach used for the community-level analysis shows that the interaction model accounts for more than 50% of the model weight for 2</w:t>
      </w:r>
      <w:r w:rsidR="004477FD">
        <w:t>0</w:t>
      </w:r>
      <w:r>
        <w:t xml:space="preserve"> out of the 93 individual taxa associated with temperature (</w:t>
      </w:r>
      <w:r w:rsidR="004477FD">
        <w:t>Sup Table</w:t>
      </w:r>
      <w:r>
        <w:t xml:space="preserve">). Among these taxa, </w:t>
      </w:r>
      <w:r w:rsidR="002B6A18">
        <w:t>6</w:t>
      </w:r>
      <w:r>
        <w:t xml:space="preserve"> are families and 14 are genera, with most of the taxa representing two phyla Firmicutes (1</w:t>
      </w:r>
      <w:r w:rsidR="004477FD">
        <w:t>2</w:t>
      </w:r>
      <w:r>
        <w:t xml:space="preserve"> taxa) and </w:t>
      </w:r>
      <w:proofErr w:type="spellStart"/>
      <w:r>
        <w:t>Bacteroidota</w:t>
      </w:r>
      <w:proofErr w:type="spellEnd"/>
      <w:r>
        <w:t xml:space="preserve"> (5 taxa). To interpret the interaction effect, we plotted the relationship between abundance and temperature across </w:t>
      </w:r>
      <w:r w:rsidR="002B6A18">
        <w:t>three</w:t>
      </w:r>
      <w:r>
        <w:t xml:space="preserve"> discrete ranges of neopterin values</w:t>
      </w:r>
      <w:r w:rsidR="002B6A18">
        <w:t xml:space="preserve"> (Fig 5)</w:t>
      </w:r>
      <w:r>
        <w:t xml:space="preserve">. These results indicate </w:t>
      </w:r>
      <w:r w:rsidR="009C62EC">
        <w:t>two</w:t>
      </w:r>
      <w:r>
        <w:t xml:space="preserve"> distinct effects: </w:t>
      </w:r>
      <w:r w:rsidR="009C62EC">
        <w:t xml:space="preserve">(1) </w:t>
      </w:r>
      <w:r w:rsidR="009C62EC">
        <w:t>the relationship between temperature and abundance becomes more negative (i.e. the slopes decrease)</w:t>
      </w:r>
      <w:r w:rsidR="009C62EC">
        <w:t xml:space="preserve"> at higher neopterin concentrations </w:t>
      </w:r>
      <w:r w:rsidR="009C62EC">
        <w:lastRenderedPageBreak/>
        <w:t>(Fig 4A),</w:t>
      </w:r>
      <w:r w:rsidR="009C62EC">
        <w:t xml:space="preserve"> </w:t>
      </w:r>
      <w:r w:rsidR="009C62EC">
        <w:t>(2)</w:t>
      </w:r>
      <w:r w:rsidR="009C62EC" w:rsidRPr="009C62EC">
        <w:t xml:space="preserve"> </w:t>
      </w:r>
      <w:r w:rsidR="009C62EC">
        <w:t>the relationship between temperature and abundance becomes more</w:t>
      </w:r>
      <w:r w:rsidR="009C62EC" w:rsidRPr="009C62EC">
        <w:t xml:space="preserve"> </w:t>
      </w:r>
      <w:r w:rsidR="009C62EC">
        <w:t>positive (i.e. the slopes increase)</w:t>
      </w:r>
      <w:r w:rsidR="009C62EC">
        <w:t xml:space="preserve"> at higher </w:t>
      </w:r>
      <w:r w:rsidR="009C62EC">
        <w:t>neopterin concentrations</w:t>
      </w:r>
      <w:r w:rsidR="009C62EC">
        <w:t xml:space="preserve"> </w:t>
      </w:r>
      <w:r w:rsidR="009C62EC">
        <w:t>(Fig 4B &amp; C).</w:t>
      </w:r>
      <w:r w:rsidR="007246CF" w:rsidRPr="007246CF">
        <w:t xml:space="preserve"> </w:t>
      </w:r>
      <w:r w:rsidR="007246CF">
        <w:t xml:space="preserve">There are two patterns of increasing slopes: one where a positive slope becomes steeper </w:t>
      </w:r>
      <w:r w:rsidR="007246CF">
        <w:t xml:space="preserve">when </w:t>
      </w:r>
      <w:r w:rsidR="007246CF">
        <w:t>neopterin</w:t>
      </w:r>
      <w:r w:rsidR="007246CF">
        <w:t xml:space="preserve"> is high</w:t>
      </w:r>
      <w:r w:rsidR="007246CF">
        <w:t>, and another where a negative slope shifts to positive when neopterin is high</w:t>
      </w:r>
      <w:r w:rsidR="007246CF">
        <w:t xml:space="preserve">. </w:t>
      </w:r>
      <w:r w:rsidR="009C62EC">
        <w:t xml:space="preserve">The majority of taxa (12 out of 20) </w:t>
      </w:r>
      <w:r w:rsidR="009C62EC">
        <w:t xml:space="preserve">exhibit decreasing slopes as neopterin increases. </w:t>
      </w:r>
      <w:r w:rsidR="009C62EC">
        <w:t xml:space="preserve">These effects likely reflect how taxonomic response to rising temperatures influences intestinal macrophage activity, while intestinal immunity simultaneously shapes </w:t>
      </w:r>
      <w:r w:rsidR="007246CF">
        <w:t xml:space="preserve">the </w:t>
      </w:r>
      <w:r w:rsidR="009C62EC">
        <w:t>taxonomic response to temperature.</w:t>
      </w:r>
    </w:p>
    <w:p w14:paraId="65DC506A" w14:textId="77777777" w:rsidR="009C62EC" w:rsidRDefault="009C62EC" w:rsidP="000F177E"/>
    <w:p w14:paraId="18CDE926" w14:textId="77777777" w:rsidR="000F177E" w:rsidRDefault="000F177E" w:rsidP="000F7130"/>
    <w:p w14:paraId="53EDD07B" w14:textId="77777777" w:rsidR="008F7C1B" w:rsidRDefault="00731AC9" w:rsidP="008F7C1B">
      <w:r>
        <w:t>Neopterin concentration is also associated with the relationship between</w:t>
      </w:r>
      <w:r w:rsidRPr="008852E2">
        <w:t xml:space="preserve"> </w:t>
      </w:r>
      <w:r>
        <w:t xml:space="preserve">temperature and the abundance of </w:t>
      </w:r>
      <w:r>
        <w:t>individual metabolic pathways</w:t>
      </w:r>
      <w:r>
        <w:t>.</w:t>
      </w:r>
      <w:r w:rsidR="000F7130">
        <w:t xml:space="preserve"> The interaction model f</w:t>
      </w:r>
      <w:r w:rsidR="007C2897">
        <w:t>it</w:t>
      </w:r>
      <w:r w:rsidR="000F7130">
        <w:t xml:space="preserve"> better for 65 out of 116 pathways tested, </w:t>
      </w:r>
      <w:r w:rsidR="000F7130">
        <w:t>accounting for more than 50% of the model weight</w:t>
      </w:r>
      <w:r w:rsidR="000F177E">
        <w:t xml:space="preserve"> (Supp table). </w:t>
      </w:r>
      <w:r w:rsidR="000F177E">
        <w:t xml:space="preserve">To interpret the interaction effect, we plotted the relationship between abundance and temperature across </w:t>
      </w:r>
      <w:r w:rsidR="000F177E">
        <w:t>two</w:t>
      </w:r>
      <w:r w:rsidR="000F177E">
        <w:t xml:space="preserve"> discrete ranges of neopterin values.</w:t>
      </w:r>
      <w:r w:rsidR="000F177E">
        <w:t xml:space="preserve"> </w:t>
      </w:r>
      <w:r w:rsidR="00D01117">
        <w:t>These results indicate the same two effects as the taxonomic analysis (1) where slopes increase at higher neopterin and (2) where slopes decrease (Fig 5)</w:t>
      </w:r>
      <w:r w:rsidR="008F7C1B">
        <w:t xml:space="preserve">. </w:t>
      </w:r>
      <w:r w:rsidR="008F7C1B">
        <w:t>There are two patterns of increasing slopes: one where a positive slope becomes steeper when neopterin is high, and another where a negative slope shifts to positive when neopterin is high.</w:t>
      </w:r>
      <w:r w:rsidR="008F7C1B">
        <w:t xml:space="preserve"> There are three patterns of decreasing slopes, </w:t>
      </w:r>
      <w:r w:rsidR="008F7C1B">
        <w:t xml:space="preserve">one where a </w:t>
      </w:r>
      <w:r w:rsidR="008F7C1B">
        <w:t>negative</w:t>
      </w:r>
      <w:r w:rsidR="008F7C1B">
        <w:t xml:space="preserve"> slope becomes steeper</w:t>
      </w:r>
      <w:r w:rsidR="008F7C1B">
        <w:t xml:space="preserve">, </w:t>
      </w:r>
      <w:r w:rsidR="008F7C1B">
        <w:t xml:space="preserve">another where a </w:t>
      </w:r>
      <w:r w:rsidR="008F7C1B">
        <w:t>positive</w:t>
      </w:r>
      <w:r w:rsidR="008F7C1B">
        <w:t xml:space="preserve"> slope shifts to </w:t>
      </w:r>
      <w:r w:rsidR="008F7C1B">
        <w:t xml:space="preserve">negative, and one where a positive slope becomes less positive. </w:t>
      </w:r>
      <w:r w:rsidR="008F7C1B">
        <w:t xml:space="preserve">Similar to the taxonomic analysis these effects likely reflect how metabolic response to rising temperatures may influence intestinal immunity and how intestinal immunity simultaneously affects metabolic response to temperature.  </w:t>
      </w:r>
    </w:p>
    <w:p w14:paraId="3CAC8F17" w14:textId="6563E2C9" w:rsidR="008F7C1B" w:rsidRDefault="008F7C1B" w:rsidP="008F7C1B"/>
    <w:p w14:paraId="4835ECFF" w14:textId="17E3823E" w:rsidR="00A566A6" w:rsidRDefault="00A566A6" w:rsidP="00A566A6">
      <w:r>
        <w:t xml:space="preserve">Discussion: </w:t>
      </w:r>
    </w:p>
    <w:p w14:paraId="4346532A" w14:textId="2127094D" w:rsidR="008631EB" w:rsidRDefault="00B74D78">
      <w:pPr>
        <w:rPr>
          <w:u w:val="single"/>
        </w:rPr>
      </w:pPr>
      <w:r w:rsidRPr="00C64C3B">
        <w:rPr>
          <w:u w:val="single"/>
        </w:rPr>
        <w:t xml:space="preserve">Gut microbiome </w:t>
      </w:r>
      <w:r>
        <w:rPr>
          <w:u w:val="single"/>
        </w:rPr>
        <w:t>response to</w:t>
      </w:r>
      <w:r w:rsidRPr="00C64C3B">
        <w:rPr>
          <w:u w:val="single"/>
        </w:rPr>
        <w:t xml:space="preserve"> temperature</w:t>
      </w:r>
    </w:p>
    <w:p w14:paraId="3C59CDAF" w14:textId="1D2374A0" w:rsidR="00036A73" w:rsidRDefault="00D763E3" w:rsidP="00A566A6">
      <w:r>
        <w:t>T</w:t>
      </w:r>
      <w:r>
        <w:t xml:space="preserve">he </w:t>
      </w:r>
      <w:r>
        <w:t>g</w:t>
      </w:r>
      <w:r>
        <w:t>ut microbiome</w:t>
      </w:r>
      <w:r>
        <w:t>’s response</w:t>
      </w:r>
      <w:r>
        <w:t xml:space="preserve"> </w:t>
      </w:r>
      <w:r>
        <w:t>to</w:t>
      </w:r>
      <w:r>
        <w:t xml:space="preserve"> high temperatures may affect its role in conferring colonization resistance— the ability to protect the host from exogenous pathogens.</w:t>
      </w:r>
      <w:r w:rsidR="00036A73">
        <w:t xml:space="preserve"> </w:t>
      </w:r>
      <w:r w:rsidR="0089345D">
        <w:t>Colonization resistance arises from direct competition with pathogens for resources and microbial support for host immun</w:t>
      </w:r>
      <w:r w:rsidR="0089345D">
        <w:t xml:space="preserve">ity </w:t>
      </w:r>
      <w:r>
        <w:fldChar w:fldCharType="begin"/>
      </w:r>
      <w:r>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fldChar w:fldCharType="separate"/>
      </w:r>
      <w:r>
        <w:rPr>
          <w:noProof/>
        </w:rPr>
        <w:t>(Caballero-Flores et al., 2023)</w:t>
      </w:r>
      <w:r>
        <w:fldChar w:fldCharType="end"/>
      </w:r>
      <w:r>
        <w:t>.</w:t>
      </w:r>
      <w:r w:rsidRPr="00D763E3">
        <w:t xml:space="preserve"> </w:t>
      </w:r>
      <w:r>
        <w:t xml:space="preserve">Community-level analysis </w:t>
      </w:r>
      <w:r w:rsidR="00036A73">
        <w:t>reveals</w:t>
      </w:r>
      <w:r>
        <w:t xml:space="preserve"> that </w:t>
      </w:r>
      <w:r w:rsidR="00036A73">
        <w:t>taxonomic alpha diversity</w:t>
      </w:r>
      <w:r w:rsidR="00036A73">
        <w:t xml:space="preserve"> d</w:t>
      </w:r>
      <w:r w:rsidR="00036A73">
        <w:t>eclines with increasing temperature</w:t>
      </w:r>
      <w:r w:rsidR="00036A73">
        <w:t xml:space="preserve">s </w:t>
      </w:r>
      <w:r>
        <w:t>(Fig 2)</w:t>
      </w:r>
      <w:r>
        <w:t xml:space="preserve">, </w:t>
      </w:r>
      <w:r>
        <w:t>suggesting that heat may impair the gut microbiome’s ability to confer colonization</w:t>
      </w:r>
      <w:r w:rsidR="00036A73">
        <w:t xml:space="preserve"> by reducing the diversity of taxa that compete with pathogens </w:t>
      </w:r>
      <w:r>
        <w:fldChar w:fldCharType="begin"/>
      </w:r>
      <w:r>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fldChar w:fldCharType="separate"/>
      </w:r>
      <w:r>
        <w:rPr>
          <w:noProof/>
        </w:rPr>
        <w:t>(Spragge et al., 2023)</w:t>
      </w:r>
      <w:r>
        <w:fldChar w:fldCharType="end"/>
      </w:r>
      <w:r>
        <w:t xml:space="preserve">. </w:t>
      </w:r>
      <w:r w:rsidR="00786060">
        <w:t>H</w:t>
      </w:r>
      <w:r w:rsidR="008F1008">
        <w:t xml:space="preserve">igh temperatures are also associated with the decline of </w:t>
      </w:r>
      <w:r w:rsidR="008F1008">
        <w:t>taxa</w:t>
      </w:r>
      <w:r w:rsidR="008F1008">
        <w:t xml:space="preserve"> known to support host immunity including </w:t>
      </w:r>
      <w:proofErr w:type="spellStart"/>
      <w:r w:rsidR="008F1008" w:rsidRPr="00A566A6">
        <w:rPr>
          <w:rStyle w:val="Emphasis"/>
          <w:rFonts w:eastAsiaTheme="majorEastAsia"/>
        </w:rPr>
        <w:t>Clostridiaceae</w:t>
      </w:r>
      <w:proofErr w:type="spellEnd"/>
      <w:r>
        <w:t>,</w:t>
      </w:r>
      <w:r w:rsidR="008F1008" w:rsidRPr="00A566A6">
        <w:t xml:space="preserve"> </w:t>
      </w:r>
      <w:r w:rsidR="008F1008" w:rsidRPr="00A566A6">
        <w:rPr>
          <w:rStyle w:val="Emphasis"/>
          <w:rFonts w:eastAsiaTheme="majorEastAsia"/>
        </w:rPr>
        <w:t>Lactococcus</w:t>
      </w:r>
      <w:r>
        <w:rPr>
          <w:rStyle w:val="Emphasis"/>
          <w:rFonts w:eastAsiaTheme="majorEastAsia"/>
        </w:rPr>
        <w:t>,</w:t>
      </w:r>
      <w:r w:rsidR="008F1008" w:rsidRPr="00A566A6">
        <w:t xml:space="preserve"> and </w:t>
      </w:r>
      <w:proofErr w:type="spellStart"/>
      <w:r w:rsidR="008F1008" w:rsidRPr="00A566A6">
        <w:rPr>
          <w:i/>
          <w:iCs/>
        </w:rPr>
        <w:t>Barnesiella</w:t>
      </w:r>
      <w:proofErr w:type="spellEnd"/>
      <w:r>
        <w:rPr>
          <w:i/>
          <w:iCs/>
        </w:rPr>
        <w:t xml:space="preserve"> </w:t>
      </w:r>
      <w:r w:rsidR="0089345D" w:rsidRPr="0089345D">
        <w:t>(Fig 3)</w:t>
      </w:r>
      <w:r w:rsidR="0089345D">
        <w:rPr>
          <w:i/>
          <w:iCs/>
        </w:rPr>
        <w:t xml:space="preserve"> </w:t>
      </w:r>
      <w:r w:rsidR="008F1008">
        <w:t xml:space="preserve">which </w:t>
      </w:r>
      <w:r w:rsidR="008F1008">
        <w:t xml:space="preserve">promote </w:t>
      </w:r>
      <w:r w:rsidR="00786060">
        <w:t>anti</w:t>
      </w:r>
      <w:r w:rsidR="008F1008">
        <w:t>-inflammatory signaling</w:t>
      </w:r>
      <w:r w:rsidR="008F1008">
        <w:t xml:space="preserve"> </w:t>
      </w:r>
      <w:r w:rsidR="008F1008">
        <w:fldChar w:fldCharType="begin"/>
      </w:r>
      <w:r w:rsidR="008F1008">
        <w:instrText xml:space="preserve"> ADDIN ZOTERO_ITEM CSL_CITATION {"citationID":"pc5CY4OJ","properties":{"formattedCitation":"(Corr\\uc0\\u234{}a-Oliveira et al., 2016; Jacobson et al., 2018)","plainCitation":"(Corrêa-Oliveira et al., 2016; Jacobson et al., 2018)","noteIndex":0},"citationItems":[{"id":2073,"uris":["http://zotero.org/users/13901503/items/AVMVJBUV"],"itemData":{"id":2073,"type":"article-journal","abstract":"Short-chain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R"}],"issued":{"date-parts":[["2016"]]}}},{"id":2088,"uris":["http://zotero.org/users/13901503/items/JSDRJUCY"],"itemData":{"id":2088,"type":"article-journal","abstract":"The intestinal microbiota provides colonization resistance against pathogens, limiting pathogen expansion and transmission. These microbiota-mediated mechanisms were previously identified by observing loss of colonization resistance after antibiotic treatment or dietary changes, which severely disrupt microbiota communities. We identify a microbiota-mediated mechanism of colonization resistance against Salmonella enterica serovar Typhimurium (S. Typhimurium) by comparing high-complexity commensal communities with different levels of colonization resistance. Using inbred mouse strains with different infection dynamics and S. Typhimurium intestinal burdens, we demonstrate that Bacteroides species mediate colonization resistance against S. Typhimurium by producing the short-chain fatty acid propionate. Propionate directly inhibits pathogen growth in vitro by disrupting intracellular pH homeostasis, and chemically increasing intestinal propionate levels protects mice from S. Typhimurium. In addition, administering susceptible mice Bacteroides, but not a propionate-production mutant, confers resistance to S. Typhimurium. This work provides mechanistic understanding into the role of individualized microbial communities in host-to-host variability of pathogen transmission.","container-title":"Cell Host &amp; Microbe","DOI":"10.1016/j.chom.2018.07.002","ISSN":"1931-3128","issue":"2","journalAbbreviation":"Cell Host &amp; Microbe","page":"296-307.e7","source":"ScienceDirect","title":"A Gut Commensal-Produced Metabolite Mediates Colonization Resistance to &lt;i&gt;Salmonella&lt;/i&gt; Infection","volume":"24","author":[{"family":"Jacobson","given":"Amanda"},{"family":"Lam","given":"Lilian"},{"family":"Rajendram","given":"Manohary"},{"family":"Tamburini","given":"Fiona"},{"family":"Honeycutt","given":"Jared"},{"family":"Pham","given":"Trung"},{"family":"Van Treuren","given":"Will"},{"family":"Pruss","given":"Kali"},{"family":"Stabler","given":"Stephen Russell"},{"family":"Lugo","given":"Kyler"},{"family":"Bouley","given":"Donna M."},{"family":"Vilches-Moure","given":"Jose G."},{"family":"Smith","given":"Mark"},{"family":"Sonnenburg","given":"Justin L."},{"family":"Bhatt","given":"Ami S."},{"family":"Huang","given":"Kerwyn Casey"},{"family":"Monack","given":"Denise"}],"issued":{"date-parts":[["2018",8,8]]}}}],"schema":"https://github.com/citation-style-language/schema/raw/master/csl-citation.json"} </w:instrText>
      </w:r>
      <w:r w:rsidR="008F1008">
        <w:fldChar w:fldCharType="separate"/>
      </w:r>
      <w:r w:rsidR="008F1008" w:rsidRPr="00D87FEE">
        <w:t>(Corrêa-Oliveira et al., 2016; Jacobson et al., 2018)</w:t>
      </w:r>
      <w:r w:rsidR="008F1008">
        <w:fldChar w:fldCharType="end"/>
      </w:r>
      <w:r w:rsidR="008F1008">
        <w:t xml:space="preserve">, and </w:t>
      </w:r>
      <w:r w:rsidR="008F1008">
        <w:rPr>
          <w:rStyle w:val="Emphasis"/>
          <w:rFonts w:eastAsiaTheme="majorEastAsia"/>
        </w:rPr>
        <w:t>Enterobacteriaceae,</w:t>
      </w:r>
      <w:r w:rsidR="008F1008">
        <w:t xml:space="preserve"> which include commensal </w:t>
      </w:r>
      <w:r w:rsidR="008F1008">
        <w:rPr>
          <w:rStyle w:val="Emphasis"/>
          <w:rFonts w:eastAsiaTheme="majorEastAsia"/>
        </w:rPr>
        <w:t>E. coli</w:t>
      </w:r>
      <w:r w:rsidR="008F1008">
        <w:t xml:space="preserve"> </w:t>
      </w:r>
      <w:r w:rsidR="00036A73">
        <w:t xml:space="preserve">that can protect against pathogens like </w:t>
      </w:r>
      <w:r w:rsidR="008F1008" w:rsidRPr="00A566A6">
        <w:rPr>
          <w:rStyle w:val="Emphasis"/>
          <w:rFonts w:eastAsiaTheme="majorEastAsia"/>
        </w:rPr>
        <w:t xml:space="preserve">Salmonella </w:t>
      </w:r>
      <w:r w:rsidR="008F1008" w:rsidRPr="00D763E3">
        <w:rPr>
          <w:rStyle w:val="Emphasis"/>
          <w:rFonts w:eastAsiaTheme="majorEastAsia"/>
          <w:i w:val="0"/>
          <w:iCs w:val="0"/>
        </w:rPr>
        <w:fldChar w:fldCharType="begin"/>
      </w:r>
      <w:r w:rsidR="008F1008" w:rsidRPr="00D763E3">
        <w:rPr>
          <w:rStyle w:val="Emphasis"/>
          <w:rFonts w:eastAsiaTheme="majorEastAsia"/>
          <w:i w:val="0"/>
          <w:iCs w:val="0"/>
        </w:rPr>
        <w:instrText xml:space="preserve"> ADDIN ZOTERO_ITEM CSL_CITATION {"citationID":"58AOWjnW","properties":{"formattedCitation":"(Oliveira et al., 2020; Velazquez et al., 2019)","plainCitation":"(Oliveira et al., 2020; Velazquez et al., 2019)","noteIndex":0},"citationItems":[{"id":2093,"uris":["http://zotero.org/users/13901503/items/Y6HCG5BZ"],"itemData":{"id":2093,"type":"article-journal","abstract":"Intestinal microbiotas contain beneficial microorganisms that protect against pathogen colonization; treatment with antibiotics disrupts the microbiota and compromises colonization resistance. Here, we determine the impact of exchanging microorganisms between hosts on resilience to the colonization of invaders after antibiotic-induced dysbiosis. We assess the functional consequences of dysbiosis using a mouse model of colonization resistance against Escherichia coli. Antibiotics caused stochastic loss of members of the microbiota, but the microbiotas of co-housed mice remained more similar to each other compared with the microbiotas among singly housed animals. Strikingly, co-housed mice maintained colonization resistance after treatment with antibiotics, whereas most singly housed mice were susceptible to E. coli. The ability to retain or share the commensal Klebsiella michiganensis, a member of the Enterobacteriaceae family, was sufficient for colonization resistance after treatment with antibiotics. K. michiganensis generally outcompeted E. coli in vitro, but in vivo administration of galactitol-a nutrient that supports the growth of only E. coli-to bi-colonized gnotobiotic mice abolished the colonization-resistance capacity of K. michiganensis against E. coli, supporting the idea that nutrient competition is the primary interaction mechanism. K. michiganensis also hampered colonization of the pathogen Salmonella, prolonging host survival. Our results address functional consequences of the stochastic effects of microbiota perturbations, whereby microbial transmission through host interactions can facilitate reacquisition of beneficial commensals, minimizing the negative impact of antibiotics.","container-title":"Nature Microbiology","DOI":"10.1038/s41564-019-0658-4","ISSN":"2058-5276","issue":"4","journalAbbreviation":"Nat Microbiol","language":"eng","note":"PMID: 31959968","page":"630-641","source":"PubMed","title":"Klebsiella michiganensis transmission enhances resistance to Enterobacteriaceae gut invasion by nutrition competition","volume":"5","author":[{"family":"Oliveira","given":"Rita A."},{"family":"Ng","given":"Katharine M."},{"family":"Correia","given":"Margarida B."},{"family":"Cabral","given":"Vitor"},{"family":"Shi","given":"Handuo"},{"family":"Sonnenburg","given":"Justin L."},{"family":"Huang","given":"Kerwyn Casey"},{"family":"Xavier","given":"Karina B."}],"issued":{"date-parts":[["2020",4]]}}},{"id":2097,"uris":["http://zotero.org/users/13901503/items/YFY374V7"],"itemData":{"id":2097,"type":"article-journal","abstract":"Lack of reproducibility is a prominent problem in biomedical research. An important source of variation in animal experiments is the microbiome, but little is known about specific changes in the microbiota composition that cause phenotypic differences. Here, we show that genetically similar laboratory mice obtained from four different commercial vendors exhibited marked phenotypic variation in their susceptibility to Salmonella infection. Faecal microbiota transplant into germ-free mice replicated donor susceptibility, revealing that variability was due to changes in the gut microbiota composition. Co-housing of mice only partially transferred protection against Salmonella infection, suggesting that minority species within the gut microbiota might confer this trait. Consistent with this idea, we identified endogenous Enterobacteriaceae, a low-abundance taxon, as a keystone species responsible for variation in the susceptibility to Salmonella infection. Protection conferred by endogenous Enterobacteriaceae could be modelled by inoculating mice with probiotic Escherichia coli, which conferred resistance by using its aerobic metabolism to compete with Salmonella for resources. We conclude that a mechanistic understanding of phenotypic variation can accelerate development of strategies for enhancing the reproducibility of animal experiments.","container-title":"Nature Microbiology","DOI":"10.1038/s41564-019-0407-8","ISSN":"2058-5276","issue":"6","journalAbbreviation":"Nat Microbiol","language":"eng","note":"PMID: 30911125\nPMCID: PMC6533147","page":"1057-1064","source":"PubMed","title":"Endogenous Enterobacteriaceae underlie variation in susceptibility to Salmonella infection","volume":"4","author":[{"family":"Velazquez","given":"Eric M."},{"family":"Nguyen","given":"Henry"},{"family":"Heasley","given":"Keaton T."},{"family":"Saechao","given":"Cheng H."},{"family":"Gil","given":"Lindsey M."},{"family":"Rogers","given":"Andrew W. L."},{"family":"Miller","given":"Brittany M."},{"family":"Rolston","given":"Matthew R."},{"family":"Lopez","given":"Christopher A."},{"family":"Litvak","given":"Yael"},{"family":"Liou","given":"Megan J."},{"family":"Faber","given":"Franziska"},{"family":"Bronner","given":"Denise N."},{"family":"Tiffany","given":"Connor R."},{"family":"Byndloss","given":"Mariana X."},{"family":"Byndloss","given":"Austin J."},{"family":"Bäumler","given":"Andreas J."}],"issued":{"date-parts":[["2019",6]]}}}],"schema":"https://github.com/citation-style-language/schema/raw/master/csl-citation.json"} </w:instrText>
      </w:r>
      <w:r w:rsidR="008F1008" w:rsidRPr="00D763E3">
        <w:rPr>
          <w:rStyle w:val="Emphasis"/>
          <w:rFonts w:eastAsiaTheme="majorEastAsia"/>
          <w:i w:val="0"/>
          <w:iCs w:val="0"/>
        </w:rPr>
        <w:fldChar w:fldCharType="separate"/>
      </w:r>
      <w:r w:rsidR="008F1008" w:rsidRPr="00D763E3">
        <w:rPr>
          <w:rStyle w:val="Emphasis"/>
          <w:rFonts w:eastAsiaTheme="majorEastAsia"/>
          <w:i w:val="0"/>
          <w:iCs w:val="0"/>
          <w:noProof/>
        </w:rPr>
        <w:t>(Oliveira et al., 2020; Velazquez et al., 2019)</w:t>
      </w:r>
      <w:r w:rsidR="008F1008" w:rsidRPr="00D763E3">
        <w:rPr>
          <w:rStyle w:val="Emphasis"/>
          <w:rFonts w:eastAsiaTheme="majorEastAsia"/>
          <w:i w:val="0"/>
          <w:iCs w:val="0"/>
        </w:rPr>
        <w:fldChar w:fldCharType="end"/>
      </w:r>
      <w:r w:rsidR="008F1008" w:rsidRPr="00D763E3">
        <w:rPr>
          <w:rStyle w:val="Emphasis"/>
          <w:rFonts w:eastAsiaTheme="majorEastAsia"/>
          <w:i w:val="0"/>
          <w:iCs w:val="0"/>
        </w:rPr>
        <w:t>.</w:t>
      </w:r>
      <w:r w:rsidR="008F1008" w:rsidRPr="008F1008">
        <w:t xml:space="preserve"> </w:t>
      </w:r>
      <w:r w:rsidR="008F1008">
        <w:t xml:space="preserve">However, </w:t>
      </w:r>
      <w:r>
        <w:t>functional</w:t>
      </w:r>
      <w:r w:rsidR="008F1008">
        <w:t xml:space="preserve"> alpha diversity </w:t>
      </w:r>
      <w:r w:rsidR="00036A73">
        <w:t xml:space="preserve">appears more resilient to increasing temperatures </w:t>
      </w:r>
      <w:r w:rsidR="008F1008">
        <w:t>(Fig 1)</w:t>
      </w:r>
      <w:r w:rsidR="008F1008">
        <w:t xml:space="preserve">, </w:t>
      </w:r>
      <w:r w:rsidR="008F1008">
        <w:t>likely due to functional redundancy</w:t>
      </w:r>
      <w:r w:rsidR="00036A73">
        <w:t>—</w:t>
      </w:r>
      <w:r w:rsidR="008F1008">
        <w:t xml:space="preserve"> </w:t>
      </w:r>
      <w:r w:rsidR="00036A73">
        <w:t xml:space="preserve">when taxonomically distinct microbes perform </w:t>
      </w:r>
      <w:r w:rsidR="008F1008">
        <w:t xml:space="preserve">similar functional roles </w:t>
      </w:r>
      <w:r w:rsidR="008F1008">
        <w:fldChar w:fldCharType="begin"/>
      </w:r>
      <w:r w:rsidR="008F1008">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rsidR="008F1008">
        <w:fldChar w:fldCharType="separate"/>
      </w:r>
      <w:r w:rsidR="008F1008">
        <w:rPr>
          <w:noProof/>
        </w:rPr>
        <w:t>(Louca et al., 2018)</w:t>
      </w:r>
      <w:r w:rsidR="008F1008">
        <w:fldChar w:fldCharType="end"/>
      </w:r>
      <w:r w:rsidR="008F1008">
        <w:t>.</w:t>
      </w:r>
      <w:r w:rsidR="008F1008" w:rsidRPr="008F1008">
        <w:t xml:space="preserve"> </w:t>
      </w:r>
      <w:r w:rsidR="008F1008">
        <w:t>This redundancy may buffer the loss of taxonomic diversity</w:t>
      </w:r>
      <w:r w:rsidR="008F1008">
        <w:t xml:space="preserve"> and help preserve colonization </w:t>
      </w:r>
      <w:r w:rsidR="00786060">
        <w:t xml:space="preserve">resistance </w:t>
      </w:r>
      <w:r w:rsidR="00786060">
        <w:t xml:space="preserve">at high temperatures because </w:t>
      </w:r>
      <w:r w:rsidR="00786060">
        <w:t>remaining</w:t>
      </w:r>
      <w:r w:rsidR="00786060">
        <w:t xml:space="preserve"> taxa likely fill enough functional niches to outcompete pathogens.</w:t>
      </w:r>
      <w:r w:rsidR="00786060">
        <w:rPr>
          <w:rStyle w:val="Emphasis"/>
          <w:i w:val="0"/>
          <w:iCs w:val="0"/>
        </w:rPr>
        <w:t xml:space="preserve"> </w:t>
      </w:r>
      <w:r w:rsidR="00036A73">
        <w:t>Although</w:t>
      </w:r>
      <w:r w:rsidR="008F1008">
        <w:t xml:space="preserve"> we did not observe an increase in </w:t>
      </w:r>
      <w:r w:rsidR="00786060">
        <w:t xml:space="preserve">potentially </w:t>
      </w:r>
      <w:r w:rsidR="008F1008">
        <w:t>pathogenic taxa</w:t>
      </w:r>
      <w:r>
        <w:t>,</w:t>
      </w:r>
      <w:r w:rsidR="008F1008">
        <w:t xml:space="preserve"> sustained high temperatures may </w:t>
      </w:r>
      <w:r w:rsidR="00786060">
        <w:t xml:space="preserve">continue to </w:t>
      </w:r>
      <w:r w:rsidR="008F1008">
        <w:t xml:space="preserve">erode both taxonomic and functional </w:t>
      </w:r>
      <w:r w:rsidR="00136BD0">
        <w:t>diversity</w:t>
      </w:r>
      <w:r w:rsidR="00036A73">
        <w:t xml:space="preserve">, increasing the host’s vulnerability to infection. </w:t>
      </w:r>
    </w:p>
    <w:p w14:paraId="664F17F0" w14:textId="77777777" w:rsidR="00036A73" w:rsidRDefault="00036A73" w:rsidP="00A566A6"/>
    <w:p w14:paraId="377686CB" w14:textId="009FA244" w:rsidR="000A35B4" w:rsidRDefault="0089345D" w:rsidP="00A566A6">
      <w:r>
        <w:t>T</w:t>
      </w:r>
      <w:r>
        <w:t xml:space="preserve">he gut microbiome </w:t>
      </w:r>
      <w:r w:rsidR="00FA5279">
        <w:t>shows evidence</w:t>
      </w:r>
      <w:r>
        <w:t xml:space="preserve"> of metabolic restructuring that </w:t>
      </w:r>
      <w:r>
        <w:t>likely help</w:t>
      </w:r>
      <w:r w:rsidR="00FA5279">
        <w:t>s</w:t>
      </w:r>
      <w:r>
        <w:t xml:space="preserve"> </w:t>
      </w:r>
      <w:r w:rsidR="006E42D6">
        <w:t xml:space="preserve">sustain </w:t>
      </w:r>
      <w:r w:rsidR="00405DE3">
        <w:t xml:space="preserve">community </w:t>
      </w:r>
      <w:r w:rsidR="003B549A">
        <w:t>stability</w:t>
      </w:r>
      <w:r>
        <w:t xml:space="preserve"> under rising temperatures.</w:t>
      </w:r>
      <w:r w:rsidR="00FA5279">
        <w:t xml:space="preserve"> A key example is the remodeling of cytoplasmic </w:t>
      </w:r>
      <w:r w:rsidR="00FA5279">
        <w:lastRenderedPageBreak/>
        <w:t xml:space="preserve">membrane lipids, which </w:t>
      </w:r>
      <w:r w:rsidR="00FA5279">
        <w:t>bacteria actively adjust</w:t>
      </w:r>
      <w:r w:rsidR="00FA5279" w:rsidRPr="00FA5279">
        <w:t xml:space="preserve"> </w:t>
      </w:r>
      <w:r w:rsidR="00FA5279">
        <w:t xml:space="preserve">to </w:t>
      </w:r>
      <w:r w:rsidR="00FA5279">
        <w:t>preserve</w:t>
      </w:r>
      <w:r w:rsidR="00FA5279">
        <w:t xml:space="preserve"> membrane </w:t>
      </w:r>
      <w:r w:rsidR="00FA5279">
        <w:t>stability under changing temperatures</w:t>
      </w:r>
      <w:r w:rsidR="00FA5279">
        <w:t xml:space="preserve"> </w:t>
      </w:r>
      <w:r w:rsidR="00FA5279">
        <w:fldChar w:fldCharType="begin"/>
      </w:r>
      <w:r w:rsidR="00FE5B3B">
        <w:instrText xml:space="preserve"> ADDIN ZOTERO_ITEM CSL_CITATION {"citationID":"SIOKOfLi","properties":{"formattedCitation":"(Mansilla et al., 2004; S\\uc0\\u225{}enz, 2015)","plainCitation":"(Mansilla et al., 2004; Sáenz, 2015)","noteIndex":0},"citationItems":[{"id":3378,"uris":["http://zotero.org/users/13901503/items/TZK8TZFH"],"itemData":{"id":3378,"type":"article-journal","container-title":"Journal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FA5279">
        <w:fldChar w:fldCharType="separate"/>
      </w:r>
      <w:r w:rsidR="00FE5B3B" w:rsidRPr="00FE5B3B">
        <w:t>(Mansilla et al., 2004; Sáenz, 2015)</w:t>
      </w:r>
      <w:r w:rsidR="00FA5279">
        <w:fldChar w:fldCharType="end"/>
      </w:r>
      <w:r w:rsidR="00FA5279">
        <w:t>.</w:t>
      </w:r>
      <w:r w:rsidR="00FA5279">
        <w:t xml:space="preserve"> We observe an increase </w:t>
      </w:r>
      <w:r w:rsidR="00FA5279">
        <w:t>in metabolic pathways responsible for fatty acid synthesis and lipid remodeling</w:t>
      </w:r>
      <w:r w:rsidR="00FA5279">
        <w:t xml:space="preserve"> which likely supports this process</w:t>
      </w:r>
      <w:r w:rsidR="007A6840">
        <w:t xml:space="preserve"> (Fig 4A)</w:t>
      </w:r>
      <w:r w:rsidR="00FA5279">
        <w:t xml:space="preserve">. However, </w:t>
      </w:r>
      <w:r w:rsidR="00FE5B3B">
        <w:t>these changes may be insufficient to maintain membrane integrity during prolonged periods of high temperature</w:t>
      </w:r>
      <w:r w:rsidR="00FE5B3B">
        <w:t>s because</w:t>
      </w:r>
      <w:r w:rsidR="00B902F7">
        <w:t xml:space="preserve"> </w:t>
      </w:r>
      <w:r w:rsidR="00FE5B3B">
        <w:t xml:space="preserve">the concurrent </w:t>
      </w:r>
      <w:r w:rsidR="00FA5279">
        <w:t xml:space="preserve">decline </w:t>
      </w:r>
      <w:r w:rsidR="00FE5B3B">
        <w:t xml:space="preserve">in pathways </w:t>
      </w:r>
      <w:r w:rsidR="00FA5279">
        <w:t>involved in lipid catabolism and recycling</w:t>
      </w:r>
      <w:r w:rsidR="00B902F7">
        <w:t xml:space="preserve"> </w:t>
      </w:r>
      <w:r w:rsidR="00FE5B3B">
        <w:t>likel</w:t>
      </w:r>
      <w:r w:rsidR="00B902F7">
        <w:t>y compromises</w:t>
      </w:r>
      <w:r w:rsidR="00FE5B3B">
        <w:t xml:space="preserve"> </w:t>
      </w:r>
      <w:r w:rsidR="00FE5B3B">
        <w:t>membrane repair mechanisms</w:t>
      </w:r>
      <w:r w:rsidR="00FE5B3B">
        <w:t xml:space="preserve"> </w:t>
      </w:r>
      <w:r w:rsidR="00FE5B3B">
        <w:fldChar w:fldCharType="begin"/>
      </w:r>
      <w:r w:rsidR="00034BF3">
        <w:instrText xml:space="preserve"> ADDIN ZOTERO_ITEM CSL_CITATION {"citationID":"0Z2ejPon","properties":{"formattedCitation":"(Y.-M. Zhang &amp; Rock, 2008)","plainCitation":"(Y.-M. 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E5B3B">
        <w:fldChar w:fldCharType="separate"/>
      </w:r>
      <w:r w:rsidR="00034BF3">
        <w:rPr>
          <w:noProof/>
        </w:rPr>
        <w:t>(Y.-M. Zhang &amp; Rock, 2008)</w:t>
      </w:r>
      <w:r w:rsidR="00FE5B3B">
        <w:fldChar w:fldCharType="end"/>
      </w:r>
      <w:r w:rsidR="00FE5B3B">
        <w:t xml:space="preserve">. </w:t>
      </w:r>
      <w:r w:rsidR="00B902F7">
        <w:t xml:space="preserve">A </w:t>
      </w:r>
      <w:r w:rsidR="00FE5B3B">
        <w:t xml:space="preserve">reduction in repair capacity </w:t>
      </w:r>
      <w:r w:rsidR="00B902F7">
        <w:t>could</w:t>
      </w:r>
      <w:r w:rsidR="00FE5B3B">
        <w:t xml:space="preserve"> leave gut microbes more </w:t>
      </w:r>
      <w:r w:rsidR="00FE5B3B">
        <w:t>vulnerable to peroxidative damage</w:t>
      </w:r>
      <w:r w:rsidR="00136BD0">
        <w:t xml:space="preserve">, </w:t>
      </w:r>
      <w:r w:rsidR="00FE5B3B">
        <w:t>a</w:t>
      </w:r>
      <w:r w:rsidR="00FE5B3B">
        <w:t xml:space="preserve"> common consequence of</w:t>
      </w:r>
      <w:r w:rsidR="00136BD0">
        <w:t xml:space="preserve"> prolonged</w:t>
      </w:r>
      <w:r w:rsidR="00FE5B3B">
        <w:t xml:space="preserve"> </w:t>
      </w:r>
      <w:r w:rsidR="00FE5B3B">
        <w:t>heat exposure ()</w:t>
      </w:r>
      <w:r w:rsidR="00FE5B3B">
        <w:t xml:space="preserve">. </w:t>
      </w:r>
      <w:r w:rsidR="00613EEE">
        <w:t>Similarly, the</w:t>
      </w:r>
      <w:r w:rsidR="00B902F7">
        <w:t xml:space="preserve"> observed</w:t>
      </w:r>
      <w:r w:rsidR="00613EEE">
        <w:t xml:space="preserve"> </w:t>
      </w:r>
      <w:r w:rsidR="00041D3D">
        <w:t xml:space="preserve">increase </w:t>
      </w:r>
      <w:r w:rsidR="00707EA7">
        <w:t xml:space="preserve">in </w:t>
      </w:r>
      <w:r w:rsidR="00041D3D">
        <w:t>anaerobic</w:t>
      </w:r>
      <w:r w:rsidR="00041D3D">
        <w:t xml:space="preserve"> metaboli</w:t>
      </w:r>
      <w:r w:rsidR="002A1D45">
        <w:t>c pathways</w:t>
      </w:r>
      <w:r w:rsidR="00041D3D">
        <w:t xml:space="preserve"> and </w:t>
      </w:r>
      <w:r w:rsidR="002A1D45">
        <w:t>the parallel decline</w:t>
      </w:r>
      <w:r w:rsidR="00041D3D">
        <w:t xml:space="preserve"> </w:t>
      </w:r>
      <w:r w:rsidR="00707EA7">
        <w:t xml:space="preserve">in </w:t>
      </w:r>
      <w:r w:rsidR="00041D3D">
        <w:t>aerobi</w:t>
      </w:r>
      <w:r w:rsidR="002A1D45">
        <w:t>c pathways</w:t>
      </w:r>
      <w:r w:rsidR="00041D3D">
        <w:t xml:space="preserve"> likely reflect a response </w:t>
      </w:r>
      <w:r w:rsidR="00B902F7">
        <w:t xml:space="preserve">to </w:t>
      </w:r>
      <w:r w:rsidR="00613EEE">
        <w:t>gastrointestinal hypoxia caused by redirected blood flow for thermoregulation</w:t>
      </w:r>
      <w:r w:rsidR="00912B8D">
        <w:t xml:space="preserve"> </w:t>
      </w:r>
      <w:r w:rsidR="007A6840">
        <w:t>(Fig 4B)</w:t>
      </w:r>
      <w:r w:rsidR="00041D3D">
        <w:fldChar w:fldCharType="begin"/>
      </w:r>
      <w:r w:rsidR="00041D3D">
        <w:instrText xml:space="preserve"> ADDIN ZOTERO_ITEM CSL_CITATION {"citationID":"MA64tDiH","properties":{"formattedCitation":"(Hall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041D3D">
        <w:rPr>
          <w:rFonts w:ascii="Cambria Math" w:hAnsi="Cambria Math" w:cs="Cambria Math"/>
        </w:rPr>
        <w:instrText>𝑃</w:instrText>
      </w:r>
      <w:r w:rsidR="00041D3D">
        <w:instrText xml:space="preserve">⁢CO2P⁢CO2, while decreasing venous O2 saturation and venous pH. One hour after heat exposure, liver glycogen levels were decreased </w:instrText>
      </w:r>
      <w:r w:rsidR="00041D3D">
        <w:rPr>
          <w:rFonts w:ascii="Cambria Math" w:hAnsi="Cambria Math" w:cs="Cambria Math"/>
        </w:rPr>
        <w:instrText>∼</w:instrText>
      </w:r>
      <w:r w:rsidR="00041D3D">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041D3D">
        <w:fldChar w:fldCharType="separate"/>
      </w:r>
      <w:r w:rsidR="00041D3D">
        <w:rPr>
          <w:noProof/>
        </w:rPr>
        <w:t>(Hall et al., 1999)</w:t>
      </w:r>
      <w:r w:rsidR="00041D3D">
        <w:fldChar w:fldCharType="end"/>
      </w:r>
      <w:r w:rsidR="003762F9">
        <w:t>.</w:t>
      </w:r>
      <w:r w:rsidR="00041D3D">
        <w:t xml:space="preserve"> </w:t>
      </w:r>
      <w:r w:rsidR="003762F9">
        <w:t>This</w:t>
      </w:r>
      <w:r w:rsidR="00613EEE">
        <w:t xml:space="preserve"> m</w:t>
      </w:r>
      <w:r w:rsidR="009933D0">
        <w:t xml:space="preserve">ay represent a </w:t>
      </w:r>
      <w:r w:rsidR="002A1D45">
        <w:t xml:space="preserve">short-term </w:t>
      </w:r>
      <w:r w:rsidR="009933D0">
        <w:t>compensatory shift to maintain energy production under increased oxygen limitations</w:t>
      </w:r>
      <w:r w:rsidR="00041D3D">
        <w:t xml:space="preserve"> at high temperatures</w:t>
      </w:r>
      <w:r w:rsidR="009933D0">
        <w:t>.</w:t>
      </w:r>
      <w:r w:rsidR="00CE20EC">
        <w:t xml:space="preserve"> </w:t>
      </w:r>
      <w:r w:rsidR="002A1D45">
        <w:t xml:space="preserve">However, the </w:t>
      </w:r>
      <w:r w:rsidR="002A1D45">
        <w:t>anaerobic pathways</w:t>
      </w:r>
      <w:r w:rsidR="002A1D45">
        <w:t xml:space="preserve"> </w:t>
      </w:r>
      <w:r w:rsidR="00707EA7">
        <w:t xml:space="preserve">that increase </w:t>
      </w:r>
      <w:r w:rsidR="002A1D45">
        <w:t xml:space="preserve">are </w:t>
      </w:r>
      <w:r w:rsidR="00707EA7">
        <w:t xml:space="preserve">primarily </w:t>
      </w:r>
      <w:r w:rsidR="002A1D45">
        <w:t xml:space="preserve">involved in </w:t>
      </w:r>
      <w:r w:rsidR="002A1D45">
        <w:t>simple carbohydrate metabolism</w:t>
      </w:r>
      <w:r w:rsidR="002A1D45">
        <w:t xml:space="preserve">, while pathways </w:t>
      </w:r>
      <w:r w:rsidR="00707EA7">
        <w:t xml:space="preserve">associated with </w:t>
      </w:r>
      <w:r w:rsidR="002A1D45">
        <w:t xml:space="preserve">fiber fermentation decline. This pattern suggests that the shift is </w:t>
      </w:r>
      <w:r w:rsidR="00707EA7">
        <w:t>largely</w:t>
      </w:r>
      <w:r w:rsidR="002A1D45">
        <w:t xml:space="preserve"> </w:t>
      </w:r>
      <w:r w:rsidR="002A1D45">
        <w:t xml:space="preserve">driven </w:t>
      </w:r>
      <w:r w:rsidR="002A1D45">
        <w:t>by facultative anaerobes</w:t>
      </w:r>
      <w:r w:rsidR="00707EA7">
        <w:t xml:space="preserve">, </w:t>
      </w:r>
      <w:r w:rsidR="002A1D45">
        <w:t xml:space="preserve">who typically ferment simple sugars and have limited capacity </w:t>
      </w:r>
      <w:r w:rsidR="00707EA7">
        <w:t xml:space="preserve">to degrade </w:t>
      </w:r>
      <w:r w:rsidR="002A1D45">
        <w:t>complex polysaccharide</w:t>
      </w:r>
      <w:r w:rsidR="00707EA7">
        <w:t>s</w:t>
      </w:r>
      <w:r w:rsidR="002A1D45">
        <w:t xml:space="preserve"> </w:t>
      </w:r>
      <w:r w:rsidR="00707EA7">
        <w:t>()</w:t>
      </w:r>
      <w:r w:rsidR="002A1D45">
        <w:t xml:space="preserve">. The shift away from </w:t>
      </w:r>
      <w:r w:rsidR="002A1D45">
        <w:t>fiber fermentation is likely to have downstream consequences for host energy balance and immune regulation</w:t>
      </w:r>
      <w:r w:rsidR="002A1D45">
        <w:t xml:space="preserve"> because </w:t>
      </w:r>
      <w:r w:rsidR="00136BD0">
        <w:t xml:space="preserve">fiber fermentation </w:t>
      </w:r>
      <w:r w:rsidR="002A1D45">
        <w:t>generates short-ch</w:t>
      </w:r>
      <w:r w:rsidR="002A1D45">
        <w:t>ain</w:t>
      </w:r>
      <w:r w:rsidR="00686DA4">
        <w:t xml:space="preserve"> fatty </w:t>
      </w:r>
      <w:r w:rsidR="002A1D45">
        <w:t xml:space="preserve">acids </w:t>
      </w:r>
      <w:r w:rsidR="002A1D45">
        <w:t>(SCFA) that</w:t>
      </w:r>
      <w:r w:rsidR="002A1D45">
        <w:t xml:space="preserve"> are the main energy sources for gut epithelial cells </w:t>
      </w:r>
      <w:r w:rsidR="00707EA7">
        <w:t xml:space="preserve">() </w:t>
      </w:r>
      <w:r w:rsidR="002A1D45">
        <w:t>and importan</w:t>
      </w:r>
      <w:r w:rsidR="002A1D45">
        <w:t>t</w:t>
      </w:r>
      <w:r w:rsidR="002A1D45">
        <w:t xml:space="preserve"> immunomodulators</w:t>
      </w:r>
      <w:r w:rsidR="00707EA7">
        <w:t xml:space="preserve"> ()</w:t>
      </w:r>
      <w:r w:rsidR="002A1D45">
        <w:t xml:space="preserve">. </w:t>
      </w:r>
      <w:r w:rsidR="000A35B4">
        <w:t>Therefore</w:t>
      </w:r>
      <w:r w:rsidR="003B549A">
        <w:t xml:space="preserve">, </w:t>
      </w:r>
      <w:r w:rsidR="004F7F03">
        <w:t xml:space="preserve">the observed </w:t>
      </w:r>
      <w:r w:rsidR="000A35B4">
        <w:t xml:space="preserve">shifts in oxygen-dependent and lipid metabolic pathways may be </w:t>
      </w:r>
      <w:r w:rsidR="000A35B4">
        <w:t>insufficient to maintain</w:t>
      </w:r>
      <w:r w:rsidR="000A35B4">
        <w:t xml:space="preserve"> microbiome</w:t>
      </w:r>
      <w:r w:rsidR="000A35B4">
        <w:t xml:space="preserve"> </w:t>
      </w:r>
      <w:r w:rsidR="003B549A">
        <w:t xml:space="preserve">stability during prolonged periods of high temperatures </w:t>
      </w:r>
      <w:r w:rsidR="000A35B4">
        <w:t>and could lead to downstream consequences for host health.</w:t>
      </w:r>
    </w:p>
    <w:p w14:paraId="6DB78BEB" w14:textId="77777777" w:rsidR="000A35B4" w:rsidRDefault="000A35B4" w:rsidP="00A566A6"/>
    <w:p w14:paraId="47C731DC" w14:textId="1E9FC038" w:rsidR="00F80F43" w:rsidRDefault="00396018" w:rsidP="00D15F03">
      <w:r>
        <w:t xml:space="preserve">Some of the taxonomic and metabolic changes </w:t>
      </w:r>
      <w:r w:rsidR="0062146A">
        <w:t>associated with</w:t>
      </w:r>
      <w:r w:rsidR="00686DA4">
        <w:t xml:space="preserve"> rising temperatures </w:t>
      </w:r>
      <w:r w:rsidR="00BE33CE">
        <w:t>suggest that the capuchins may be experiencing</w:t>
      </w:r>
      <w:r w:rsidR="00686DA4">
        <w:t xml:space="preserve"> periods of</w:t>
      </w:r>
      <w:r w:rsidR="00BE33CE">
        <w:t xml:space="preserve"> heat stress</w:t>
      </w:r>
      <w:r w:rsidR="0062146A">
        <w:t xml:space="preserve">. </w:t>
      </w:r>
      <w:r w:rsidR="00686DA4">
        <w:t xml:space="preserve">Broad declines in the abundance of genera </w:t>
      </w:r>
      <w:r w:rsidR="0062146A">
        <w:t>from the</w:t>
      </w:r>
      <w:r w:rsidR="00686DA4">
        <w:t xml:space="preserve"> phyla </w:t>
      </w:r>
      <w:proofErr w:type="spellStart"/>
      <w:r w:rsidR="00686DA4">
        <w:t>Bacteroidota</w:t>
      </w:r>
      <w:proofErr w:type="spellEnd"/>
      <w:r w:rsidR="00686DA4">
        <w:t xml:space="preserve"> and Firmicutes</w:t>
      </w:r>
      <w:r w:rsidR="00686DA4">
        <w:t xml:space="preserve"> compared to the relative stability </w:t>
      </w:r>
      <w:r w:rsidR="0062146A">
        <w:t xml:space="preserve">of </w:t>
      </w:r>
      <w:r w:rsidR="00686DA4">
        <w:t xml:space="preserve">Proteobacteria </w:t>
      </w:r>
      <w:r w:rsidR="003253D7">
        <w:t xml:space="preserve">(Fig 3) </w:t>
      </w:r>
      <w:r w:rsidR="0062146A">
        <w:t xml:space="preserve">mirror patterns observed in experimental studies of heat-stress in a </w:t>
      </w:r>
      <w:r w:rsidR="00686DA4">
        <w:t xml:space="preserve">wide range of </w:t>
      </w:r>
      <w:r w:rsidR="0062146A">
        <w:t>vertebrates</w:t>
      </w:r>
      <w:r w:rsidR="00686DA4">
        <w:t xml:space="preserve"> </w:t>
      </w:r>
      <w:r w:rsidR="00686DA4">
        <w:t xml:space="preserve">[e.g., fish </w:t>
      </w:r>
      <w:r w:rsidR="00686DA4">
        <w:fldChar w:fldCharType="begin"/>
      </w:r>
      <w:r w:rsidR="00686DA4">
        <w:instrText xml:space="preserve"> ADDIN ZOTERO_ITEM CSL_CITATION {"citationID":"25zGiPQC","properties":{"formattedCitation":"(Neuman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rsidR="00686DA4">
        <w:fldChar w:fldCharType="separate"/>
      </w:r>
      <w:r w:rsidR="00686DA4">
        <w:rPr>
          <w:noProof/>
        </w:rPr>
        <w:t>(Neuman et al., 2016; Soriano et al., 2018)</w:t>
      </w:r>
      <w:r w:rsidR="00686DA4">
        <w:fldChar w:fldCharType="end"/>
      </w:r>
      <w:r w:rsidR="00686DA4">
        <w:t xml:space="preserve">, reptiles </w:t>
      </w:r>
      <w:r w:rsidR="00686DA4">
        <w:fldChar w:fldCharType="begin"/>
      </w:r>
      <w:r w:rsidR="00686DA4">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686DA4">
        <w:fldChar w:fldCharType="separate"/>
      </w:r>
      <w:r w:rsidR="00686DA4">
        <w:rPr>
          <w:noProof/>
        </w:rPr>
        <w:t>(Bestion et al., 2017; Moeller et al., 2020)</w:t>
      </w:r>
      <w:r w:rsidR="00686DA4">
        <w:fldChar w:fldCharType="end"/>
      </w:r>
      <w:r w:rsidR="00686DA4">
        <w:t xml:space="preserve">, amphibians </w:t>
      </w:r>
      <w:r w:rsidR="00686DA4">
        <w:fldChar w:fldCharType="begin"/>
      </w:r>
      <w:r w:rsidR="00686DA4">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686DA4">
        <w:fldChar w:fldCharType="separate"/>
      </w:r>
      <w:r w:rsidR="00686DA4">
        <w:rPr>
          <w:noProof/>
        </w:rPr>
        <w:t>(Kohl &amp; Yahn, 2016)</w:t>
      </w:r>
      <w:r w:rsidR="00686DA4">
        <w:fldChar w:fldCharType="end"/>
      </w:r>
      <w:r w:rsidR="00686DA4">
        <w:t xml:space="preserve">, mammals </w:t>
      </w:r>
      <w:r w:rsidR="00686DA4">
        <w:fldChar w:fldCharType="begin"/>
      </w:r>
      <w:r w:rsidR="00686DA4">
        <w:instrText xml:space="preserve"> ADDIN ZOTERO_ITEM CSL_CITATION {"citationID":"Li5YwQ3H","properties":{"formattedCitation":"(Bai et al., 2022; Tajima et al., 2007)","plainCitation":"(Bai et al., 2022; Tajima et al., 2007)","noteIndex":0},"citationItems":[{"id":3042,"uris":["http://zotero.org/users/13901503/items/AZMFVA5Z"],"itemData":{"id":3042,"type":"article-journal","abstract":"Heat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686DA4">
        <w:fldChar w:fldCharType="separate"/>
      </w:r>
      <w:r w:rsidR="00686DA4">
        <w:rPr>
          <w:noProof/>
        </w:rPr>
        <w:t>(Bai et al., 2022; Tajima et al., 2007)</w:t>
      </w:r>
      <w:r w:rsidR="00686DA4">
        <w:fldChar w:fldCharType="end"/>
      </w:r>
      <w:r w:rsidR="00686DA4">
        <w:t xml:space="preserve">, and birds </w:t>
      </w:r>
      <w:r w:rsidR="00686DA4">
        <w:fldChar w:fldCharType="begin"/>
      </w:r>
      <w:r w:rsidR="00762AD7">
        <w:instrText xml:space="preserve"> ADDIN ZOTERO_ITEM CSL_CITATION {"citationID":"o7W8eHcU","properties":{"formattedCitation":"(Zhu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686DA4">
        <w:fldChar w:fldCharType="separate"/>
      </w:r>
      <w:r w:rsidR="00686DA4">
        <w:rPr>
          <w:noProof/>
        </w:rPr>
        <w:t>(Zhu et al., 2019)</w:t>
      </w:r>
      <w:r w:rsidR="00686DA4">
        <w:fldChar w:fldCharType="end"/>
      </w:r>
      <w:r w:rsidR="00686DA4">
        <w:t>].</w:t>
      </w:r>
      <w:r w:rsidR="00CB1E1C">
        <w:t xml:space="preserve"> </w:t>
      </w:r>
      <w:r w:rsidR="0062146A">
        <w:t>Importantly,</w:t>
      </w:r>
      <w:r w:rsidR="0062146A">
        <w:t xml:space="preserve"> the taxa</w:t>
      </w:r>
      <w:r w:rsidR="003D2BD5">
        <w:t xml:space="preserve"> that</w:t>
      </w:r>
      <w:r w:rsidR="0062146A">
        <w:t xml:space="preserve"> decline with rising temperatures include key obligate anaerobes </w:t>
      </w:r>
      <w:r w:rsidR="0062146A">
        <w:t>(</w:t>
      </w:r>
      <w:r w:rsidR="0062146A">
        <w:t>i.e.</w:t>
      </w:r>
      <w:r w:rsidR="0062146A">
        <w:t xml:space="preserve">, </w:t>
      </w:r>
      <w:r w:rsidR="0062146A" w:rsidRPr="006915F0">
        <w:rPr>
          <w:i/>
          <w:iCs/>
        </w:rPr>
        <w:t xml:space="preserve">Bacteroides, Parabacteroides, Clostridium, </w:t>
      </w:r>
      <w:proofErr w:type="spellStart"/>
      <w:r w:rsidR="0062146A" w:rsidRPr="006915F0">
        <w:rPr>
          <w:i/>
          <w:iCs/>
        </w:rPr>
        <w:t>Ruminococcus</w:t>
      </w:r>
      <w:proofErr w:type="spellEnd"/>
      <w:r w:rsidR="0062146A" w:rsidRPr="006915F0">
        <w:rPr>
          <w:i/>
          <w:iCs/>
        </w:rPr>
        <w:t xml:space="preserve">, Eubacterium, </w:t>
      </w:r>
      <w:proofErr w:type="spellStart"/>
      <w:r w:rsidR="0062146A" w:rsidRPr="006915F0">
        <w:rPr>
          <w:i/>
          <w:iCs/>
        </w:rPr>
        <w:t>Blautia</w:t>
      </w:r>
      <w:proofErr w:type="spellEnd"/>
      <w:r w:rsidR="0062146A" w:rsidRPr="006915F0">
        <w:rPr>
          <w:i/>
          <w:iCs/>
        </w:rPr>
        <w:t xml:space="preserve">, </w:t>
      </w:r>
      <w:proofErr w:type="spellStart"/>
      <w:r w:rsidR="0062146A" w:rsidRPr="006915F0">
        <w:rPr>
          <w:i/>
          <w:iCs/>
        </w:rPr>
        <w:t>Anaerostipes</w:t>
      </w:r>
      <w:proofErr w:type="spellEnd"/>
      <w:r w:rsidR="0062146A" w:rsidRPr="006915F0">
        <w:rPr>
          <w:i/>
          <w:iCs/>
        </w:rPr>
        <w:t xml:space="preserve">, </w:t>
      </w:r>
      <w:r w:rsidR="0062146A" w:rsidRPr="006915F0">
        <w:t>and</w:t>
      </w:r>
      <w:r w:rsidR="0062146A" w:rsidRPr="006915F0">
        <w:rPr>
          <w:i/>
          <w:iCs/>
        </w:rPr>
        <w:t xml:space="preserve"> </w:t>
      </w:r>
      <w:proofErr w:type="spellStart"/>
      <w:r w:rsidR="0062146A" w:rsidRPr="006915F0">
        <w:rPr>
          <w:i/>
          <w:iCs/>
        </w:rPr>
        <w:t>Alistipes</w:t>
      </w:r>
      <w:proofErr w:type="spellEnd"/>
      <w:r w:rsidR="0062146A">
        <w:t>)</w:t>
      </w:r>
      <w:r w:rsidR="0062146A">
        <w:t xml:space="preserve"> that play critical roles in </w:t>
      </w:r>
      <w:r w:rsidR="0062146A">
        <w:t xml:space="preserve">fiber fermentation and </w:t>
      </w:r>
      <w:r w:rsidR="002F10EE">
        <w:t xml:space="preserve">maintenance </w:t>
      </w:r>
      <w:r w:rsidR="003B549A">
        <w:t>of host immune tolerance towards the microbiome</w:t>
      </w:r>
      <w:r w:rsidR="0062146A">
        <w:t xml:space="preserve"> (). These changes align with the observed decrease in pathways </w:t>
      </w:r>
      <w:r w:rsidR="0062146A">
        <w:t>involved in fiber degradation and</w:t>
      </w:r>
      <w:r w:rsidR="003D2BD5">
        <w:t xml:space="preserve"> anti-inflammatory mechanisms </w:t>
      </w:r>
      <w:r w:rsidR="006D09B6">
        <w:t xml:space="preserve">(Fig 4B,E) </w:t>
      </w:r>
      <w:r w:rsidR="006D09B6">
        <w:t xml:space="preserve">and suggest that high temperatures may disrupt </w:t>
      </w:r>
      <w:r w:rsidR="006D3E98">
        <w:t>essential</w:t>
      </w:r>
      <w:r w:rsidR="00E82160">
        <w:t xml:space="preserve"> </w:t>
      </w:r>
      <w:r w:rsidR="006D09B6">
        <w:t>microbial functions</w:t>
      </w:r>
      <w:r w:rsidR="006D09B6">
        <w:t xml:space="preserve"> b</w:t>
      </w:r>
      <w:r w:rsidR="00E82160">
        <w:t xml:space="preserve">y </w:t>
      </w:r>
      <w:r w:rsidR="003D2BD5">
        <w:t xml:space="preserve">creating a gut environment </w:t>
      </w:r>
      <w:r w:rsidR="002F10EE">
        <w:t xml:space="preserve">that </w:t>
      </w:r>
      <w:r w:rsidR="00223596">
        <w:t>is less</w:t>
      </w:r>
      <w:r w:rsidR="006D3E98">
        <w:t xml:space="preserve"> suitable</w:t>
      </w:r>
      <w:r w:rsidR="002F10EE">
        <w:t xml:space="preserve"> </w:t>
      </w:r>
      <w:r w:rsidR="006D3E98">
        <w:t xml:space="preserve">for </w:t>
      </w:r>
      <w:r w:rsidR="002F10EE">
        <w:t>obligate anaerobes</w:t>
      </w:r>
      <w:r w:rsidR="002F10EE">
        <w:t>.</w:t>
      </w:r>
      <w:r w:rsidR="00F80F43">
        <w:t xml:space="preserve"> </w:t>
      </w:r>
    </w:p>
    <w:p w14:paraId="6B014E43" w14:textId="77777777" w:rsidR="003B549A" w:rsidRDefault="003B549A" w:rsidP="00D15F03"/>
    <w:p w14:paraId="397CCB70" w14:textId="0213080E" w:rsidR="006B0A27" w:rsidRDefault="00223596" w:rsidP="00D15F03">
      <w:r>
        <w:t xml:space="preserve">Redox imbalance, </w:t>
      </w:r>
      <w:r w:rsidR="003B549A">
        <w:t>defined</w:t>
      </w:r>
      <w:r>
        <w:t xml:space="preserve"> as when the</w:t>
      </w:r>
      <w:r>
        <w:t xml:space="preserve"> generation of </w:t>
      </w:r>
      <w:r w:rsidR="0091179A">
        <w:t xml:space="preserve">reactive oxygen species </w:t>
      </w:r>
      <w:r w:rsidR="0091179A">
        <w:t>(</w:t>
      </w:r>
      <w:r>
        <w:t>ROS</w:t>
      </w:r>
      <w:r w:rsidR="0091179A">
        <w:t>)</w:t>
      </w:r>
      <w:r>
        <w:t xml:space="preserve"> exceeds their elimination</w:t>
      </w:r>
      <w:r>
        <w:t xml:space="preserve">, is a </w:t>
      </w:r>
      <w:r>
        <w:t>well-documented consequence of heat stress</w:t>
      </w:r>
      <w:r w:rsidR="002C2FBC">
        <w:t xml:space="preserve"> </w:t>
      </w:r>
      <w:r>
        <w:t xml:space="preserve">and may contribute to the decrease in obligate anaerobes with rising temperatures. </w:t>
      </w:r>
      <w:r w:rsidR="003B549A">
        <w:t xml:space="preserve">The gut microbiome plays an important role in maintaining redox balance in the gut environment </w:t>
      </w:r>
      <w:r w:rsidR="002C2FBC">
        <w:fldChar w:fldCharType="begin"/>
      </w:r>
      <w:r w:rsidR="002C2FBC">
        <w:instrText xml:space="preserve"> ADDIN ZOTERO_ITEM CSL_CITATION {"citationID":"2Q6hubpf","properties":{"formattedCitation":"(Kunst et al., 2023; Sun et al., 2024)","plainCitation":"(Kunst et al., 2023; Sun et al., 2024)","noteIndex":0},"citationItems":[{"id":3255,"uris":["http://zotero.org/users/13901503/items/FQ9APYWZ"],"itemData":{"id":3255,"type":"article-journal","abstract":"The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schema":"https://github.com/citation-style-language/schema/raw/master/csl-citation.json"} </w:instrText>
      </w:r>
      <w:r w:rsidR="002C2FBC">
        <w:fldChar w:fldCharType="separate"/>
      </w:r>
      <w:r w:rsidR="002C2FBC">
        <w:rPr>
          <w:noProof/>
        </w:rPr>
        <w:t>(Kunst et al., 2023; Sun et al., 2024)</w:t>
      </w:r>
      <w:r w:rsidR="002C2FBC">
        <w:fldChar w:fldCharType="end"/>
      </w:r>
      <w:r w:rsidR="003B549A">
        <w:t xml:space="preserve">, and </w:t>
      </w:r>
      <w:r>
        <w:t xml:space="preserve">observed </w:t>
      </w:r>
      <w:r>
        <w:t>a decline in pathways involved in</w:t>
      </w:r>
      <w:r w:rsidR="003B549A">
        <w:t xml:space="preserve"> diverse mechanisms that contribute to</w:t>
      </w:r>
      <w:r>
        <w:t xml:space="preserve"> redox maintenance</w:t>
      </w:r>
      <w:r w:rsidR="003B549A">
        <w:t>. This</w:t>
      </w:r>
      <w:r>
        <w:t xml:space="preserve"> sugges</w:t>
      </w:r>
      <w:r w:rsidR="003B549A">
        <w:t>ts</w:t>
      </w:r>
      <w:r>
        <w:t xml:space="preserve"> that rising temperatures may reduce the gut microbiome’s ability to neutralize ROS</w:t>
      </w:r>
      <w:r>
        <w:t xml:space="preserve"> and contribute to redox imbalance </w:t>
      </w:r>
      <w:r w:rsidR="003B549A">
        <w:t xml:space="preserve">in the gut </w:t>
      </w:r>
      <w:r>
        <w:t xml:space="preserve">at high temperatures. </w:t>
      </w:r>
      <w:r>
        <w:t xml:space="preserve">Although some redox-maintaining pathways do increase, the concurrent increase in pathways involved in DNA repair mechanisms likely reflects a response to redox imbalance because the accumulation </w:t>
      </w:r>
      <w:r>
        <w:lastRenderedPageBreak/>
        <w:t>of reactive oxygen species (ROS) can cause DNA damage</w:t>
      </w:r>
      <w:r w:rsidR="008A5CA6">
        <w:t xml:space="preserve"> </w:t>
      </w:r>
      <w:r w:rsidR="003B549A">
        <w:fldChar w:fldCharType="begin"/>
      </w:r>
      <w:r w:rsidR="003B549A">
        <w:instrText xml:space="preserve"> ADDIN ZOTERO_ITEM CSL_CITATION {"citationID":"krmJEebQ","properties":{"formattedCitation":"(Imlay,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rsidR="003B549A">
        <w:fldChar w:fldCharType="separate"/>
      </w:r>
      <w:r w:rsidR="003B549A">
        <w:rPr>
          <w:noProof/>
        </w:rPr>
        <w:t>(Imlay, 2013)</w:t>
      </w:r>
      <w:r w:rsidR="003B549A">
        <w:fldChar w:fldCharType="end"/>
      </w:r>
      <w:r>
        <w:t>.</w:t>
      </w:r>
      <w:r w:rsidRPr="00223596">
        <w:t xml:space="preserve"> </w:t>
      </w:r>
      <w:r>
        <w:t xml:space="preserve">Obligate anaerobes may be particularly vulnerable to redox imbalance because their enzymatic defenses are less efficient at protecting against ROS than facultative anaerobes </w:t>
      </w:r>
      <w:r>
        <w:fldChar w:fldCharType="begin"/>
      </w:r>
      <w:r w:rsidR="00762AD7">
        <w:instrText xml:space="preserve"> ADDIN ZOTERO_ITEM CSL_CITATION {"citationID":"mWui3x2h","properties":{"formattedCitation":"(Z. Lu et al., 2018; McCord et al., 1971)","plainCitation":"(Z. 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sidR="003B549A">
        <w:rPr>
          <w:noProof/>
        </w:rPr>
        <w:t>(Z. Lu et al., 2018; McCord et al., 1971)</w:t>
      </w:r>
      <w:r>
        <w:fldChar w:fldCharType="end"/>
      </w:r>
      <w:r>
        <w:t>.</w:t>
      </w:r>
      <w:r w:rsidR="008A5CA6">
        <w:t xml:space="preserve"> </w:t>
      </w:r>
      <w:commentRangeStart w:id="0"/>
      <w:r w:rsidR="008A5CA6">
        <w:t>Together,</w:t>
      </w:r>
      <w:r w:rsidR="006B0A27">
        <w:t xml:space="preserve"> these findings mirror </w:t>
      </w:r>
      <w:r w:rsidR="003B549A">
        <w:t>physiological</w:t>
      </w:r>
      <w:r w:rsidR="006B0A27">
        <w:t xml:space="preserve"> changes characteristic of heat stress </w:t>
      </w:r>
      <w:r w:rsidR="003B549A">
        <w:t xml:space="preserve">() </w:t>
      </w:r>
      <w:r w:rsidR="006B0A27">
        <w:t>and suggest that redox imbalance may compromise the microbiome’s ability to sustain essential functions at high temperatures by contributing to the loss of obligate anaerobes</w:t>
      </w:r>
      <w:r w:rsidR="003B549A">
        <w:t>.</w:t>
      </w:r>
      <w:r w:rsidR="006B0A27">
        <w:t xml:space="preserve"> </w:t>
      </w:r>
      <w:r w:rsidR="00136BD0">
        <w:t xml:space="preserve">Sentence about varying oxygen gradients under heat stress even though we see a decrease in aerobic paths? </w:t>
      </w:r>
      <w:commentRangeEnd w:id="0"/>
      <w:r w:rsidR="003B549A">
        <w:rPr>
          <w:rStyle w:val="CommentReference"/>
        </w:rPr>
        <w:commentReference w:id="0"/>
      </w:r>
    </w:p>
    <w:p w14:paraId="13CE5519" w14:textId="77777777" w:rsidR="006B0A27" w:rsidRDefault="006B0A27" w:rsidP="00D15F03"/>
    <w:p w14:paraId="58194A44" w14:textId="3E443A03" w:rsidR="0099486B" w:rsidRPr="00F858BA" w:rsidRDefault="00136BD0" w:rsidP="0099486B">
      <w:pPr>
        <w:rPr>
          <w:b/>
          <w:bCs/>
        </w:rPr>
      </w:pPr>
      <w:r>
        <w:t xml:space="preserve">Redox imbalance triggered by high temperatures may </w:t>
      </w:r>
      <w:r w:rsidR="00E42C53">
        <w:t>ini</w:t>
      </w:r>
      <w:r w:rsidR="000A5FCD">
        <w:t>ti</w:t>
      </w:r>
      <w:r w:rsidR="00E42C53">
        <w:t xml:space="preserve">ate </w:t>
      </w:r>
      <w:r>
        <w:t xml:space="preserve">a negative feedback loop that disrupts the abundance of obligate anaerobes and </w:t>
      </w:r>
      <w:r w:rsidR="003B549A">
        <w:t>results in the</w:t>
      </w:r>
      <w:r>
        <w:t xml:space="preserve"> breakdown of gut microbiome-immune homeostasis (Fig 4F). </w:t>
      </w:r>
      <w:r w:rsidR="0099486B">
        <w:t>SCFA’s produced by o</w:t>
      </w:r>
      <w:r w:rsidR="0099486B">
        <w:t>bligate anaerobes</w:t>
      </w:r>
      <w:r w:rsidR="0099486B" w:rsidRPr="0099486B">
        <w:t xml:space="preserve"> </w:t>
      </w:r>
      <w:r w:rsidR="0099486B">
        <w:t>play essential roles in regulating intestinal immunity</w:t>
      </w:r>
      <w:r w:rsidR="0099486B">
        <w:t xml:space="preserve"> to maintain host tolerance towards gut microbiomes</w:t>
      </w:r>
      <w:r w:rsidR="0099486B">
        <w:t>, including the promotion of anti-inflammatory regulatory T cell activity</w:t>
      </w:r>
      <w:r w:rsidR="0099486B" w:rsidRPr="00E42C53">
        <w:t xml:space="preserve"> </w:t>
      </w:r>
      <w:r w:rsidR="0099486B">
        <w:fldChar w:fldCharType="begin"/>
      </w:r>
      <w:r w:rsidR="00394F65">
        <w:instrText xml:space="preserve"> ADDIN ZOTERO_ITEM CSL_CITATION {"citationID":"MC4WygPl","properties":{"formattedCitation":"(Arpaia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99486B">
        <w:fldChar w:fldCharType="separate"/>
      </w:r>
      <w:r w:rsidR="0099486B">
        <w:rPr>
          <w:noProof/>
        </w:rPr>
        <w:t>(Arpaia et al., 2013; Furusawa et al., 2013)</w:t>
      </w:r>
      <w:r w:rsidR="0099486B">
        <w:fldChar w:fldCharType="end"/>
      </w:r>
      <w:r w:rsidR="0099486B">
        <w:t xml:space="preserve"> and the suppression of proinflammatory cytokine signaling </w:t>
      </w:r>
      <w:r w:rsidR="0099486B">
        <w:fldChar w:fldCharType="begin"/>
      </w:r>
      <w:r w:rsidR="00394F65">
        <w:instrText xml:space="preserve"> ADDIN ZOTERO_ITEM CSL_CITATION {"citationID":"auQ74j9g","properties":{"formattedCitation":"(Hung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99486B">
        <w:fldChar w:fldCharType="separate"/>
      </w:r>
      <w:r w:rsidR="0099486B">
        <w:rPr>
          <w:noProof/>
        </w:rPr>
        <w:t>(Hung et al., 2023; Klampfer et al., 2003)</w:t>
      </w:r>
      <w:r w:rsidR="0099486B">
        <w:fldChar w:fldCharType="end"/>
      </w:r>
      <w:r w:rsidR="0099486B">
        <w:t>.</w:t>
      </w:r>
      <w:r w:rsidR="0099486B" w:rsidRPr="0099486B">
        <w:t xml:space="preserve"> </w:t>
      </w:r>
      <w:r w:rsidR="0099486B">
        <w:t>Thus, the observed decrease in SCFA-producing pathways under high temperatures</w:t>
      </w:r>
      <w:r w:rsidR="0099486B">
        <w:t xml:space="preserve"> (Fig 3E)</w:t>
      </w:r>
      <w:r w:rsidR="0099486B">
        <w:t xml:space="preserve"> likely reflects the loss of obligate anaerobes due to </w:t>
      </w:r>
      <w:r w:rsidR="0099486B">
        <w:t>redox imbalance</w:t>
      </w:r>
      <w:r w:rsidR="0099486B">
        <w:t xml:space="preserve"> </w:t>
      </w:r>
      <w:r w:rsidR="0099486B">
        <w:t xml:space="preserve">and may decrease host tolerance towards gut microbiomes. The resulting increased immune activation can continue to </w:t>
      </w:r>
      <w:r w:rsidR="0099486B">
        <w:t>exacerbate redox imbalance because activated immune cells, particularly phagocytes, release ROS as part of the inflammatory response ().</w:t>
      </w:r>
      <w:r w:rsidR="0099486B">
        <w:t xml:space="preserve"> </w:t>
      </w:r>
      <w:r w:rsidR="0099486B">
        <w:t xml:space="preserve">Together, these interactions form a feedback loop, linking redox imbalance to disruption of microbiome composition and breakdown of </w:t>
      </w:r>
      <w:r w:rsidR="0099486B">
        <w:t xml:space="preserve">gut-immune homeostasis (Fig 4F). </w:t>
      </w:r>
      <w:r w:rsidR="0099486B">
        <w:t xml:space="preserve">Although these relationships are well-documented in experimental and clinical research </w:t>
      </w:r>
      <w:r w:rsidR="0099486B">
        <w:fldChar w:fldCharType="begin"/>
      </w:r>
      <w:r w:rsidR="00034BF3">
        <w:instrText xml:space="preserve"> ADDIN ZOTERO_ITEM CSL_CITATION {"citationID":"ZVo4Iuph","properties":{"formattedCitation":"(L. Li et al., 2023; Mostafavi Abdolmaleky &amp; Zhou, 2024)","plainCitation":"(L. 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99486B">
        <w:fldChar w:fldCharType="separate"/>
      </w:r>
      <w:r w:rsidR="00034BF3">
        <w:rPr>
          <w:noProof/>
        </w:rPr>
        <w:t>(L. Li et al., 2023; Mostafavi Abdolmaleky &amp; Zhou, 2024)</w:t>
      </w:r>
      <w:r w:rsidR="0099486B">
        <w:fldChar w:fldCharType="end"/>
      </w:r>
      <w:r w:rsidR="0099486B">
        <w:t>, our findings provide the first evidence of this mechanism operating in a wild species exposed to environmental change, providing novel insight into how high temperatures may affect gut-immune axis function in natural populations.</w:t>
      </w:r>
      <w:r w:rsidR="0099486B" w:rsidRPr="0099486B">
        <w:t xml:space="preserve"> </w:t>
      </w:r>
      <w:r w:rsidR="0099486B">
        <w:t>These findings suggest that high temperatures</w:t>
      </w:r>
      <w:r w:rsidR="00AA501D">
        <w:t xml:space="preserve"> may</w:t>
      </w:r>
      <w:r w:rsidR="0099486B">
        <w:t xml:space="preserve"> initiate physiological cascades that increase </w:t>
      </w:r>
      <w:r w:rsidR="0099486B">
        <w:t>inflammatory disease risk</w:t>
      </w:r>
      <w:r w:rsidR="0099486B">
        <w:t xml:space="preserve"> </w:t>
      </w:r>
      <w:r w:rsidR="00AA501D">
        <w:t xml:space="preserve">and </w:t>
      </w:r>
      <w:r w:rsidR="0099486B">
        <w:t xml:space="preserve">could have long-term effects on host health and fitness. </w:t>
      </w:r>
      <w:r w:rsidR="00440810" w:rsidRPr="00440810">
        <w:rPr>
          <w:highlight w:val="yellow"/>
        </w:rPr>
        <w:t>Something about this becoming more extreme with increasing temps from climate change?</w:t>
      </w:r>
      <w:r w:rsidR="00440810">
        <w:t xml:space="preserve"> </w:t>
      </w:r>
      <w:r w:rsidR="00F858BA">
        <w:t>Given the steady increase in temperatures in Costa Rica over the past 40 years (), the capuchins will continue to experience longer periods of even hotter conditions, increasing their risk of negative health outcomes from gut microbiome sensitivity to temperatures.</w:t>
      </w:r>
    </w:p>
    <w:p w14:paraId="23625E75" w14:textId="77777777" w:rsidR="004C76DC" w:rsidRDefault="004C76DC" w:rsidP="000A5FCD"/>
    <w:p w14:paraId="3CBB31FC" w14:textId="4ADE16DC" w:rsidR="009E0836" w:rsidRDefault="00B74D78" w:rsidP="00B74D78">
      <w:pPr>
        <w:rPr>
          <w:u w:val="single"/>
        </w:rPr>
      </w:pPr>
      <w:r w:rsidRPr="00C64C3B">
        <w:rPr>
          <w:u w:val="single"/>
        </w:rPr>
        <w:t xml:space="preserve">Gut microbiome </w:t>
      </w:r>
      <w:r>
        <w:rPr>
          <w:u w:val="single"/>
        </w:rPr>
        <w:t>response</w:t>
      </w:r>
      <w:r w:rsidR="00C5576E">
        <w:rPr>
          <w:u w:val="single"/>
        </w:rPr>
        <w:t xml:space="preserve"> to temperature</w:t>
      </w:r>
      <w:r>
        <w:rPr>
          <w:u w:val="single"/>
        </w:rPr>
        <w:t xml:space="preserve"> </w:t>
      </w:r>
      <w:r>
        <w:rPr>
          <w:u w:val="single"/>
        </w:rPr>
        <w:t>is related to host immunity</w:t>
      </w:r>
    </w:p>
    <w:p w14:paraId="4E282C9E" w14:textId="6D8A6731" w:rsidR="00031DA9" w:rsidRPr="00FF73B4" w:rsidRDefault="001D5B6D" w:rsidP="00031DA9">
      <w:pPr>
        <w:rPr>
          <w:u w:val="single"/>
        </w:rPr>
      </w:pPr>
      <w:r>
        <w:t>The interaction between temperature and neopterin suggests that the decline in obligate anaerobes disrupt</w:t>
      </w:r>
      <w:r w:rsidR="00E822F4">
        <w:t>s</w:t>
      </w:r>
      <w:r>
        <w:t xml:space="preserve"> </w:t>
      </w:r>
      <w:r>
        <w:t>gut-</w:t>
      </w:r>
      <w:r>
        <w:t>immune homeostasis</w:t>
      </w:r>
      <w:r>
        <w:t xml:space="preserve"> </w:t>
      </w:r>
      <w:r>
        <w:t>by reducing anti-inflammatory signaling that normally promotes immune tolerance toward the microbiome</w:t>
      </w:r>
      <w:r>
        <w:t xml:space="preserve">. </w:t>
      </w:r>
      <w:r w:rsidR="00E822F4">
        <w:t xml:space="preserve">For example, stronger declines in obligate genera </w:t>
      </w:r>
      <w:r w:rsidR="00E822F4">
        <w:rPr>
          <w:rStyle w:val="Emphasis"/>
          <w:rFonts w:eastAsiaTheme="majorEastAsia"/>
        </w:rPr>
        <w:t>Parabacteroides</w:t>
      </w:r>
      <w:r w:rsidR="00E822F4">
        <w:t xml:space="preserve"> and </w:t>
      </w:r>
      <w:proofErr w:type="spellStart"/>
      <w:r w:rsidR="00E822F4">
        <w:rPr>
          <w:rStyle w:val="Emphasis"/>
          <w:rFonts w:eastAsiaTheme="majorEastAsia"/>
        </w:rPr>
        <w:t>Alistipes</w:t>
      </w:r>
      <w:proofErr w:type="spellEnd"/>
      <w:r w:rsidR="00E822F4">
        <w:rPr>
          <w:rStyle w:val="Emphasis"/>
          <w:rFonts w:eastAsiaTheme="majorEastAsia"/>
          <w:i w:val="0"/>
          <w:iCs w:val="0"/>
        </w:rPr>
        <w:t xml:space="preserve"> </w:t>
      </w:r>
      <w:r w:rsidR="00607ACC">
        <w:rPr>
          <w:rStyle w:val="Emphasis"/>
          <w:rFonts w:eastAsiaTheme="majorEastAsia"/>
          <w:i w:val="0"/>
          <w:iCs w:val="0"/>
        </w:rPr>
        <w:t xml:space="preserve">that are both involved in anti-inflammatory signaling </w:t>
      </w:r>
      <w:r w:rsidR="00607ACC">
        <w:fldChar w:fldCharType="begin"/>
      </w:r>
      <w:r w:rsidR="00607ACC">
        <w:instrText xml:space="preserve"> ADDIN ZOTERO_ITEM CSL_CITATION {"citationID":"wESsU6it","properties":{"formattedCitation":"(Hiippala et al., 2020; Parker et al., 2020)","plainCitation":"(Hiippala et al., 2020; Parker et al., 2020)","noteIndex":0},"citationItems":[{"id":2193,"uris":["http://zotero.org/users/13901503/items/TK9QBJNS"],"itemData":{"id":2193,"type":"article-journal","abstract":"Altered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00607ACC">
        <w:fldChar w:fldCharType="separate"/>
      </w:r>
      <w:r w:rsidR="00607ACC">
        <w:rPr>
          <w:noProof/>
        </w:rPr>
        <w:t>(Hiippala et al., 2020; Parker et al., 2020)</w:t>
      </w:r>
      <w:r w:rsidR="00607ACC">
        <w:fldChar w:fldCharType="end"/>
      </w:r>
      <w:r w:rsidR="00607ACC">
        <w:t xml:space="preserve"> </w:t>
      </w:r>
      <w:r w:rsidR="00E822F4">
        <w:rPr>
          <w:rStyle w:val="Emphasis"/>
          <w:rFonts w:eastAsiaTheme="majorEastAsia"/>
          <w:i w:val="0"/>
          <w:iCs w:val="0"/>
        </w:rPr>
        <w:t>are associated with higher neopterin</w:t>
      </w:r>
      <w:r w:rsidR="00031DA9">
        <w:rPr>
          <w:rStyle w:val="Emphasis"/>
          <w:rFonts w:eastAsiaTheme="majorEastAsia"/>
          <w:i w:val="0"/>
          <w:iCs w:val="0"/>
        </w:rPr>
        <w:t xml:space="preserve"> levels</w:t>
      </w:r>
      <w:r w:rsidR="00B13641">
        <w:rPr>
          <w:rStyle w:val="Emphasis"/>
          <w:rFonts w:eastAsiaTheme="majorEastAsia"/>
          <w:i w:val="0"/>
          <w:iCs w:val="0"/>
        </w:rPr>
        <w:t xml:space="preserve"> (Fig 4A)</w:t>
      </w:r>
      <w:r w:rsidR="00E822F4">
        <w:rPr>
          <w:rStyle w:val="Emphasis"/>
          <w:rFonts w:eastAsiaTheme="majorEastAsia"/>
          <w:i w:val="0"/>
          <w:iCs w:val="0"/>
        </w:rPr>
        <w:t>, suggesting that their loss may reduce immune tolerance towards the gut microbiome and trigger increased macrophage activity. Similarly, stronger declines in metabolic pathways that produce anti-inflammatory immunomodulators</w:t>
      </w:r>
      <w:r w:rsidR="00031DA9">
        <w:rPr>
          <w:rStyle w:val="Emphasis"/>
          <w:rFonts w:eastAsiaTheme="majorEastAsia"/>
          <w:i w:val="0"/>
          <w:iCs w:val="0"/>
        </w:rPr>
        <w:t>,</w:t>
      </w:r>
      <w:r w:rsidR="00E822F4">
        <w:rPr>
          <w:rStyle w:val="Emphasis"/>
          <w:rFonts w:eastAsiaTheme="majorEastAsia"/>
          <w:i w:val="0"/>
          <w:iCs w:val="0"/>
        </w:rPr>
        <w:t xml:space="preserve"> including</w:t>
      </w:r>
      <w:r w:rsidR="00031DA9">
        <w:rPr>
          <w:rStyle w:val="Emphasis"/>
          <w:rFonts w:eastAsiaTheme="majorEastAsia"/>
          <w:i w:val="0"/>
          <w:iCs w:val="0"/>
        </w:rPr>
        <w:t xml:space="preserve"> the</w:t>
      </w:r>
      <w:r w:rsidR="00E822F4">
        <w:rPr>
          <w:rStyle w:val="Emphasis"/>
          <w:rFonts w:eastAsiaTheme="majorEastAsia"/>
          <w:i w:val="0"/>
          <w:iCs w:val="0"/>
        </w:rPr>
        <w:t xml:space="preserve"> </w:t>
      </w:r>
      <w:r w:rsidR="00E822F4">
        <w:t xml:space="preserve">synthesis of monounsaturated fatty acids </w:t>
      </w:r>
      <w:r w:rsidR="00607ACC">
        <w:fldChar w:fldCharType="begin"/>
      </w:r>
      <w:r w:rsidR="00607ACC">
        <w:instrText xml:space="preserve"> ADDIN ZOTERO_ITEM CSL_CITATION {"citationID":"Yyg97aqJ","properties":{"formattedCitation":"(Hung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607ACC">
        <w:fldChar w:fldCharType="separate"/>
      </w:r>
      <w:r w:rsidR="00607ACC">
        <w:rPr>
          <w:noProof/>
        </w:rPr>
        <w:t>(Hung et al., 2023)</w:t>
      </w:r>
      <w:r w:rsidR="00607ACC">
        <w:fldChar w:fldCharType="end"/>
      </w:r>
      <w:r w:rsidR="00031DA9">
        <w:t xml:space="preserve"> </w:t>
      </w:r>
      <w:r w:rsidR="00E822F4">
        <w:t xml:space="preserve">and </w:t>
      </w:r>
      <w:r w:rsidR="00E96E2C">
        <w:t xml:space="preserve">the </w:t>
      </w:r>
      <w:r w:rsidR="00E822F4">
        <w:t>amino acid</w:t>
      </w:r>
      <w:r w:rsidR="00607ACC">
        <w:t xml:space="preserve"> derivatives</w:t>
      </w:r>
      <w:r w:rsidR="00031DA9">
        <w:t xml:space="preserve"> </w:t>
      </w:r>
      <w:r w:rsidR="00E96E2C">
        <w:t>tryptophan</w:t>
      </w:r>
      <w:r w:rsidR="00E96E2C">
        <w:t xml:space="preserve"> </w:t>
      </w:r>
      <w:r w:rsidR="00033DF6">
        <w:fldChar w:fldCharType="begin"/>
      </w:r>
      <w:r w:rsidR="00033DF6">
        <w:instrText xml:space="preserve"> ADDIN ZOTERO_ITEM CSL_CITATION {"citationID":"kcrryZeu","properties":{"formattedCitation":"(Zelante et al., 2013)","plainCitation":"(Zelante et al., 2013)","noteIndex":0},"citationItems":[{"id":3657,"uris":["http://zotero.org/users/13901503/items/6BWMVY9X"],"itemData":{"id":3657,"type":"article-journal","container-title":"Immunity","DOI":"10.1016/j.immuni.2013.08.003","ISSN":"1074-7613","issue":"2","journalAbbreviation":"Immunity","language":"English","note":"publisher: Elsevier","page":"372-385","source":"www-cell-com.proxy.lib.umich.edu","title":"Tryptophan Catabolites from Microbiota Engage Aryl Hydrocarbon Receptor and Balance Mucosal Reactivity via Interleukin-22","volume":"39","author":[{"family":"Zelante","given":"Teresa"},{"family":"Iannitti","given":"Rossana G."},{"family":"Cunha","given":"Cristina"},{"family":"De Luca","given":"Antonella"},{"family":"Giovannini","given":"Gloria"},{"family":"Pieraccini","given":"Giuseppe"},{"family":"Zecchi","given":"Riccardo"},{"family":"D’Angelo","given":"Carmen"},{"family":"Massi-Benedetti","given":"Cristina"},{"family":"Fallarino","given":"Francesca"},{"family":"Carvalho","given":"Agostinho"},{"family":"Puccetti","given":"Paolo"},{"family":"Romani","given":"Luigina"}],"issued":{"date-parts":[["2013",8,22]]}}}],"schema":"https://github.com/citation-style-language/schema/raw/master/csl-citation.json"} </w:instrText>
      </w:r>
      <w:r w:rsidR="00033DF6">
        <w:fldChar w:fldCharType="separate"/>
      </w:r>
      <w:r w:rsidR="00033DF6">
        <w:rPr>
          <w:noProof/>
        </w:rPr>
        <w:t>(Zelante et al., 2013)</w:t>
      </w:r>
      <w:r w:rsidR="00033DF6">
        <w:fldChar w:fldCharType="end"/>
      </w:r>
      <w:r w:rsidR="00031DA9">
        <w:t>,</w:t>
      </w:r>
      <w:r w:rsidR="00E822F4">
        <w:t xml:space="preserve"> are also associated with high neopterin</w:t>
      </w:r>
      <w:r w:rsidR="00B13641">
        <w:t xml:space="preserve"> (Fig 5)</w:t>
      </w:r>
      <w:r w:rsidR="00E822F4">
        <w:t xml:space="preserve">. This suggests that a </w:t>
      </w:r>
      <w:r w:rsidR="00031DA9">
        <w:t>decline in</w:t>
      </w:r>
      <w:r w:rsidR="00E822F4">
        <w:t xml:space="preserve"> microbial anti-inflammatory signaling in response to rising temperature may </w:t>
      </w:r>
      <w:r w:rsidR="00031DA9">
        <w:t>contribute to increased</w:t>
      </w:r>
      <w:r w:rsidR="00E822F4">
        <w:t xml:space="preserve"> immune activation. </w:t>
      </w:r>
      <w:r w:rsidR="00E822F4">
        <w:t>Notably,</w:t>
      </w:r>
      <w:r w:rsidR="00031DA9">
        <w:t xml:space="preserve"> </w:t>
      </w:r>
      <w:r w:rsidR="00E96E2C">
        <w:t>the synthesis of</w:t>
      </w:r>
      <w:r w:rsidR="00031DA9">
        <w:t xml:space="preserve"> </w:t>
      </w:r>
      <w:r w:rsidR="00E96E2C">
        <w:t xml:space="preserve">tryptophan </w:t>
      </w:r>
      <w:r w:rsidR="00E96E2C">
        <w:t xml:space="preserve">is </w:t>
      </w:r>
      <w:r w:rsidR="00031DA9">
        <w:t xml:space="preserve">characteristic of obligate taxa </w:t>
      </w:r>
      <w:r w:rsidR="00E96E2C">
        <w:fldChar w:fldCharType="begin"/>
      </w:r>
      <w:r w:rsidR="00E96E2C">
        <w:instrText xml:space="preserve"> ADDIN ZOTERO_ITEM CSL_CITATION {"citationID":"nHC3GdEJ","properties":{"formattedCitation":"(Dodd et al., 2017)","plainCitation":"(Dodd et al., 2017)","noteIndex":0},"citationItems":[{"id":3659,"uris":["http://zotero.org/users/13901503/items/WFUC2V8A"],"itemData":{"id":3659,"type":"article-journal","abstract":"A pathway for the production of aromatic amino acid metabolites in Clostridium sporogenes is described; modulation of serum levels of these metabolites in gnotobiotic mice affects intestinal permeability and systemic immunity.","container-title":"Nature","DOI":"10.1038/nature24661","ISSN":"1476-4687","issue":"7682","language":"en","license":"2017 Macmillan Publishers Limited, part of Springer Nature. All rights reserved.","note":"publisher: Nature Publishing Group","page":"648-652","source":"www-nature-com.proxy.lib.umich.edu","title":"A gut bacterial pathway metabolizes aromatic amino acids into nine circulating metabolites","volume":"551","author":[{"family":"Dodd","given":"Dylan"},{"family":"Spitzer","given":"Matthew H."},{"family":"Van Treuren","given":"William"},{"family":"Merrill","given":"Bryan D."},{"family":"Hryckowian","given":"Andrew J."},{"family":"Higginbottom","given":"Steven K."},{"family":"Le","given":"Anthony"},{"family":"Cowan","given":"Tina M."},{"family":"Nolan","given":"Garry P."},{"family":"Fischbach","given":"Michael A."},{"family":"Sonnenburg","given":"Justin L."}],"issued":{"date-parts":[["2017",11]]}}}],"schema":"https://github.com/citation-style-language/schema/raw/master/csl-citation.json"} </w:instrText>
      </w:r>
      <w:r w:rsidR="00E96E2C">
        <w:fldChar w:fldCharType="separate"/>
      </w:r>
      <w:r w:rsidR="00E96E2C">
        <w:rPr>
          <w:noProof/>
        </w:rPr>
        <w:t>(Dodd et al., 2017)</w:t>
      </w:r>
      <w:r w:rsidR="00E96E2C">
        <w:fldChar w:fldCharType="end"/>
      </w:r>
      <w:r w:rsidR="00031DA9">
        <w:t>, reinforcing the idea</w:t>
      </w:r>
      <w:r w:rsidR="00031DA9">
        <w:t xml:space="preserve"> that t</w:t>
      </w:r>
      <w:r w:rsidR="00033DF6">
        <w:t>he</w:t>
      </w:r>
      <w:r w:rsidR="00031DA9">
        <w:t xml:space="preserve"> loss</w:t>
      </w:r>
      <w:r w:rsidR="00033DF6">
        <w:t xml:space="preserve"> of obligates</w:t>
      </w:r>
      <w:r w:rsidR="00031DA9">
        <w:t xml:space="preserve"> at high temperatures reduces</w:t>
      </w:r>
      <w:r w:rsidR="00031DA9">
        <w:t xml:space="preserve"> </w:t>
      </w:r>
      <w:r w:rsidR="00031DA9">
        <w:t xml:space="preserve">immune </w:t>
      </w:r>
      <w:r w:rsidR="00031DA9">
        <w:lastRenderedPageBreak/>
        <w:t>tolerance toward the gut microbiome.</w:t>
      </w:r>
      <w:r w:rsidR="00031DA9" w:rsidRPr="00031DA9">
        <w:t xml:space="preserve"> </w:t>
      </w:r>
      <w:r w:rsidR="00031DA9">
        <w:t>Together, these findings suggest that temperature-driven loss of obligate taxa may disrupt gut</w:t>
      </w:r>
      <w:r w:rsidR="00031DA9">
        <w:t>-</w:t>
      </w:r>
      <w:r w:rsidR="00031DA9">
        <w:t xml:space="preserve">immune </w:t>
      </w:r>
      <w:r w:rsidR="00031DA9">
        <w:t>homeostasis</w:t>
      </w:r>
      <w:r w:rsidR="00031DA9">
        <w:t xml:space="preserve"> and </w:t>
      </w:r>
      <w:r w:rsidR="00031DA9">
        <w:t>contribute to</w:t>
      </w:r>
      <w:r w:rsidR="00031DA9">
        <w:t xml:space="preserve"> the risk of chronic inflammation</w:t>
      </w:r>
      <w:r w:rsidR="00031DA9">
        <w:t xml:space="preserve"> through increased immune activation. </w:t>
      </w:r>
    </w:p>
    <w:p w14:paraId="47D7E9A9" w14:textId="779EB8CD" w:rsidR="00B13641" w:rsidRDefault="00B13641" w:rsidP="00B74D78"/>
    <w:p w14:paraId="28A34DCC" w14:textId="496AFA7C" w:rsidR="009647C8" w:rsidRDefault="00164DAE" w:rsidP="009647C8">
      <w:r>
        <w:t xml:space="preserve">(This </w:t>
      </w:r>
      <w:proofErr w:type="spellStart"/>
      <w:r>
        <w:t>pargraph</w:t>
      </w:r>
      <w:proofErr w:type="spellEnd"/>
      <w:r>
        <w:t xml:space="preserve"> needs help </w:t>
      </w:r>
      <w:proofErr w:type="spellStart"/>
      <w:r>
        <w:t>wit</w:t>
      </w:r>
      <w:proofErr w:type="spellEnd"/>
      <w:r>
        <w:t xml:space="preserve"> the citations </w:t>
      </w:r>
      <w:proofErr w:type="spellStart"/>
      <w:r>
        <w:t>considerintaking</w:t>
      </w:r>
      <w:proofErr w:type="spellEnd"/>
      <w:r>
        <w:t xml:space="preserve"> </w:t>
      </w:r>
      <w:proofErr w:type="spellStart"/>
      <w:r>
        <w:t>aout</w:t>
      </w:r>
      <w:proofErr w:type="spellEnd"/>
      <w:r>
        <w:t xml:space="preserve"> the gram </w:t>
      </w:r>
      <w:proofErr w:type="spellStart"/>
      <w:r>
        <w:t>posoitve</w:t>
      </w:r>
      <w:proofErr w:type="spellEnd"/>
      <w:r>
        <w:t xml:space="preserve"> and </w:t>
      </w:r>
      <w:proofErr w:type="spellStart"/>
      <w:r>
        <w:t>melvonate</w:t>
      </w:r>
      <w:proofErr w:type="spellEnd"/>
      <w:r>
        <w:t xml:space="preserve"> examples and stick with fiber) </w:t>
      </w:r>
      <w:r w:rsidR="00B13641">
        <w:t xml:space="preserve">The interaction between temperature and neopterin also suggests that the combined effects of high temperatures and immune activation create particularly </w:t>
      </w:r>
      <w:r w:rsidR="00B13641">
        <w:t>unfavorable</w:t>
      </w:r>
      <w:r w:rsidR="00B13641">
        <w:t xml:space="preserve"> conditions for obligate anaerobes</w:t>
      </w:r>
      <w:r w:rsidR="00A41196">
        <w:t xml:space="preserve">. </w:t>
      </w:r>
      <w:r w:rsidR="007F60C5">
        <w:t>T</w:t>
      </w:r>
      <w:r w:rsidR="00A41196">
        <w:t xml:space="preserve">axa that exhibit stronger declines when neopterin is high </w:t>
      </w:r>
      <w:r w:rsidR="007F60C5">
        <w:t xml:space="preserve">are </w:t>
      </w:r>
      <w:r w:rsidR="00A41196">
        <w:t>primarily</w:t>
      </w:r>
      <w:r w:rsidR="007F60C5">
        <w:t xml:space="preserve"> from the</w:t>
      </w:r>
      <w:r w:rsidR="00A41196">
        <w:t xml:space="preserve"> </w:t>
      </w:r>
      <w:r w:rsidR="00A41196">
        <w:t xml:space="preserve">phyla </w:t>
      </w:r>
      <w:proofErr w:type="spellStart"/>
      <w:r w:rsidR="00A41196" w:rsidRPr="00A41196">
        <w:rPr>
          <w:rStyle w:val="Strong"/>
          <w:rFonts w:eastAsiaTheme="majorEastAsia"/>
          <w:b w:val="0"/>
          <w:bCs w:val="0"/>
        </w:rPr>
        <w:t>Bacteroidota</w:t>
      </w:r>
      <w:proofErr w:type="spellEnd"/>
      <w:r w:rsidR="00A41196" w:rsidRPr="00A41196">
        <w:rPr>
          <w:b/>
          <w:bCs/>
        </w:rPr>
        <w:t xml:space="preserve"> </w:t>
      </w:r>
      <w:r w:rsidR="00A41196" w:rsidRPr="00A41196">
        <w:t>and</w:t>
      </w:r>
      <w:r w:rsidR="00A41196" w:rsidRPr="00A41196">
        <w:rPr>
          <w:b/>
          <w:bCs/>
        </w:rPr>
        <w:t xml:space="preserve"> </w:t>
      </w:r>
      <w:r w:rsidR="00A41196" w:rsidRPr="00A41196">
        <w:rPr>
          <w:rStyle w:val="Strong"/>
          <w:rFonts w:eastAsiaTheme="majorEastAsia"/>
          <w:b w:val="0"/>
          <w:bCs w:val="0"/>
        </w:rPr>
        <w:t>Firmicutes</w:t>
      </w:r>
      <w:r w:rsidR="00A41196">
        <w:t xml:space="preserve"> which </w:t>
      </w:r>
      <w:r w:rsidR="007F60C5">
        <w:t>include</w:t>
      </w:r>
      <w:r w:rsidR="00A41196">
        <w:t xml:space="preserve"> many obligate anaerobes. </w:t>
      </w:r>
      <w:r w:rsidR="007F60C5">
        <w:t>We also observed</w:t>
      </w:r>
      <w:r w:rsidR="00A41196">
        <w:t xml:space="preserve"> a stronger decline in pathways </w:t>
      </w:r>
      <w:r w:rsidR="00A41196">
        <w:t>commonly associated with obligate taxa</w:t>
      </w:r>
      <w:r w:rsidR="00A41196" w:rsidRPr="00A41196">
        <w:t xml:space="preserve"> </w:t>
      </w:r>
      <w:r w:rsidR="00A41196">
        <w:t xml:space="preserve">including </w:t>
      </w:r>
      <w:r w:rsidR="007F60C5">
        <w:t xml:space="preserve">complex carb </w:t>
      </w:r>
      <w:r w:rsidR="00A41196" w:rsidRPr="00A41196">
        <w:rPr>
          <w:rStyle w:val="Strong"/>
          <w:rFonts w:eastAsiaTheme="majorEastAsia"/>
          <w:b w:val="0"/>
          <w:bCs w:val="0"/>
        </w:rPr>
        <w:t>fermentation</w:t>
      </w:r>
      <w:r w:rsidR="00285DF4">
        <w:rPr>
          <w:rStyle w:val="Strong"/>
          <w:rFonts w:eastAsiaTheme="majorEastAsia"/>
          <w:b w:val="0"/>
          <w:bCs w:val="0"/>
        </w:rPr>
        <w:t xml:space="preserve"> </w:t>
      </w:r>
      <w:r w:rsidR="00FC7394">
        <w:rPr>
          <w:rStyle w:val="Strong"/>
          <w:rFonts w:eastAsiaTheme="majorEastAsia"/>
          <w:b w:val="0"/>
          <w:bCs w:val="0"/>
        </w:rPr>
        <w:fldChar w:fldCharType="begin"/>
      </w:r>
      <w:r w:rsidR="00FC7394">
        <w:rPr>
          <w:rStyle w:val="Strong"/>
          <w:rFonts w:eastAsiaTheme="majorEastAsia"/>
          <w:b w:val="0"/>
          <w:bCs w:val="0"/>
        </w:rPr>
        <w:instrText xml:space="preserve"> ADDIN ZOTERO_ITEM CSL_CITATION {"citationID":"tuESI0A9","properties":{"formattedCitation":"(Flint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sidR="00FC7394">
        <w:rPr>
          <w:rStyle w:val="Strong"/>
          <w:rFonts w:eastAsiaTheme="majorEastAsia"/>
          <w:b w:val="0"/>
          <w:bCs w:val="0"/>
        </w:rPr>
        <w:fldChar w:fldCharType="separate"/>
      </w:r>
      <w:r w:rsidR="00FC7394">
        <w:rPr>
          <w:rStyle w:val="Strong"/>
          <w:rFonts w:eastAsiaTheme="majorEastAsia"/>
          <w:b w:val="0"/>
          <w:bCs w:val="0"/>
          <w:noProof/>
        </w:rPr>
        <w:t>(Flint et al., 2012)</w:t>
      </w:r>
      <w:r w:rsidR="00FC7394">
        <w:rPr>
          <w:rStyle w:val="Strong"/>
          <w:rFonts w:eastAsiaTheme="majorEastAsia"/>
          <w:b w:val="0"/>
          <w:bCs w:val="0"/>
        </w:rPr>
        <w:fldChar w:fldCharType="end"/>
      </w:r>
      <w:r w:rsidR="00A41196" w:rsidRPr="00A41196">
        <w:rPr>
          <w:b/>
          <w:bCs/>
        </w:rPr>
        <w:t xml:space="preserve">, </w:t>
      </w:r>
      <w:r w:rsidR="00A41196" w:rsidRPr="00A41196">
        <w:rPr>
          <w:rStyle w:val="Strong"/>
          <w:rFonts w:eastAsiaTheme="majorEastAsia"/>
          <w:b w:val="0"/>
          <w:bCs w:val="0"/>
        </w:rPr>
        <w:t>Gram-positive cell wall biosynthesis</w:t>
      </w:r>
      <w:r w:rsidR="00285DF4">
        <w:rPr>
          <w:rStyle w:val="Strong"/>
          <w:rFonts w:eastAsiaTheme="majorEastAsia"/>
          <w:b w:val="0"/>
          <w:bCs w:val="0"/>
        </w:rPr>
        <w:t xml:space="preserve"> ()</w:t>
      </w:r>
      <w:r w:rsidR="00A41196" w:rsidRPr="00A41196">
        <w:rPr>
          <w:b/>
          <w:bCs/>
        </w:rPr>
        <w:t xml:space="preserve">, </w:t>
      </w:r>
      <w:r w:rsidR="00A41196" w:rsidRPr="007F60C5">
        <w:t>and the</w:t>
      </w:r>
      <w:r w:rsidR="00A41196" w:rsidRPr="00A41196">
        <w:rPr>
          <w:b/>
          <w:bCs/>
        </w:rPr>
        <w:t xml:space="preserve"> </w:t>
      </w:r>
      <w:r w:rsidR="00A41196" w:rsidRPr="00A41196">
        <w:rPr>
          <w:rStyle w:val="Strong"/>
          <w:rFonts w:eastAsiaTheme="majorEastAsia"/>
          <w:b w:val="0"/>
          <w:bCs w:val="0"/>
        </w:rPr>
        <w:t>non-mevalonate (MEP) pathway</w:t>
      </w:r>
      <w:r w:rsidR="00A41196" w:rsidRPr="00A41196">
        <w:rPr>
          <w:b/>
          <w:bCs/>
        </w:rPr>
        <w:t xml:space="preserve"> </w:t>
      </w:r>
      <w:r w:rsidR="00A41196">
        <w:t>for isoprenoid production</w:t>
      </w:r>
      <w:r w:rsidR="007F60C5">
        <w:t xml:space="preserve"> (Fig 5)</w:t>
      </w:r>
      <w:r w:rsidR="00285DF4">
        <w:t>()</w:t>
      </w:r>
      <w:r w:rsidR="007F60C5">
        <w:t xml:space="preserve">. Together these patterns suggest that the combination of high temperatures and macrophage </w:t>
      </w:r>
      <w:r w:rsidR="009647C8">
        <w:t>activity</w:t>
      </w:r>
      <w:r w:rsidR="007F60C5">
        <w:t xml:space="preserve"> contribute</w:t>
      </w:r>
      <w:r w:rsidR="009647C8">
        <w:t>s</w:t>
      </w:r>
      <w:r w:rsidR="007F60C5">
        <w:t xml:space="preserve"> to the loss of obligate taxa, likely because </w:t>
      </w:r>
      <w:r w:rsidR="007F60C5">
        <w:t>immune activation</w:t>
      </w:r>
      <w:r w:rsidR="007F60C5">
        <w:t xml:space="preserve"> </w:t>
      </w:r>
      <w:r w:rsidR="007F60C5">
        <w:t>exacerbate</w:t>
      </w:r>
      <w:r w:rsidR="007F60C5">
        <w:t>s</w:t>
      </w:r>
      <w:r w:rsidR="007F60C5">
        <w:t xml:space="preserve"> the redox imbalance initiated by </w:t>
      </w:r>
      <w:r w:rsidR="007F60C5">
        <w:t>high temperatures</w:t>
      </w:r>
      <w:r w:rsidR="007F60C5">
        <w:t>.</w:t>
      </w:r>
      <w:r w:rsidR="00C24FA0">
        <w:t xml:space="preserve"> </w:t>
      </w:r>
      <w:r w:rsidR="00396322">
        <w:t xml:space="preserve">In contrast, facultative anaerobes </w:t>
      </w:r>
      <w:r w:rsidR="009647C8">
        <w:t>appear</w:t>
      </w:r>
      <w:r w:rsidR="00396322">
        <w:t xml:space="preserve"> more resilient to these conditions and may persist where obligate</w:t>
      </w:r>
      <w:r w:rsidR="009647C8">
        <w:t>s</w:t>
      </w:r>
      <w:r w:rsidR="00396322">
        <w:t xml:space="preserve"> decline.</w:t>
      </w:r>
      <w:r w:rsidR="00396322">
        <w:t xml:space="preserve"> Several facultative taxa including </w:t>
      </w:r>
      <w:proofErr w:type="spellStart"/>
      <w:r w:rsidR="00396322" w:rsidRPr="00396322">
        <w:rPr>
          <w:rStyle w:val="Strong"/>
          <w:rFonts w:eastAsiaTheme="majorEastAsia"/>
          <w:b w:val="0"/>
          <w:bCs w:val="0"/>
          <w:i/>
          <w:iCs/>
        </w:rPr>
        <w:t>Helicobacteraceae</w:t>
      </w:r>
      <w:proofErr w:type="spellEnd"/>
      <w:r w:rsidR="00396322">
        <w:rPr>
          <w:b/>
          <w:bCs/>
        </w:rPr>
        <w:t>,</w:t>
      </w:r>
      <w:r w:rsidR="00396322" w:rsidRPr="00D95B6A">
        <w:rPr>
          <w:b/>
          <w:bCs/>
          <w:i/>
          <w:iCs/>
        </w:rPr>
        <w:t xml:space="preserve"> </w:t>
      </w:r>
      <w:proofErr w:type="spellStart"/>
      <w:r w:rsidR="00396322" w:rsidRPr="00396322">
        <w:rPr>
          <w:rStyle w:val="Strong"/>
          <w:rFonts w:eastAsiaTheme="majorEastAsia"/>
          <w:b w:val="0"/>
          <w:bCs w:val="0"/>
          <w:i/>
          <w:iCs/>
        </w:rPr>
        <w:t>Erysipelotrichaceae</w:t>
      </w:r>
      <w:proofErr w:type="spellEnd"/>
      <w:r w:rsidR="00396322">
        <w:rPr>
          <w:rStyle w:val="Strong"/>
          <w:rFonts w:eastAsiaTheme="majorEastAsia"/>
          <w:b w:val="0"/>
          <w:bCs w:val="0"/>
        </w:rPr>
        <w:t xml:space="preserve">, and </w:t>
      </w:r>
      <w:proofErr w:type="spellStart"/>
      <w:r w:rsidR="00396322" w:rsidRPr="00396322">
        <w:rPr>
          <w:i/>
          <w:iCs/>
        </w:rPr>
        <w:t>Anaerobiospirillum</w:t>
      </w:r>
      <w:proofErr w:type="spellEnd"/>
      <w:r w:rsidR="00396322">
        <w:t xml:space="preserve"> </w:t>
      </w:r>
      <w:r w:rsidR="00C24FA0">
        <w:t xml:space="preserve">() </w:t>
      </w:r>
      <w:r w:rsidR="00396322">
        <w:t>exhibit stronger increases in abundance when neopterin is high</w:t>
      </w:r>
      <w:r w:rsidR="00C24FA0">
        <w:t xml:space="preserve">, </w:t>
      </w:r>
      <w:r w:rsidR="00C24FA0">
        <w:t xml:space="preserve">suggesting they are better able to tolerate redox imbalance, and may exploit niches </w:t>
      </w:r>
      <w:r w:rsidR="00C24FA0">
        <w:t xml:space="preserve">vacated </w:t>
      </w:r>
      <w:r w:rsidR="00C24FA0">
        <w:t>by the loss of obligates.</w:t>
      </w:r>
      <w:r w:rsidR="00C24FA0" w:rsidRPr="00C24FA0">
        <w:t xml:space="preserve"> </w:t>
      </w:r>
      <w:r w:rsidR="00C24FA0">
        <w:t>Similarly</w:t>
      </w:r>
      <w:r w:rsidR="00C24FA0">
        <w:t>, several pathways commonly associated with facultative taxa exhibit a stronger increase at high neopterin levels</w:t>
      </w:r>
      <w:r w:rsidR="009647C8">
        <w:t xml:space="preserve">, </w:t>
      </w:r>
      <w:r w:rsidR="009647C8">
        <w:t xml:space="preserve">suggesting that these </w:t>
      </w:r>
      <w:r w:rsidR="009647C8">
        <w:t>taxa</w:t>
      </w:r>
      <w:r w:rsidR="009647C8">
        <w:t xml:space="preserve"> may be actively responding </w:t>
      </w:r>
      <w:r w:rsidR="009647C8">
        <w:t>to changes in the gut environment</w:t>
      </w:r>
      <w:r w:rsidR="009647C8">
        <w:t xml:space="preserve">. For example, the glyoxylate cycle and Rubisco shunt both increase under high neopterin </w:t>
      </w:r>
      <w:r w:rsidR="009647C8">
        <w:t xml:space="preserve">which likely supports </w:t>
      </w:r>
      <w:r w:rsidR="009647C8">
        <w:t>energy conservation</w:t>
      </w:r>
      <w:r w:rsidR="009647C8" w:rsidRPr="009647C8">
        <w:t xml:space="preserve"> </w:t>
      </w:r>
      <w:r w:rsidR="009647C8">
        <w:t>under oxygen and energy-limited conditions</w:t>
      </w:r>
      <w:r w:rsidR="0039706F">
        <w:t xml:space="preserve"> </w:t>
      </w:r>
      <w:r w:rsidR="0039706F">
        <w:fldChar w:fldCharType="begin"/>
      </w:r>
      <w:r w:rsidR="00D04663">
        <w:instrText xml:space="preserve"> ADDIN ZOTERO_ITEM CSL_CITATION {"citationID":"PvilTIb8","properties":{"formattedCitation":"(Ahn et al., 2016; Badger &amp; Bek, 2008)","plainCitation":"(Ahn et al., 2016; Badger &amp; Bek, 2008)","noteIndex":0},"citationItems":[{"id":3666,"uris":["http://zotero.org/users/13901503/items/787C6UND"],"itemData":{"id":3666,"type":"article-journal","abstract":"&lt;p&gt;The glyoxylate shunt (GS) is a two-step metabolic pathway (isocitrate lyase, &lt;i&gt;aceA&lt;/i&gt;; and malate synthase, &lt;i&gt;glcB&lt;/i&gt;) that serves as an alternative to the tricarboxylic acid cycle. The GS bypasses the carbon dioxide-producing steps of the tricarboxylic acid cycle and is essential for acetate and fatty acid metabolism in bacteria. GS can be up-regulated under conditions of oxidative stress, antibiotic stress, and host infection, which implies that it plays important but poorly explored roles in stress defense and pathogenesis. In many bacterial species, including &lt;i&gt;Pseudomonas aeruginosa&lt;/i&gt;, &lt;i&gt;aceA&lt;/i&gt; and &lt;i&gt;glcB&lt;/i&gt; are not in an operon, unlike in &lt;i&gt;Escherichia coli&lt;/i&gt;. In &lt;i&gt;P. aeruginosa&lt;/i&gt;, we explored relationships between GS genes and growth, transcription profiles, and biofilm formation. Contrary to our expectations, deletion of &lt;i&gt;aceA&lt;/i&gt; in &lt;i&gt;P. aeruginosa&lt;/i&gt; improved cell growth under conditions of oxidative and antibiotic stress. Transcriptome data suggested that &lt;i&gt;aceA&lt;/i&gt; mutants underwent a metabolic shift toward aerobic denitrification; this was supported by additional evidence, including up-regulation of denitrification-related genes, decreased oxygen consumption without lowering ATP yield, increased production of denitrification intermediates (NO and N&lt;sub&gt;2&lt;/sub&gt;O), and increased cyanide resistance. The &lt;i&gt;aceA&lt;/i&gt; mutants also produced a thicker exopolysaccharide layer; that is, a phenotype consistent with aerobic denitrification. A bioinformatic survey across known bacterial genomes showed that only microorganisms capable of aerobic metabolism possess the glyoxylate shunt. This trend is consistent with the hypothesis that the GS plays a previously unrecognized role in allowing bacteria to tolerate oxidative stress.&lt;/p&gt;","container-title":"Journal of Biological Chemistry","DOI":"10.1074/jbc.M115.708149","ISSN":"0021-9258, 1083-351X","issue":"22","journalAbbreviation":"Journal of Biological Chemistry","language":"English","note":"publisher: Elsevier","page":"11928-11938","source":"www-jbc-org.proxy.lib.umich.edu","title":"Role of Glyoxylate Shunt in Oxidative Stress Response","volume":"291","author":[{"family":"Ahn","given":"Sungeun"},{"family":"Jung","given":"Jaejoon"},{"family":"Jang","given":"In-Ae"},{"family":"Madsen","given":"Eugene L."},{"family":"Park","given":"Woojun"}],"issued":{"date-parts":[["2016",5,27]]}}},{"id":3661,"uris":["http://zotero.org/users/13901503/items/7EH7QSRX"],"itemData":{"id":3661,"type":"article-journal","abstract":"Rubisco is the predominant enzymatic mechanism in the biosphere by which autotrophic bacteria, algae, and terrestrial plants fix CO2 into organic biomass via the Calvin–Benson–Basham reductive pentose phosphate pathway. Rubisco is not a perfect catalyst, suffering from low turnover rates, a low affinity for its CO2 substrate, and a competitive inhibition by O2 as an alternative substrate. As a consequence of changing environmental conditions over the past 3.5 billion years, with decreasing CO2 and increasing O2 in the atmosphere, Rubisco has evolved into multiple enzymatic forms with a range of kinetic properties, as well as co-evolving with CO2-concentrating mechanisms to cope with the different environmental contexts in which it must operate. The most dramatic evidence of this is the occurrence of multiple forms of Rubisco within autotrophic proteobacteria, where Forms II, IC, IBc, IAc, and IAq can be found either singly or in multiple combinations within a particular bacterial genome. Over the past few years there has been increasing availability of genomic sequence data for bacteria and this has allowed us to gain more extensive insights into the functional significance of this diversification. This paper is focused on summarizing what is known about the diversity of Rubisco forms, their kinetic properties, development of bacterial CO2-concentrating mechanisms, and correlations with metabolic flexibility and inorganic carbon environments in which proteobacteria perform various types of obligate and facultative chemo- and photoautotrophic CO2 fixation.","container-title":"Journal of Experimental Botany","DOI":"10.1093/jxb/erm297","ISSN":"0022-0957","issue":"7","journalAbbreviation":"Journal of Experimental Botany","page":"1525-1541","source":"Silverchair","title":"Multiple Rubisco forms in proteobacteria: their functional significance in relation to CO2 acquisition by the CBB cycle","title-short":"Multiple Rubisco forms in proteobacteria","volume":"59","author":[{"family":"Badger","given":"Murray Ronald"},{"family":"Bek","given":"Emily Jane"}],"issued":{"date-parts":[["2008",5,1]]}}}],"schema":"https://github.com/citation-style-language/schema/raw/master/csl-citation.json"} </w:instrText>
      </w:r>
      <w:r w:rsidR="0039706F">
        <w:fldChar w:fldCharType="separate"/>
      </w:r>
      <w:r w:rsidR="00D04663">
        <w:rPr>
          <w:noProof/>
        </w:rPr>
        <w:t>(Ahn et al., 2016; Badger &amp; Bek, 2008)</w:t>
      </w:r>
      <w:r w:rsidR="0039706F">
        <w:fldChar w:fldCharType="end"/>
      </w:r>
      <w:r w:rsidR="0039706F">
        <w:t>.</w:t>
      </w:r>
      <w:r w:rsidR="009647C8">
        <w:t xml:space="preserve"> </w:t>
      </w:r>
      <w:r w:rsidR="009647C8">
        <w:t>In addition, redox maintenance pathways such as ubiquinone biosynthesis also increase</w:t>
      </w:r>
      <w:r w:rsidR="009647C8">
        <w:t xml:space="preserve"> which helps </w:t>
      </w:r>
      <w:r w:rsidR="009647C8">
        <w:t>facultative anaerobes neutralize ROS</w:t>
      </w:r>
      <w:r w:rsidR="001A50AD">
        <w:t xml:space="preserve"> </w:t>
      </w:r>
      <w:r w:rsidR="0039706F">
        <w:fldChar w:fldCharType="begin"/>
      </w:r>
      <w:r w:rsidR="0039706F">
        <w:instrText xml:space="preserve"> ADDIN ZOTERO_ITEM CSL_CITATION {"citationID":"Fk5o5734","properties":{"formattedCitation":"(Bekker et al., 2007)","plainCitation":"(Bekker et al., 2007)","noteIndex":0},"citationItems":[{"id":3665,"uris":["http://zotero.org/users/13901503/items/NVUGIX64"],"itemData":{"id":3665,"type":"article-journal","container-title":"Microbiology","DOI":"10.1099/mic.0.2007/006098-0","ISSN":"1350-0872, 1465-2080","issue":"6","language":"en","page":"1974-1980","source":"DOI.org (Crossref)","title":"Changes in the redox state and composition of the quinone pool of Escherichia coli during aerobic batch-culture growth","volume":"153","author":[{"family":"Bekker","given":"M"},{"family":"Kramer","given":"G"},{"family":"Hartog","given":"A. F"},{"family":"Wagner","given":"M. J"},{"family":"De Koster","given":"C. G"},{"family":"Hellingwerf","given":"K. J"},{"family":"Teixeira De Mattos","given":"M. J"}],"issued":{"date-parts":[["2007",6,1]]}}}],"schema":"https://github.com/citation-style-language/schema/raw/master/csl-citation.json"} </w:instrText>
      </w:r>
      <w:r w:rsidR="0039706F">
        <w:fldChar w:fldCharType="separate"/>
      </w:r>
      <w:r w:rsidR="0039706F">
        <w:rPr>
          <w:noProof/>
        </w:rPr>
        <w:t>(Bekker et al., 2007)</w:t>
      </w:r>
      <w:r w:rsidR="0039706F">
        <w:fldChar w:fldCharType="end"/>
      </w:r>
      <w:r w:rsidR="009647C8">
        <w:t>.</w:t>
      </w:r>
      <w:r w:rsidR="009647C8" w:rsidRPr="009647C8">
        <w:t xml:space="preserve"> </w:t>
      </w:r>
      <w:r w:rsidR="009647C8">
        <w:t>Together these patterns support the idea that high temperatures and increased immune activity reinforce one another by shifting gut microbiome composition away from obligates and towards facultative taxa</w:t>
      </w:r>
      <w:r w:rsidR="009647C8">
        <w:t xml:space="preserve"> capable of tolerating and potentially exploiting these conditions. </w:t>
      </w:r>
    </w:p>
    <w:p w14:paraId="3CBBE9A9" w14:textId="3C291E45" w:rsidR="0074666C" w:rsidRDefault="00746DBF" w:rsidP="00A7049B">
      <w:pPr>
        <w:pStyle w:val="NormalWeb"/>
      </w:pPr>
      <w:r>
        <w:t>T</w:t>
      </w:r>
      <w:r w:rsidR="00C24FA0">
        <w:t xml:space="preserve">he shift towards facultative taxa </w:t>
      </w:r>
      <w:r w:rsidR="00D847BF">
        <w:t xml:space="preserve">at high temperatures </w:t>
      </w:r>
      <w:r w:rsidR="00C24FA0">
        <w:t xml:space="preserve">likely contributes to </w:t>
      </w:r>
      <w:r w:rsidR="00C61B69">
        <w:t xml:space="preserve">increased immune activation </w:t>
      </w:r>
      <w:r>
        <w:t>and further disrupt</w:t>
      </w:r>
      <w:r w:rsidR="00821E2E">
        <w:t>s</w:t>
      </w:r>
      <w:r w:rsidR="00C61B69">
        <w:t xml:space="preserve"> gut-immune homeostasis. </w:t>
      </w:r>
      <w:r>
        <w:t xml:space="preserve">For example, </w:t>
      </w:r>
      <w:proofErr w:type="spellStart"/>
      <w:r>
        <w:rPr>
          <w:rStyle w:val="Emphasis"/>
          <w:rFonts w:eastAsiaTheme="majorEastAsia"/>
        </w:rPr>
        <w:t>Helicobacteraceae</w:t>
      </w:r>
      <w:proofErr w:type="spellEnd"/>
      <w:r>
        <w:rPr>
          <w:rStyle w:val="Emphasis"/>
          <w:rFonts w:eastAsiaTheme="majorEastAsia"/>
          <w:i w:val="0"/>
          <w:iCs w:val="0"/>
        </w:rPr>
        <w:t>, which exhibits a stronger increase at higher neopterin,</w:t>
      </w:r>
      <w:r>
        <w:rPr>
          <w:rStyle w:val="Emphasis"/>
          <w:rFonts w:eastAsiaTheme="majorEastAsia"/>
        </w:rPr>
        <w:t xml:space="preserve"> </w:t>
      </w:r>
      <w:r>
        <w:rPr>
          <w:rStyle w:val="Emphasis"/>
          <w:rFonts w:eastAsiaTheme="majorEastAsia"/>
          <w:i w:val="0"/>
          <w:iCs w:val="0"/>
        </w:rPr>
        <w:t xml:space="preserve">is associated with </w:t>
      </w:r>
      <w:r>
        <w:t>inflammatory disease</w:t>
      </w:r>
      <w:r>
        <w:t xml:space="preserve">s </w:t>
      </w:r>
      <w:r>
        <w:t xml:space="preserve">and may </w:t>
      </w:r>
      <w:r w:rsidR="00821E2E">
        <w:t>promote</w:t>
      </w:r>
      <w:r>
        <w:t xml:space="preserve"> </w:t>
      </w:r>
      <w:r w:rsidR="00D847BF">
        <w:t>macrophage</w:t>
      </w:r>
      <w:r>
        <w:t xml:space="preserve"> activation by </w:t>
      </w:r>
      <w:r>
        <w:t>damaging</w:t>
      </w:r>
      <w:r>
        <w:t xml:space="preserve"> the gut epithelium </w:t>
      </w:r>
      <w:r>
        <w:t xml:space="preserve">and disrupting the mucosal barrier </w:t>
      </w:r>
      <w:r w:rsidR="003D142F">
        <w:fldChar w:fldCharType="begin"/>
      </w:r>
      <w:r w:rsidR="003D142F">
        <w:instrText xml:space="preserve"> ADDIN ZOTERO_ITEM CSL_CITATION {"citationID":"cZJ2yfWg","properties":{"formattedCitation":"(Chu et al., 2003)","plainCitation":"(Chu et al., 2003)","noteIndex":0},"citationItems":[{"id":3644,"uris":["http://zotero.org/users/13901503/items/GZ2VQ6TK"],"itemData":{"id":3644,"type":"article-journal","abstract":"Abstract: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rsidR="003D142F">
        <w:fldChar w:fldCharType="separate"/>
      </w:r>
      <w:r w:rsidR="003D142F">
        <w:rPr>
          <w:noProof/>
        </w:rPr>
        <w:t>(Chu et al., 2003)</w:t>
      </w:r>
      <w:r w:rsidR="003D142F">
        <w:fldChar w:fldCharType="end"/>
      </w:r>
      <w:r>
        <w:t xml:space="preserve">. </w:t>
      </w:r>
      <w:proofErr w:type="spellStart"/>
      <w:r w:rsidR="00821E2E" w:rsidRPr="00821E2E">
        <w:rPr>
          <w:i/>
          <w:iCs/>
        </w:rPr>
        <w:t>Erysipelotrichaceae</w:t>
      </w:r>
      <w:proofErr w:type="spellEnd"/>
      <w:r w:rsidR="00821E2E">
        <w:t>, another facultative tax</w:t>
      </w:r>
      <w:r w:rsidR="002D093F">
        <w:t>on</w:t>
      </w:r>
      <w:r w:rsidR="00821E2E">
        <w:t xml:space="preserve"> that shows a stronger increase, is also commonly associated with inflammatory disease</w:t>
      </w:r>
      <w:r w:rsidR="002D093F">
        <w:t xml:space="preserve"> and may directly contribute to immune activation </w:t>
      </w:r>
      <w:fldSimple w:instr=" ADDIN ZOTERO_TEMP ">
        <w:r w:rsidR="003D142F">
          <w:rPr>
            <w:noProof/>
          </w:rPr>
          <w:t>(Kaakoush, 2015)</w:t>
        </w:r>
      </w:fldSimple>
      <w:r w:rsidR="002D093F">
        <w:t xml:space="preserve">. </w:t>
      </w:r>
      <w:r w:rsidR="002D093F">
        <w:t xml:space="preserve">In addition, we observed increases in pathways typical of facultative anaerobes involved in </w:t>
      </w:r>
      <w:r w:rsidR="002D093F">
        <w:t xml:space="preserve">the synthesis of </w:t>
      </w:r>
      <w:r w:rsidR="002D093F">
        <w:t>enterobacterial common antigen (ECA) and lipid A</w:t>
      </w:r>
      <w:r w:rsidR="002D093F">
        <w:t xml:space="preserve"> which form </w:t>
      </w:r>
      <w:r w:rsidR="002D093F">
        <w:t>pathogen-associated molecular patterns (PAMPs) that are recognized by Toll-like receptors (TLRs) and can initiate pro-inflammatory signaling</w:t>
      </w:r>
      <w:r w:rsidR="00731350">
        <w:t xml:space="preserve"> ()</w:t>
      </w:r>
      <w:r w:rsidR="002D093F">
        <w:t>.</w:t>
      </w:r>
      <w:r w:rsidR="002D093F">
        <w:t xml:space="preserve"> </w:t>
      </w:r>
      <w:r w:rsidR="002D093F">
        <w:t>Thus, the increased abundance of facultative taxa may actively stimulate immune responses</w:t>
      </w:r>
      <w:r w:rsidR="002D093F">
        <w:t xml:space="preserve"> by triggering common inflammatory mechanisms. </w:t>
      </w:r>
      <w:r w:rsidR="002D093F">
        <w:t xml:space="preserve">These </w:t>
      </w:r>
      <w:r w:rsidR="002D093F">
        <w:t>shifts</w:t>
      </w:r>
      <w:r w:rsidR="002D093F">
        <w:t xml:space="preserve"> coupled with the loss of anti-inflammatory support from obligate</w:t>
      </w:r>
      <w:r w:rsidR="002D093F">
        <w:t xml:space="preserve"> anaerobes could lead to sustained immune activation and </w:t>
      </w:r>
      <w:r w:rsidR="002D093F">
        <w:t xml:space="preserve">increase the risk of chronic inflammation </w:t>
      </w:r>
      <w:r w:rsidR="002D093F">
        <w:t>at high temperatures</w:t>
      </w:r>
      <w:r w:rsidR="002D093F">
        <w:t>.</w:t>
      </w:r>
    </w:p>
    <w:p w14:paraId="71081BEF" w14:textId="199B7E02" w:rsidR="000736AF" w:rsidRDefault="00821E2E" w:rsidP="005D2F52">
      <w:pPr>
        <w:pStyle w:val="NormalWeb"/>
      </w:pPr>
      <w:r>
        <w:t xml:space="preserve">Considered together, </w:t>
      </w:r>
      <w:r w:rsidR="005D2F52">
        <w:t xml:space="preserve">our findings </w:t>
      </w:r>
      <w:r w:rsidR="005D2F52">
        <w:t xml:space="preserve">support a </w:t>
      </w:r>
      <w:r w:rsidR="005D2F52">
        <w:t>negative</w:t>
      </w:r>
      <w:r w:rsidR="005D2F52">
        <w:t xml:space="preserve"> feedback loop</w:t>
      </w:r>
      <w:r w:rsidR="005D2F52" w:rsidRPr="005D2F52">
        <w:t xml:space="preserve"> </w:t>
      </w:r>
      <w:r w:rsidR="005D2F52">
        <w:t>initiated by high temperatures</w:t>
      </w:r>
      <w:r w:rsidR="005D2F52">
        <w:t xml:space="preserve"> </w:t>
      </w:r>
      <w:r w:rsidR="000903E9">
        <w:t>in which redox</w:t>
      </w:r>
      <w:r w:rsidR="005D2F52">
        <w:t xml:space="preserve"> imbalance and immune activation</w:t>
      </w:r>
      <w:r w:rsidR="005D2F52">
        <w:t xml:space="preserve"> disrupt microbiome composition</w:t>
      </w:r>
      <w:r w:rsidR="000736AF">
        <w:t xml:space="preserve">, </w:t>
      </w:r>
      <w:r w:rsidR="000736AF">
        <w:lastRenderedPageBreak/>
        <w:t>likely</w:t>
      </w:r>
      <w:r w:rsidR="005D2F52">
        <w:t xml:space="preserve"> and </w:t>
      </w:r>
      <w:r w:rsidR="005D2F52">
        <w:t>promot</w:t>
      </w:r>
      <w:r w:rsidR="000736AF">
        <w:t>ing</w:t>
      </w:r>
      <w:r w:rsidR="005D2F52">
        <w:t xml:space="preserve"> inflammation.</w:t>
      </w:r>
      <w:r w:rsidR="005D2F52" w:rsidRPr="005D2F52">
        <w:t xml:space="preserve"> </w:t>
      </w:r>
      <w:r w:rsidR="005D2F52">
        <w:t xml:space="preserve">This </w:t>
      </w:r>
      <w:r w:rsidR="000903E9">
        <w:t xml:space="preserve">provides </w:t>
      </w:r>
      <w:r w:rsidR="000736AF">
        <w:t>compelling</w:t>
      </w:r>
      <w:r w:rsidR="000903E9">
        <w:t xml:space="preserve"> evidence that the capuchins experience periods of heat stress that may affect </w:t>
      </w:r>
      <w:r w:rsidR="000903E9">
        <w:t>long-ter</w:t>
      </w:r>
      <w:r w:rsidR="000736AF">
        <w:t>m</w:t>
      </w:r>
      <w:r w:rsidR="000903E9">
        <w:t xml:space="preserve"> health and fitness by increasing the risk of </w:t>
      </w:r>
      <w:r w:rsidR="000903E9">
        <w:t xml:space="preserve">chronic </w:t>
      </w:r>
      <w:r w:rsidR="000903E9">
        <w:t>inflammatory disease.</w:t>
      </w:r>
      <w:r w:rsidR="000736AF">
        <w:t xml:space="preserve"> This represents s</w:t>
      </w:r>
      <w:r w:rsidR="000736AF">
        <w:t>ome of the first evidence of microbiome-mediated heat stress in a wild population</w:t>
      </w:r>
      <w:r w:rsidR="000736AF">
        <w:t xml:space="preserve">. </w:t>
      </w:r>
      <w:r w:rsidR="0079795F">
        <w:t xml:space="preserve">These results are particularly concerning in our study population because white-faced capuchins in Northwestern Costa Rica are endemic to </w:t>
      </w:r>
      <w:r w:rsidR="000736AF">
        <w:t xml:space="preserve">highly seasonal </w:t>
      </w:r>
      <w:r w:rsidR="0079795F">
        <w:t xml:space="preserve">tropical dry forests and likely adapted to a wider temperature range than other topical </w:t>
      </w:r>
      <w:r w:rsidR="000736AF">
        <w:t>specialists</w:t>
      </w:r>
      <w:r w:rsidR="00F25F8E">
        <w:t xml:space="preserve"> </w:t>
      </w:r>
      <w:r w:rsidR="00F25F8E">
        <w:fldChar w:fldCharType="begin"/>
      </w:r>
      <w:r w:rsidR="00F25F8E">
        <w:instrText xml:space="preserve"> ADDIN ZOTERO_ITEM CSL_CITATION {"citationID":"xhoCHL1h","properties":{"formattedCitation":"(Campos &amp; Fedigan, 2009; Orkin et al., 2021)","plainCitation":"(Campos &amp; Fedigan, 2009; Orkin et al., 2021)","noteIndex":0},"citationItems":[{"id":545,"uris":["http://zotero.org/users/13901503/items/DK9CP8XR"],"itemData":{"id":545,"type":"article-journal","abstract":"We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sidR="00F25F8E">
        <w:rPr>
          <w:rFonts w:ascii="Cambria Math" w:hAnsi="Cambria Math" w:cs="Cambria Math"/>
        </w:rPr>
        <w:instrText>∼</w:instrText>
      </w:r>
      <w:r w:rsidR="00F25F8E">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rsidR="00F25F8E">
        <w:fldChar w:fldCharType="separate"/>
      </w:r>
      <w:r w:rsidR="00F25F8E">
        <w:rPr>
          <w:noProof/>
        </w:rPr>
        <w:t>(Campos &amp; Fedigan, 2009; Orkin et al., 2021)</w:t>
      </w:r>
      <w:r w:rsidR="00F25F8E">
        <w:fldChar w:fldCharType="end"/>
      </w:r>
      <w:r w:rsidR="000736AF">
        <w:t>.</w:t>
      </w:r>
      <w:r w:rsidR="00121EE2">
        <w:t xml:space="preserve"> </w:t>
      </w:r>
      <w:r w:rsidR="0079795F">
        <w:t xml:space="preserve">Therefore, it is likely that other tropical species are experiencing longer periods and more </w:t>
      </w:r>
      <w:r w:rsidR="00121EE2">
        <w:t>severe</w:t>
      </w:r>
      <w:r w:rsidR="0079795F">
        <w:t xml:space="preserve"> consequences of heat</w:t>
      </w:r>
      <w:r w:rsidR="00440810">
        <w:t>-</w:t>
      </w:r>
      <w:r w:rsidR="0079795F">
        <w:t xml:space="preserve">induced </w:t>
      </w:r>
      <w:r w:rsidR="00121EE2">
        <w:t>disruptions to gut-immune homeostasis</w:t>
      </w:r>
      <w:r w:rsidR="0079795F">
        <w:t xml:space="preserve">. </w:t>
      </w:r>
      <w:r w:rsidR="00121EE2">
        <w:t>Future research should examine whether these patterns are unique to</w:t>
      </w:r>
      <w:r w:rsidR="00121EE2">
        <w:t xml:space="preserve"> white-faced</w:t>
      </w:r>
      <w:r w:rsidR="00121EE2">
        <w:t xml:space="preserve"> capuchins or reflect broader trends across tropical species. In addition, incorporating a wider range of gut immune biomarkers will be critical for evaluating how temperature influences different branches of immune function in relation to the gut microbiome.</w:t>
      </w:r>
    </w:p>
    <w:p w14:paraId="2F8F5D99" w14:textId="463F4BAC" w:rsidR="00527EAC" w:rsidRDefault="00527EAC" w:rsidP="004F7F03">
      <w:pPr>
        <w:pStyle w:val="NormalWeb"/>
      </w:pPr>
      <w:r>
        <w:t>Conclusion</w:t>
      </w:r>
      <w:r>
        <w:t xml:space="preserve">: </w:t>
      </w:r>
    </w:p>
    <w:p w14:paraId="406EEDD5" w14:textId="2E810CA0" w:rsidR="005F2147" w:rsidRDefault="00F858BA" w:rsidP="00A566A6">
      <w:r>
        <w:t>are likely seeing the some of the first consequences of heat stress medi</w:t>
      </w:r>
      <w:r w:rsidR="00154747">
        <w:t>a</w:t>
      </w:r>
      <w:r>
        <w:t>ted b</w:t>
      </w:r>
      <w:r>
        <w:t>y the gut microbiome!!!!!!!!!!</w:t>
      </w:r>
    </w:p>
    <w:p w14:paraId="0D876715" w14:textId="2930B64E" w:rsidR="00121EE2" w:rsidRDefault="00121EE2" w:rsidP="00A566A6">
      <w:r>
        <w:t>First time we’ve observed something like this in the wild!</w:t>
      </w:r>
    </w:p>
    <w:p w14:paraId="6D4C0BA9" w14:textId="77777777" w:rsidR="005F2147" w:rsidRDefault="005F2147" w:rsidP="00A566A6"/>
    <w:p w14:paraId="52244A1B" w14:textId="77777777" w:rsidR="005F2147" w:rsidRDefault="005F2147" w:rsidP="00A566A6"/>
    <w:p w14:paraId="7055E943" w14:textId="77777777" w:rsidR="005F2147" w:rsidRDefault="005F2147" w:rsidP="00A566A6"/>
    <w:p w14:paraId="50D20E94" w14:textId="77777777" w:rsidR="005F2147" w:rsidRDefault="005F2147" w:rsidP="00A566A6"/>
    <w:p w14:paraId="2732DD93" w14:textId="77777777" w:rsidR="005F2147" w:rsidRDefault="005F2147" w:rsidP="00A566A6"/>
    <w:p w14:paraId="58A29C54" w14:textId="77777777" w:rsidR="005F2147" w:rsidRDefault="005F2147" w:rsidP="00A566A6"/>
    <w:p w14:paraId="42EA7F91" w14:textId="77777777" w:rsidR="005F2147" w:rsidRDefault="005F2147" w:rsidP="00A566A6"/>
    <w:p w14:paraId="03AB9314" w14:textId="77777777" w:rsidR="005F2147" w:rsidRDefault="005F2147" w:rsidP="00A566A6"/>
    <w:p w14:paraId="7CCBB39C" w14:textId="77777777" w:rsidR="005F2147" w:rsidRDefault="005F2147" w:rsidP="00A566A6"/>
    <w:p w14:paraId="4709ED29" w14:textId="77777777" w:rsidR="005F2147" w:rsidRDefault="005F2147" w:rsidP="00A566A6"/>
    <w:p w14:paraId="303F7C34" w14:textId="77777777" w:rsidR="005F2147" w:rsidRDefault="005F2147" w:rsidP="00A566A6"/>
    <w:p w14:paraId="4484BD34" w14:textId="19DF8F9E" w:rsidR="005F2147" w:rsidRDefault="00F858BA" w:rsidP="00A566A6">
      <w:r>
        <w:t xml:space="preserve">Probably not going to include this: </w:t>
      </w:r>
    </w:p>
    <w:p w14:paraId="50577564" w14:textId="4054EDF2" w:rsidR="005F2147" w:rsidRDefault="00F858BA" w:rsidP="00A566A6">
      <w:r>
        <w:t xml:space="preserve">There are also indications that the gut microbiome may mount compensatory responses to counteract these effects and restore homeostasis. For example, we observe increased abundance of two known short-chain fatty acid (SCFA) producers, </w:t>
      </w:r>
      <w:proofErr w:type="spellStart"/>
      <w:r>
        <w:rPr>
          <w:rStyle w:val="Emphasis"/>
          <w:rFonts w:eastAsiaTheme="majorEastAsia"/>
        </w:rPr>
        <w:t>Phascolarctobacterium</w:t>
      </w:r>
      <w:proofErr w:type="spellEnd"/>
      <w:r>
        <w:t xml:space="preserve"> and </w:t>
      </w:r>
      <w:r>
        <w:rPr>
          <w:rStyle w:val="Emphasis"/>
          <w:rFonts w:eastAsiaTheme="majorEastAsia"/>
        </w:rPr>
        <w:t>Eubacterium</w:t>
      </w:r>
      <w:r>
        <w:t xml:space="preserve">, at high neopterin levels—possibly reflecting an attempt to promote anti-inflammatory signaling. In addition, we see upregulation of several redox maintenance pathways, including the synthesis of B vitamins, </w:t>
      </w:r>
      <w:proofErr w:type="spellStart"/>
      <w:r>
        <w:t>menaquinol</w:t>
      </w:r>
      <w:proofErr w:type="spellEnd"/>
      <w:r>
        <w:t>, and NADPH, which may represent microbial efforts to mitigate oxidative stress and disrupt the feedback loop between temperature, immune activation, and microbiome instability.</w:t>
      </w:r>
    </w:p>
    <w:p w14:paraId="123978EA" w14:textId="77777777" w:rsidR="00DF3959" w:rsidRDefault="00DF3959" w:rsidP="00DF3959"/>
    <w:p w14:paraId="08EA4FD5" w14:textId="41E056A4" w:rsidR="009933D0" w:rsidRDefault="009933D0" w:rsidP="00A566A6"/>
    <w:p w14:paraId="095576E3" w14:textId="77777777" w:rsidR="009933D0" w:rsidRDefault="009933D0" w:rsidP="00A566A6">
      <w:pPr>
        <w:rPr>
          <w:rStyle w:val="Emphasis"/>
          <w:i w:val="0"/>
          <w:iCs w:val="0"/>
        </w:rPr>
      </w:pPr>
    </w:p>
    <w:p w14:paraId="17308752" w14:textId="77777777" w:rsidR="009933D0" w:rsidRDefault="009933D0" w:rsidP="00A566A6">
      <w:pPr>
        <w:rPr>
          <w:rStyle w:val="Emphasis"/>
          <w:i w:val="0"/>
          <w:iCs w:val="0"/>
        </w:rPr>
      </w:pPr>
    </w:p>
    <w:p w14:paraId="6A1F0EA4" w14:textId="77777777" w:rsidR="009933D0" w:rsidRDefault="009933D0" w:rsidP="00A566A6"/>
    <w:p w14:paraId="0A68BB7B" w14:textId="77777777" w:rsidR="009933D0" w:rsidRDefault="009933D0" w:rsidP="00A566A6"/>
    <w:p w14:paraId="15F7B7BE" w14:textId="77777777" w:rsidR="009933D0" w:rsidRDefault="009933D0" w:rsidP="00A566A6"/>
    <w:p w14:paraId="4480B9C5" w14:textId="77777777" w:rsidR="009933D0" w:rsidRDefault="009933D0" w:rsidP="00A566A6"/>
    <w:p w14:paraId="1BFC2E8F" w14:textId="77777777" w:rsidR="009933D0" w:rsidRDefault="009933D0" w:rsidP="00A566A6"/>
    <w:p w14:paraId="55AAB786" w14:textId="77777777" w:rsidR="00E53931" w:rsidRDefault="00E53931" w:rsidP="00A566A6"/>
    <w:p w14:paraId="3400E31A" w14:textId="53ED7B14" w:rsidR="00A566A6" w:rsidRDefault="00A566A6" w:rsidP="00A566A6"/>
    <w:p w14:paraId="551A5EC5" w14:textId="77777777" w:rsidR="00A566A6" w:rsidRDefault="00A566A6"/>
    <w:sectPr w:rsidR="00A566A6"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5-29T11:08:00Z" w:initials="JL">
    <w:p w14:paraId="0FDCA4D8" w14:textId="77777777" w:rsidR="003B549A" w:rsidRDefault="003B549A" w:rsidP="003B549A">
      <w:r>
        <w:rPr>
          <w:rStyle w:val="CommentReference"/>
        </w:rPr>
        <w:annotationRef/>
      </w:r>
      <w:r>
        <w:rPr>
          <w:color w:val="000000"/>
          <w:sz w:val="20"/>
          <w:szCs w:val="20"/>
        </w:rPr>
        <w:t>not happy with this, needs to be rewritten and maybe brought back to host health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CA4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E001A8" w16cex:dateUtc="2025-05-29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CA4D8" w16cid:durableId="18E001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altName w:val="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EA4"/>
    <w:multiLevelType w:val="hybridMultilevel"/>
    <w:tmpl w:val="C4DE32F2"/>
    <w:lvl w:ilvl="0" w:tplc="481E157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922CEF"/>
    <w:multiLevelType w:val="hybridMultilevel"/>
    <w:tmpl w:val="522A7B66"/>
    <w:lvl w:ilvl="0" w:tplc="481E157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237348">
    <w:abstractNumId w:val="1"/>
  </w:num>
  <w:num w:numId="2" w16cid:durableId="54999897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6A6"/>
    <w:rsid w:val="0001418D"/>
    <w:rsid w:val="00031DA9"/>
    <w:rsid w:val="00033DF6"/>
    <w:rsid w:val="00034BF3"/>
    <w:rsid w:val="000365B2"/>
    <w:rsid w:val="00036A73"/>
    <w:rsid w:val="00041BF4"/>
    <w:rsid w:val="00041D3D"/>
    <w:rsid w:val="000427FD"/>
    <w:rsid w:val="000736AF"/>
    <w:rsid w:val="00074A66"/>
    <w:rsid w:val="00075948"/>
    <w:rsid w:val="00086D68"/>
    <w:rsid w:val="000903E9"/>
    <w:rsid w:val="00092BD4"/>
    <w:rsid w:val="000A35B4"/>
    <w:rsid w:val="000A5FCD"/>
    <w:rsid w:val="000B204C"/>
    <w:rsid w:val="000C50E7"/>
    <w:rsid w:val="000F177E"/>
    <w:rsid w:val="000F7130"/>
    <w:rsid w:val="00104556"/>
    <w:rsid w:val="0011185D"/>
    <w:rsid w:val="00121EE2"/>
    <w:rsid w:val="00136BD0"/>
    <w:rsid w:val="00154747"/>
    <w:rsid w:val="00164DAE"/>
    <w:rsid w:val="00170C09"/>
    <w:rsid w:val="0017470C"/>
    <w:rsid w:val="001A50AD"/>
    <w:rsid w:val="001D5B6D"/>
    <w:rsid w:val="001F5E6F"/>
    <w:rsid w:val="00223596"/>
    <w:rsid w:val="00251D4B"/>
    <w:rsid w:val="00280546"/>
    <w:rsid w:val="00285DF4"/>
    <w:rsid w:val="002A0BFD"/>
    <w:rsid w:val="002A1D45"/>
    <w:rsid w:val="002A4D1E"/>
    <w:rsid w:val="002A5ADA"/>
    <w:rsid w:val="002B6A18"/>
    <w:rsid w:val="002C2FBC"/>
    <w:rsid w:val="002D093F"/>
    <w:rsid w:val="002F03A2"/>
    <w:rsid w:val="002F10EE"/>
    <w:rsid w:val="00313F54"/>
    <w:rsid w:val="003253D7"/>
    <w:rsid w:val="00333F2D"/>
    <w:rsid w:val="003340EB"/>
    <w:rsid w:val="00337EBD"/>
    <w:rsid w:val="00356083"/>
    <w:rsid w:val="003563E7"/>
    <w:rsid w:val="00366E63"/>
    <w:rsid w:val="003762F9"/>
    <w:rsid w:val="00394F65"/>
    <w:rsid w:val="00396018"/>
    <w:rsid w:val="00396322"/>
    <w:rsid w:val="0039706F"/>
    <w:rsid w:val="003B41F3"/>
    <w:rsid w:val="003B549A"/>
    <w:rsid w:val="003D142F"/>
    <w:rsid w:val="003D2BD5"/>
    <w:rsid w:val="00405DE3"/>
    <w:rsid w:val="004210A7"/>
    <w:rsid w:val="00440810"/>
    <w:rsid w:val="004477FD"/>
    <w:rsid w:val="00451FA9"/>
    <w:rsid w:val="00462EB7"/>
    <w:rsid w:val="00463305"/>
    <w:rsid w:val="004738C3"/>
    <w:rsid w:val="004A3F7C"/>
    <w:rsid w:val="004B35E1"/>
    <w:rsid w:val="004B3C62"/>
    <w:rsid w:val="004B4A97"/>
    <w:rsid w:val="004C76DC"/>
    <w:rsid w:val="004D0329"/>
    <w:rsid w:val="004D158F"/>
    <w:rsid w:val="004E151C"/>
    <w:rsid w:val="004E6AED"/>
    <w:rsid w:val="004F7F03"/>
    <w:rsid w:val="00502B08"/>
    <w:rsid w:val="00527EAC"/>
    <w:rsid w:val="005359E0"/>
    <w:rsid w:val="005551F2"/>
    <w:rsid w:val="0056063C"/>
    <w:rsid w:val="00573F59"/>
    <w:rsid w:val="005B1580"/>
    <w:rsid w:val="005D2F52"/>
    <w:rsid w:val="005D3CD6"/>
    <w:rsid w:val="005F2147"/>
    <w:rsid w:val="00607ACC"/>
    <w:rsid w:val="00613EEE"/>
    <w:rsid w:val="0062146A"/>
    <w:rsid w:val="00660882"/>
    <w:rsid w:val="00686DA4"/>
    <w:rsid w:val="006915F0"/>
    <w:rsid w:val="006B0A27"/>
    <w:rsid w:val="006C6B04"/>
    <w:rsid w:val="006D09B6"/>
    <w:rsid w:val="006D3E98"/>
    <w:rsid w:val="006E42D6"/>
    <w:rsid w:val="00705F6A"/>
    <w:rsid w:val="00707EA7"/>
    <w:rsid w:val="007246CF"/>
    <w:rsid w:val="00731350"/>
    <w:rsid w:val="00731AC9"/>
    <w:rsid w:val="00735E90"/>
    <w:rsid w:val="007445E7"/>
    <w:rsid w:val="0074666C"/>
    <w:rsid w:val="00746DBF"/>
    <w:rsid w:val="00751AB7"/>
    <w:rsid w:val="00752B2B"/>
    <w:rsid w:val="00762AD7"/>
    <w:rsid w:val="00767F97"/>
    <w:rsid w:val="00785266"/>
    <w:rsid w:val="00786060"/>
    <w:rsid w:val="00786945"/>
    <w:rsid w:val="0079795F"/>
    <w:rsid w:val="007A3F4A"/>
    <w:rsid w:val="007A6840"/>
    <w:rsid w:val="007B10D4"/>
    <w:rsid w:val="007B7E5F"/>
    <w:rsid w:val="007C2897"/>
    <w:rsid w:val="007E3A24"/>
    <w:rsid w:val="007E4ADB"/>
    <w:rsid w:val="007F0703"/>
    <w:rsid w:val="007F60C5"/>
    <w:rsid w:val="0081413B"/>
    <w:rsid w:val="00821E2E"/>
    <w:rsid w:val="00833814"/>
    <w:rsid w:val="008368BF"/>
    <w:rsid w:val="008631EB"/>
    <w:rsid w:val="00890A08"/>
    <w:rsid w:val="0089345D"/>
    <w:rsid w:val="008A4179"/>
    <w:rsid w:val="008A5CA6"/>
    <w:rsid w:val="008B0DD4"/>
    <w:rsid w:val="008B21F4"/>
    <w:rsid w:val="008C1D80"/>
    <w:rsid w:val="008D06A2"/>
    <w:rsid w:val="008D4403"/>
    <w:rsid w:val="008E7E3E"/>
    <w:rsid w:val="008F1008"/>
    <w:rsid w:val="008F7C1B"/>
    <w:rsid w:val="0091179A"/>
    <w:rsid w:val="00912B8D"/>
    <w:rsid w:val="00961BEF"/>
    <w:rsid w:val="009647C8"/>
    <w:rsid w:val="00976E8A"/>
    <w:rsid w:val="00985EFB"/>
    <w:rsid w:val="009933D0"/>
    <w:rsid w:val="0099486B"/>
    <w:rsid w:val="009A701C"/>
    <w:rsid w:val="009C62EC"/>
    <w:rsid w:val="009E0836"/>
    <w:rsid w:val="009E0914"/>
    <w:rsid w:val="009F2D85"/>
    <w:rsid w:val="009F4D51"/>
    <w:rsid w:val="009F7C82"/>
    <w:rsid w:val="00A05629"/>
    <w:rsid w:val="00A41196"/>
    <w:rsid w:val="00A46A10"/>
    <w:rsid w:val="00A566A6"/>
    <w:rsid w:val="00A57B5F"/>
    <w:rsid w:val="00A7049B"/>
    <w:rsid w:val="00A92CBF"/>
    <w:rsid w:val="00AA354D"/>
    <w:rsid w:val="00AA501D"/>
    <w:rsid w:val="00AB74C6"/>
    <w:rsid w:val="00AD19D6"/>
    <w:rsid w:val="00B13641"/>
    <w:rsid w:val="00B2665D"/>
    <w:rsid w:val="00B36108"/>
    <w:rsid w:val="00B74D78"/>
    <w:rsid w:val="00B902F7"/>
    <w:rsid w:val="00BD1D04"/>
    <w:rsid w:val="00BE1B72"/>
    <w:rsid w:val="00BE33CE"/>
    <w:rsid w:val="00BF1C3C"/>
    <w:rsid w:val="00C0086F"/>
    <w:rsid w:val="00C24FA0"/>
    <w:rsid w:val="00C5576E"/>
    <w:rsid w:val="00C61B69"/>
    <w:rsid w:val="00C83F85"/>
    <w:rsid w:val="00C846AF"/>
    <w:rsid w:val="00CB1E1C"/>
    <w:rsid w:val="00CC19C4"/>
    <w:rsid w:val="00CC56CB"/>
    <w:rsid w:val="00CD5022"/>
    <w:rsid w:val="00CE20EC"/>
    <w:rsid w:val="00CF4D2C"/>
    <w:rsid w:val="00D01117"/>
    <w:rsid w:val="00D04663"/>
    <w:rsid w:val="00D15F03"/>
    <w:rsid w:val="00D56B87"/>
    <w:rsid w:val="00D61088"/>
    <w:rsid w:val="00D763E3"/>
    <w:rsid w:val="00D7704C"/>
    <w:rsid w:val="00D847BF"/>
    <w:rsid w:val="00D85E24"/>
    <w:rsid w:val="00D93425"/>
    <w:rsid w:val="00D93EDA"/>
    <w:rsid w:val="00D95B6A"/>
    <w:rsid w:val="00DA75AD"/>
    <w:rsid w:val="00DB7C94"/>
    <w:rsid w:val="00DC34D9"/>
    <w:rsid w:val="00DF3959"/>
    <w:rsid w:val="00E32F77"/>
    <w:rsid w:val="00E356F2"/>
    <w:rsid w:val="00E42C53"/>
    <w:rsid w:val="00E51125"/>
    <w:rsid w:val="00E53931"/>
    <w:rsid w:val="00E55287"/>
    <w:rsid w:val="00E57724"/>
    <w:rsid w:val="00E57C21"/>
    <w:rsid w:val="00E82160"/>
    <w:rsid w:val="00E822F4"/>
    <w:rsid w:val="00E96E2C"/>
    <w:rsid w:val="00ED7040"/>
    <w:rsid w:val="00EF58C4"/>
    <w:rsid w:val="00F25F8E"/>
    <w:rsid w:val="00F35565"/>
    <w:rsid w:val="00F45F95"/>
    <w:rsid w:val="00F53032"/>
    <w:rsid w:val="00F60603"/>
    <w:rsid w:val="00F663FF"/>
    <w:rsid w:val="00F71328"/>
    <w:rsid w:val="00F80F43"/>
    <w:rsid w:val="00F858BA"/>
    <w:rsid w:val="00F865AD"/>
    <w:rsid w:val="00FA1AA6"/>
    <w:rsid w:val="00FA5279"/>
    <w:rsid w:val="00FA5C99"/>
    <w:rsid w:val="00FC7394"/>
    <w:rsid w:val="00FE5B3B"/>
    <w:rsid w:val="00FF2FEF"/>
    <w:rsid w:val="00FF73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997A7C"/>
  <w15:chartTrackingRefBased/>
  <w15:docId w15:val="{F1E0777F-C21B-B541-979D-696D774D3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6A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566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66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66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6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6A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6A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6A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6A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6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66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66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6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6A6"/>
    <w:rPr>
      <w:rFonts w:eastAsiaTheme="majorEastAsia" w:cstheme="majorBidi"/>
      <w:color w:val="272727" w:themeColor="text1" w:themeTint="D8"/>
    </w:rPr>
  </w:style>
  <w:style w:type="paragraph" w:styleId="Title">
    <w:name w:val="Title"/>
    <w:basedOn w:val="Normal"/>
    <w:next w:val="Normal"/>
    <w:link w:val="TitleChar"/>
    <w:uiPriority w:val="10"/>
    <w:qFormat/>
    <w:rsid w:val="00A566A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6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6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6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6A6"/>
    <w:pPr>
      <w:spacing w:before="160"/>
      <w:jc w:val="center"/>
    </w:pPr>
    <w:rPr>
      <w:i/>
      <w:iCs/>
      <w:color w:val="404040" w:themeColor="text1" w:themeTint="BF"/>
    </w:rPr>
  </w:style>
  <w:style w:type="character" w:customStyle="1" w:styleId="QuoteChar">
    <w:name w:val="Quote Char"/>
    <w:basedOn w:val="DefaultParagraphFont"/>
    <w:link w:val="Quote"/>
    <w:uiPriority w:val="29"/>
    <w:rsid w:val="00A566A6"/>
    <w:rPr>
      <w:i/>
      <w:iCs/>
      <w:color w:val="404040" w:themeColor="text1" w:themeTint="BF"/>
    </w:rPr>
  </w:style>
  <w:style w:type="paragraph" w:styleId="ListParagraph">
    <w:name w:val="List Paragraph"/>
    <w:basedOn w:val="Normal"/>
    <w:uiPriority w:val="34"/>
    <w:qFormat/>
    <w:rsid w:val="00A566A6"/>
    <w:pPr>
      <w:ind w:left="720"/>
      <w:contextualSpacing/>
    </w:pPr>
  </w:style>
  <w:style w:type="character" w:styleId="IntenseEmphasis">
    <w:name w:val="Intense Emphasis"/>
    <w:basedOn w:val="DefaultParagraphFont"/>
    <w:uiPriority w:val="21"/>
    <w:qFormat/>
    <w:rsid w:val="00A566A6"/>
    <w:rPr>
      <w:i/>
      <w:iCs/>
      <w:color w:val="0F4761" w:themeColor="accent1" w:themeShade="BF"/>
    </w:rPr>
  </w:style>
  <w:style w:type="paragraph" w:styleId="IntenseQuote">
    <w:name w:val="Intense Quote"/>
    <w:basedOn w:val="Normal"/>
    <w:next w:val="Normal"/>
    <w:link w:val="IntenseQuoteChar"/>
    <w:uiPriority w:val="30"/>
    <w:qFormat/>
    <w:rsid w:val="00A56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6A6"/>
    <w:rPr>
      <w:i/>
      <w:iCs/>
      <w:color w:val="0F4761" w:themeColor="accent1" w:themeShade="BF"/>
    </w:rPr>
  </w:style>
  <w:style w:type="character" w:styleId="IntenseReference">
    <w:name w:val="Intense Reference"/>
    <w:basedOn w:val="DefaultParagraphFont"/>
    <w:uiPriority w:val="32"/>
    <w:qFormat/>
    <w:rsid w:val="00A566A6"/>
    <w:rPr>
      <w:b/>
      <w:bCs/>
      <w:smallCaps/>
      <w:color w:val="0F4761" w:themeColor="accent1" w:themeShade="BF"/>
      <w:spacing w:val="5"/>
    </w:rPr>
  </w:style>
  <w:style w:type="character" w:styleId="Emphasis">
    <w:name w:val="Emphasis"/>
    <w:basedOn w:val="DefaultParagraphFont"/>
    <w:uiPriority w:val="20"/>
    <w:qFormat/>
    <w:rsid w:val="00A566A6"/>
    <w:rPr>
      <w:i/>
      <w:iCs/>
    </w:rPr>
  </w:style>
  <w:style w:type="character" w:styleId="CommentReference">
    <w:name w:val="annotation reference"/>
    <w:basedOn w:val="DefaultParagraphFont"/>
    <w:uiPriority w:val="99"/>
    <w:semiHidden/>
    <w:unhideWhenUsed/>
    <w:rsid w:val="00C83F85"/>
    <w:rPr>
      <w:sz w:val="16"/>
      <w:szCs w:val="16"/>
    </w:rPr>
  </w:style>
  <w:style w:type="paragraph" w:styleId="NormalWeb">
    <w:name w:val="Normal (Web)"/>
    <w:basedOn w:val="Normal"/>
    <w:uiPriority w:val="99"/>
    <w:unhideWhenUsed/>
    <w:rsid w:val="00A7049B"/>
    <w:pPr>
      <w:spacing w:before="100" w:beforeAutospacing="1" w:after="100" w:afterAutospacing="1"/>
    </w:pPr>
  </w:style>
  <w:style w:type="character" w:styleId="Strong">
    <w:name w:val="Strong"/>
    <w:basedOn w:val="DefaultParagraphFont"/>
    <w:uiPriority w:val="22"/>
    <w:qFormat/>
    <w:rsid w:val="00A7049B"/>
    <w:rPr>
      <w:b/>
      <w:bCs/>
    </w:rPr>
  </w:style>
  <w:style w:type="paragraph" w:styleId="CommentText">
    <w:name w:val="annotation text"/>
    <w:basedOn w:val="Normal"/>
    <w:link w:val="CommentTextChar"/>
    <w:uiPriority w:val="99"/>
    <w:semiHidden/>
    <w:unhideWhenUsed/>
    <w:rsid w:val="003B549A"/>
    <w:rPr>
      <w:sz w:val="20"/>
      <w:szCs w:val="20"/>
    </w:rPr>
  </w:style>
  <w:style w:type="character" w:customStyle="1" w:styleId="CommentTextChar">
    <w:name w:val="Comment Text Char"/>
    <w:basedOn w:val="DefaultParagraphFont"/>
    <w:link w:val="CommentText"/>
    <w:uiPriority w:val="99"/>
    <w:semiHidden/>
    <w:rsid w:val="003B549A"/>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B549A"/>
    <w:rPr>
      <w:b/>
      <w:bCs/>
    </w:rPr>
  </w:style>
  <w:style w:type="character" w:customStyle="1" w:styleId="CommentSubjectChar">
    <w:name w:val="Comment Subject Char"/>
    <w:basedOn w:val="CommentTextChar"/>
    <w:link w:val="CommentSubject"/>
    <w:uiPriority w:val="99"/>
    <w:semiHidden/>
    <w:rsid w:val="003B549A"/>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97587">
      <w:bodyDiv w:val="1"/>
      <w:marLeft w:val="0"/>
      <w:marRight w:val="0"/>
      <w:marTop w:val="0"/>
      <w:marBottom w:val="0"/>
      <w:divBdr>
        <w:top w:val="none" w:sz="0" w:space="0" w:color="auto"/>
        <w:left w:val="none" w:sz="0" w:space="0" w:color="auto"/>
        <w:bottom w:val="none" w:sz="0" w:space="0" w:color="auto"/>
        <w:right w:val="none" w:sz="0" w:space="0" w:color="auto"/>
      </w:divBdr>
      <w:divsChild>
        <w:div w:id="2094623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54617">
      <w:bodyDiv w:val="1"/>
      <w:marLeft w:val="0"/>
      <w:marRight w:val="0"/>
      <w:marTop w:val="0"/>
      <w:marBottom w:val="0"/>
      <w:divBdr>
        <w:top w:val="none" w:sz="0" w:space="0" w:color="auto"/>
        <w:left w:val="none" w:sz="0" w:space="0" w:color="auto"/>
        <w:bottom w:val="none" w:sz="0" w:space="0" w:color="auto"/>
        <w:right w:val="none" w:sz="0" w:space="0" w:color="auto"/>
      </w:divBdr>
      <w:divsChild>
        <w:div w:id="615253946">
          <w:marLeft w:val="0"/>
          <w:marRight w:val="0"/>
          <w:marTop w:val="0"/>
          <w:marBottom w:val="0"/>
          <w:divBdr>
            <w:top w:val="none" w:sz="0" w:space="0" w:color="auto"/>
            <w:left w:val="none" w:sz="0" w:space="0" w:color="auto"/>
            <w:bottom w:val="none" w:sz="0" w:space="0" w:color="auto"/>
            <w:right w:val="none" w:sz="0" w:space="0" w:color="auto"/>
          </w:divBdr>
        </w:div>
      </w:divsChild>
    </w:div>
    <w:div w:id="1010447622">
      <w:bodyDiv w:val="1"/>
      <w:marLeft w:val="0"/>
      <w:marRight w:val="0"/>
      <w:marTop w:val="0"/>
      <w:marBottom w:val="0"/>
      <w:divBdr>
        <w:top w:val="none" w:sz="0" w:space="0" w:color="auto"/>
        <w:left w:val="none" w:sz="0" w:space="0" w:color="auto"/>
        <w:bottom w:val="none" w:sz="0" w:space="0" w:color="auto"/>
        <w:right w:val="none" w:sz="0" w:space="0" w:color="auto"/>
      </w:divBdr>
    </w:div>
    <w:div w:id="1016348095">
      <w:bodyDiv w:val="1"/>
      <w:marLeft w:val="0"/>
      <w:marRight w:val="0"/>
      <w:marTop w:val="0"/>
      <w:marBottom w:val="0"/>
      <w:divBdr>
        <w:top w:val="none" w:sz="0" w:space="0" w:color="auto"/>
        <w:left w:val="none" w:sz="0" w:space="0" w:color="auto"/>
        <w:bottom w:val="none" w:sz="0" w:space="0" w:color="auto"/>
        <w:right w:val="none" w:sz="0" w:space="0" w:color="auto"/>
      </w:divBdr>
      <w:divsChild>
        <w:div w:id="1778285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393972">
      <w:bodyDiv w:val="1"/>
      <w:marLeft w:val="0"/>
      <w:marRight w:val="0"/>
      <w:marTop w:val="0"/>
      <w:marBottom w:val="0"/>
      <w:divBdr>
        <w:top w:val="none" w:sz="0" w:space="0" w:color="auto"/>
        <w:left w:val="none" w:sz="0" w:space="0" w:color="auto"/>
        <w:bottom w:val="none" w:sz="0" w:space="0" w:color="auto"/>
        <w:right w:val="none" w:sz="0" w:space="0" w:color="auto"/>
      </w:divBdr>
      <w:divsChild>
        <w:div w:id="12752130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1348</TotalTime>
  <Pages>13</Pages>
  <Words>52878</Words>
  <Characters>301406</Characters>
  <Application>Microsoft Office Word</Application>
  <DocSecurity>0</DocSecurity>
  <Lines>2511</Lines>
  <Paragraphs>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133</cp:revision>
  <dcterms:created xsi:type="dcterms:W3CDTF">2025-05-23T17:04:00Z</dcterms:created>
  <dcterms:modified xsi:type="dcterms:W3CDTF">2025-05-30T19:23:00Z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id="ASRLxPyU"/&gt;&lt;style id="http://www.zotero.org/styles/apa" locale="en-US" hasBibliography="1" bibliographyStyleHasBeenSet="0"/&gt;&lt;prefs&gt;&lt;pref name="fieldType" value="Field"/&gt;&lt;/prefs&gt;&lt;/data&gt;</vt:lpwstr>
  </property>
</Properties>
</file>