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24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Nicolas  Borgen</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49408766</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Agraciada 1229</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091373695</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BACCIO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P110X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ABC0000</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Canelones</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0</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152FMH23A34454</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LHJXCHLB3P2723261</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1100.00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cien</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MOTO Y 4 X $7500 CONSECUTIVAS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49408766</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