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07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Diego Martin Hernandez Sellanes</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46080068</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Artigas 1049</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091215506</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BAJAJ</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DISCOVER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JZXWRD22698</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MD2B44BX2SWD47020</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1999.00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novecientos noventa y nueve</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46080068</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