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Osvaldo Borges Cardozo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43077753</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Mevir 2 San Antonio 11154 Bis</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094374684</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ECO70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2009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MCD3815</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San José</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168680</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147FMD08080321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LHJXCDLA582563840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12000.00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doce mil</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efectivo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43077753</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