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Agreeableness evidence view: bound sources, observable signal, and measurement boundary</w:t>
      </w:r>
    </w:p>
    <w:p>
      <w:pPr>
        <w:pStyle w:val="Heading1"/>
      </w:pPr>
      <w:r>
        <w:t xml:space="preserve">1 · QA inputs</w:t>
      </w:r>
    </w:p>
    <w:p>
      <w:r>
        <w:t xml:space="preserve">Input bindings: the answered Probes and QA-banks used by this View.</w:t>
      </w:r>
    </w:p>
    <w:p>
      <w:pPr>
        <w:pStyle w:val="Code"/>
      </w:pPr>
      <w:r>
        <w:t xml:space="preserve">input/QA-probes/2-observable-signal.md   → observable signal + bound source-Probe count</w:t>
      </w:r>
    </w:p>
    <w:p>
      <w:pPr>
        <w:pStyle w:val="Code"/>
      </w:pPr>
      <w:r>
        <w:t xml:space="preserve">input/QA-probes/3-measurement-boundary.md → the strongest measurement claim this View may make</w:t>
      </w:r>
    </w:p>
    <w:p>
      <w:r>
        <w:t xml:space="preserve">This View binds two answered Probes carried over from QBt1's own Probe set.</w:t>
      </w:r>
    </w:p>
    <w:p>
      <w:pPr>
        <w:pStyle w:val="Quote"/>
      </w:pPr>
      <w:r>
        <w:t xml:space="preserve">Evidence card. Card two answered QA Probes: QI1 · QA input · Bindings: views/QY1-for-view/input/QA-probes/2-observable-signal.md, views/QY1-for-view/input/QA-probes/3-measurement-boundary.md. Status: answered. Role: supply the material organized by this View.</w:t>
      </w:r>
    </w:p>
    <w:p>
      <w:r>
        <w:t xml:space="preserve">Probe 2 resolves the bound source-Probe count through its own task QA-bank answer.</w:t>
      </w:r>
    </w:p>
    <w:p>
      <w:pPr>
        <w:pStyle w:val="Quote"/>
      </w:pPr>
      <w:r>
        <w:t xml:space="preserve">Evidence card. Card task QA-bank answer: QI2 · QA bank · Binding: ../../tasks/QV1-agreeableness/QA/1-bound-source-count.md. Consumer question: Q-View-1. Status: answered.</w:t>
      </w:r>
    </w:p>
    <w:p>
      <w:r>
        <w:t xml:space="preserve">The current View binds 3 source Probe records into its underlying judgment [Q-View-1], even though only two of those Probe files are copied directly into this View's own input/QA-probes/.</w:t>
      </w:r>
    </w:p>
    <w:p>
      <w:pPr>
        <w:pStyle w:val="Heading1"/>
      </w:pPr>
      <w:r>
        <w:t xml:space="preserve">2 · View body</w:t>
      </w:r>
    </w:p>
    <w:p>
      <w:r>
        <w:t xml:space="preserve">Readable body: the topic-specific material a person should understand.</w:t>
      </w:r>
    </w:p>
    <w:p>
      <w:pPr>
        <w:pStyle w:val="Code"/>
      </w:pPr>
      <w:r>
        <w:t xml:space="preserve">observable signal + measurement boundary → one bounded reading of agreeableness evidence</w:t>
      </w:r>
    </w:p>
    <w:p>
      <w:pPr>
        <w:pStyle w:val="Heading2"/>
      </w:pPr>
      <w:r>
        <w:t xml:space="preserve">2.1 · Observable project signal</w:t>
      </w:r>
    </w:p>
    <w:p>
      <w:r>
        <w:t xml:space="preserve">Review text directly records patient descriptions and evaluations of patient-facing behavior, so the review-derived score is a patient-perceived signal rather than a direct instrument reading.</w:t>
      </w:r>
    </w:p>
    <w:p>
      <w:pPr>
        <w:pStyle w:val="Quote"/>
      </w:pPr>
      <w:r>
        <w:t xml:space="preserve">Evidence card. Card patient-perceived signal: EC3 · Value · Finding: the project observes descriptions and evaluations of behavior, not the trait itself. Bearing: qualifies. Boundary: observed signal, not direct latent trait. Binding: views/QY1-for-view/input/QA-probes/2-observable-signal.md. Freshness: current. Used by: QY1-Display1.</w:t>
      </w:r>
    </w:p>
    <w:p>
      <w:r>
        <w:t xml:space="preserve">The literature-side construct frame for agreeableness rests on the standard trait taxonomy (John et al., 1999).</w:t>
      </w:r>
    </w:p>
    <w:p>
      <w:pPr>
        <w:pStyle w:val="Heading2"/>
      </w:pPr>
      <w:r>
        <w:t xml:space="preserve">2.2 · Measurement boundary</w:t>
      </w:r>
    </w:p>
    <w:p>
      <w:r>
        <w:t xml:space="preserve">The strongest claim this View may support is that the score is a patient-perceived manifestation of agreeableness-related behavior.</w:t>
      </w:r>
    </w:p>
    <w:p>
      <w:pPr>
        <w:pStyle w:val="Quote"/>
      </w:pPr>
      <w:r>
        <w:t xml:space="preserve">Evidence card. Card patient-perceived manifestation: EC4 · Construct · Finding: the two bound Probes do not justify a claim of error-free latent-personality measurement. Bearing: bounds this View. Boundary: manifestation only, not a validated latent-trait instrument. Binding: views/QY1-for-view/input/QA-probes/3-measurement-boundary.md. Freshness: current. Used by: QY1-Display1.</w:t>
      </w:r>
    </w:p>
    <w:p>
      <w:r>
        <w:t xml:space="preserve">Any stronger claim would require direct construct-validation evidence that these two Probes do not contain.</w:t>
      </w:r>
    </w:p>
    <w:p>
      <w:r>
        <w:t xml:space="preserve">The body is not a hidden evidence ledger; EC3 and EC4 let a reader inspect why each exact phrase is present.</w:t>
      </w:r>
    </w:p>
    <w:p>
      <w:pPr>
        <w:pStyle w:val="Heading1"/>
      </w:pPr>
      <w:r>
        <w:t xml:space="preserve">3 · Displays</w:t>
      </w:r>
    </w:p>
    <w:p>
      <w:r>
        <w:t xml:space="preserve">Display outputs: each output selects View-body content and keeps an independent acceptance state.</w:t>
      </w:r>
    </w:p>
    <w:p>
      <w:pPr>
        <w:pStyle w:val="Code"/>
      </w:pPr>
      <w:r>
        <w:t xml:space="preserve">EC3, EC4 → QY1-Display1 → owner-indexed evidence table</w:t>
      </w:r>
    </w:p>
    <w:p>
      <w:r>
        <w:t xml:space="preserve">QY1-Display1 is the owner-indexed evidence table: one row per bound Probe, showing what it answers, its Card, and its boundary. Its current raster is embedded below; click QY1-Display1 and the same preview appears first, before its View-body bindings, files, and independent acceptance state.</w:t>
      </w:r>
    </w:p>
    <w:p>
      <w:pPr>
        <w:jc w:val="center"/>
      </w:pPr>
      <w:r>
        <w:drawing>
          <wp:inline distT="0" distB="0" distL="0" distR="0">
            <wp:extent cx="5394960" cy="1878023"/>
            <wp:docPr id="1" name="Display 1"/>
            <a:graphic>
              <a:graphicData uri="http://schemas.openxmlformats.org/drawingml/2006/picture">
                <pic:pic>
                  <pic:nvPicPr>
                    <pic:cNvPr id="1" name="display-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7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Evidence card. Card QY1-Display1: Display · Kind: table · Bindings: EC3, EC4 · Files: views/QY1-for-view/output/QY1-Display1-agreeableness-evidence-table/output.md, views/QY1-for-view/output/QY1-Display1-agreeableness-evidence-table/preview.png, views/QY1-for-view/output/QY1-Display1-agreeableness-evidence-table/preview.pdf · State: rendered, acceptance waiting.</w:t>
      </w:r>
    </w:p>
    <w:p>
      <w:r>
        <w:t xml:space="preserve">preview.pdf carries the same table as the printable full-fidelity inspection surface: views/QY1-for-view/output/QY1-Display1-agreeableness-evidence-table/preview.pdf.</w:t>
      </w:r>
    </w:p>
    <w:p>
      <w:r>
        <w:t xml:space="preserve">QY1-Display1 is the only Display in this specimen; no prose pack or evidence ledger is added as a separate optional output.</w:t>
      </w:r>
    </w:p>
    <w:p>
      <w:pPr>
        <w:pStyle w:val="Heading1"/>
      </w:pPr>
      <w:r>
        <w:t xml:space="preserve">4 · Consumers</w:t>
      </w:r>
    </w:p>
    <w:p>
      <w:r>
        <w:t xml:space="preserve">Consumer bindings: downstream Pages or applications and what they use.</w:t>
      </w:r>
    </w:p>
    <w:p>
      <w:pPr>
        <w:pStyle w:val="Code"/>
      </w:pPr>
      <w:r>
        <w:t xml:space="preserve">QY1-Display1 → Main Results section (S-Main-4) → Results / construct interpretation, planned</w:t>
      </w:r>
    </w:p>
    <w:p>
      <w:r>
        <w:t xml:space="preserve">The Main Results section is the planned downstream reader for QY1-Display1's construct-interpretation row.</w:t>
      </w:r>
    </w:p>
    <w:p>
      <w:pPr>
        <w:pStyle w:val="Quote"/>
      </w:pPr>
      <w:r>
        <w:t xml:space="preserve">Evidence card. Card Main Results section: C1 · Consumer · Target Page: S-Main-4 · Binding: ../../QS-consumers/S-Main-4-results.md · Uses: QY1-Display1 · Placement: Results / construct interpretation · Status: planned, blocked on View and Display acceptance.</w:t>
      </w:r>
    </w:p>
    <w:p>
      <w:r>
        <w:t xml:space="preserve">S-Main-4-results.md is the live Board Page this Card points to; it is read here for reference only and is not modified by this View.</w:t>
      </w:r>
    </w:p>
    <w:p>
      <w:r>
        <w:t xml:space="preserve">A consumer may still reach a Probe directly when its own contract permits it; the View route remains the normal human-readable handoff.</w:t>
      </w:r>
    </w:p>
    <w:p>
      <w:pPr>
        <w:pStyle w:val="Heading1"/>
      </w:pPr>
      <w:r>
        <w:t xml:space="preserve">References</w:t>
      </w:r>
    </w:p>
    <w:p>
      <w:pPr>
        <w:pStyle w:val="ListParagraph"/>
      </w:pPr>
      <w:r>
        <w:t xml:space="preserve">John, Oliver P.; Srivastava, Sanjay (1999). The Big-Five Trait Taxonomy: History, Measurement, and Theoretical Perspectives. Handbook of Personality: Theory and Research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basedOn w:val="Normal"/>
    <w:pPr>
      <w:jc w:val="center"/>
      <w:spacing w:after="320"/>
    </w:pPr>
    <w:rPr>
      <w:b/>
      <w:sz w:val="34"/>
    </w:rPr>
  </w:style>
  <w:style w:type="paragraph" w:styleId="Heading1">
    <w:name w:val="heading 1"/>
    <w:basedOn w:val="Normal"/>
    <w:pPr>
      <w:keepNext/>
      <w:spacing w:before="280" w:after="120"/>
    </w:pPr>
    <w:rPr>
      <w:b/>
      <w:sz w:val="28"/>
    </w:rPr>
  </w:style>
  <w:style w:type="paragraph" w:styleId="Heading2">
    <w:name w:val="heading 2"/>
    <w:basedOn w:val="Normal"/>
    <w:pPr>
      <w:keepNext/>
      <w:spacing w:before="220" w:after="100"/>
    </w:pPr>
    <w:rPr>
      <w:b/>
      <w:sz w:val="24"/>
    </w:rPr>
  </w:style>
  <w:style w:type="paragraph" w:styleId="Quote">
    <w:name w:val="Evidence card"/>
    <w:basedOn w:val="Normal"/>
    <w:pPr>
      <w:ind w:left="360"/>
      <w:shd w:fill="F1F5F9"/>
      <w:spacing w:before="80" w:after="120"/>
    </w:pPr>
    <w:rPr>
      <w:sz w:val="18"/>
    </w:rPr>
  </w:style>
  <w:style w:type="paragraph" w:styleId="Code">
    <w:name w:val="Code"/>
    <w:basedOn w:val="Normal"/>
    <w:rPr>
      <w:rFonts w:ascii="Courier New" w:hAnsi="Courier New"/>
      <w:sz w:val="1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display-1.png"/><Relationship Id="rIdStyles" Type="http://schemas.openxmlformats.org/officeDocument/2006/relationships/styles" Target="styles.xml"/></Relationships>
</file>