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Agreeableness evidence specimen (QY2 skill-forward validation)</w:t>
      </w:r>
    </w:p>
    <w:p>
      <w:pPr>
        <w:pStyle w:val="Heading1"/>
      </w:pPr>
      <w:r>
        <w:t xml:space="preserve">1 · QA inputs</w:t>
      </w:r>
    </w:p>
    <w:p>
      <w:r>
        <w:t xml:space="preserve">Input bindings: two answered Probes copied locally into this View's own</w:t>
      </w:r>
    </w:p>
    <w:p>
      <w:r>
        <w:t xml:space="preserve">input/QA-probes/ folder.</w:t>
      </w:r>
    </w:p>
    <w:p>
      <w:pPr>
        <w:pStyle w:val="Code"/>
      </w:pPr>
      <w:r>
        <w:t xml:space="preserve">input/QA-probes/1-canonical-definition.md → canonical trait meaning</w:t>
      </w:r>
    </w:p>
    <w:p>
      <w:pPr>
        <w:pStyle w:val="Code"/>
      </w:pPr>
      <w:r>
        <w:t xml:space="preserve">input/QA-probes/2-observable-signal.md    → observable signal + bound source count</w:t>
      </w:r>
    </w:p>
    <w:p>
      <w:r>
        <w:t xml:space="preserve">This View imports two answered QA Probes, both copied (not moved, not edited)</w:t>
      </w:r>
    </w:p>
    <w:p>
      <w:r>
        <w:t xml:space="preserve">from the QBt1 specimen's own input folder for this skill-validation exercise.</w:t>
      </w:r>
    </w:p>
    <w:p>
      <w:pPr>
        <w:pStyle w:val="Quote"/>
      </w:pPr>
      <w:r>
        <w:t xml:space="preserve">Evidence card. Card two answered QA Probes: QI1 · QA input · Bindings: views/QY2-for-view/input/QA-probes/1-canonical-definition.md, views/QY2-for-view/input/QA-probes/2-observable-signal.md. Status: answered. Role: supply the material organized by this View.</w:t>
      </w:r>
    </w:p>
    <w:p>
      <w:pPr>
        <w:pStyle w:val="Heading1"/>
      </w:pPr>
      <w:r>
        <w:t xml:space="preserve">2 · View body</w:t>
      </w:r>
    </w:p>
    <w:p>
      <w:r>
        <w:t xml:space="preserve">Readable body: the topic-specific material a person should understand before</w:t>
      </w:r>
    </w:p>
    <w:p>
      <w:r>
        <w:t xml:space="preserve">opening any Card.</w:t>
      </w:r>
    </w:p>
    <w:p>
      <w:pPr>
        <w:pStyle w:val="Heading2"/>
      </w:pPr>
      <w:r>
        <w:t xml:space="preserve">2.1 · Trait meaning</w:t>
      </w:r>
    </w:p>
    <w:p>
      <w:r>
        <w:t xml:space="preserve">Agreeableness is an interpersonal trait expressed through warmth and cooperation.</w:t>
      </w:r>
    </w:p>
    <w:p>
      <w:pPr>
        <w:pStyle w:val="Quote"/>
      </w:pPr>
      <w:r>
        <w:t xml:space="preserve">Evidence card. Card interpersonal trait: EC1 · Literature · Finding: agreeableness is treated as an interpersonal construct. Bearing: supports. Boundary: trait description only. Binding: views/QY2-for-view/input/QA-probes/1-canonical-definition.md. Freshness: current. Used by: QY2-Display1.</w:t>
      </w:r>
    </w:p>
    <w:p>
      <w:r>
        <w:t xml:space="preserve">The literature-side construct frame resolves through the real bibliography (John et al., 1999).</w:t>
      </w:r>
    </w:p>
    <w:p>
      <w:pPr>
        <w:pStyle w:val="Heading2"/>
      </w:pPr>
      <w:r>
        <w:t xml:space="preserve">2.2 · Observable project signal</w:t>
      </w:r>
    </w:p>
    <w:p>
      <w:r>
        <w:t xml:space="preserve">Review text records patient descriptions of patient-facing behavior, and the</w:t>
      </w:r>
    </w:p>
    <w:p>
      <w:r>
        <w:t xml:space="preserve">current View binds 3 source Probe records into one evidence judgment, so this</w:t>
      </w:r>
    </w:p>
    <w:p>
      <w:r>
        <w:t xml:space="preserve">View treats review-derived scores as patient-perceived signals rather than an</w:t>
      </w:r>
    </w:p>
    <w:p>
      <w:r>
        <w:t xml:space="preserve">error-free latent trait measure.</w:t>
      </w:r>
    </w:p>
    <w:p>
      <w:pPr>
        <w:pStyle w:val="Quote"/>
      </w:pPr>
      <w:r>
        <w:t xml:space="preserve">Evidence card. Card 3 source Probe records: EC2 · Value · Finding: the project observes descriptions and evaluations of behavior across 3 bound source records. Bearing: qualifies. Boundary: observed signal, not direct latent trait. Binding: views/QY2-for-view/input/QA-probes/2-observable-signal.md. Freshness: current. Used by: QY2-Display1.</w:t>
      </w:r>
    </w:p>
    <w:p>
      <w:r>
        <w:t xml:space="preserve">The body is not a hidden evidence ledger. It is the human-readable synthesis</w:t>
      </w:r>
    </w:p>
    <w:p>
      <w:r>
        <w:t xml:space="preserve">produced from the two inputs above; the Citation and Value Cards let a reader</w:t>
      </w:r>
    </w:p>
    <w:p>
      <w:r>
        <w:t xml:space="preserve">inspect why each exact phrase is present.</w:t>
      </w:r>
    </w:p>
    <w:p>
      <w:pPr>
        <w:pStyle w:val="Heading1"/>
      </w:pPr>
      <w:r>
        <w:t xml:space="preserve">3 · Displays</w:t>
      </w:r>
    </w:p>
    <w:p>
      <w:r>
        <w:t xml:space="preserve">Display outputs: one rendered table selects and compares both View-body</w:t>
      </w:r>
    </w:p>
    <w:p>
      <w:r>
        <w:t xml:space="preserve">findings.</w:t>
      </w:r>
    </w:p>
    <w:p>
      <w:r>
        <w:t xml:space="preserve">QY2-Display1 is the agreeableness evidence table. Its current raster is embedded</w:t>
      </w:r>
    </w:p>
    <w:p>
      <w:r>
        <w:t xml:space="preserve">below; opening QY2-Display1 shows the same preview first, before its View-body</w:t>
      </w:r>
    </w:p>
    <w:p>
      <w:r>
        <w:t xml:space="preserve">bindings, files, and independent acceptance state.</w:t>
      </w:r>
    </w:p>
    <w:p>
      <w:pPr>
        <w:jc w:val="center"/>
      </w:pPr>
      <w:r>
        <w:drawing>
          <wp:inline distT="0" distB="0" distL="0" distR="0">
            <wp:extent cx="5394960" cy="2157984"/>
            <wp:docPr id="1" name="Display 1"/>
            <a:graphic>
              <a:graphicData uri="http://schemas.openxmlformats.org/drawingml/2006/picture">
                <pic:pic>
                  <pic:nvPicPr>
                    <pic:cNvPr id="1" name="display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Evidence card. Card QY2-Display1: D1 · Display · kind: table · reader job: compare the canonical trait definition and the observable project signal. Bindings: EC1, EC2. Binding: views/QY2-for-view/output/QY2-Display1-agreeableness-evidence-table/output.md. Status: rendered. Acceptance: waiting.</w:t>
      </w:r>
    </w:p>
    <w:p>
      <w:r>
        <w:t xml:space="preserve">preview.pdf is the printable inspection surface for the same table; it sits</w:t>
      </w:r>
    </w:p>
    <w:p>
      <w:r>
        <w:t xml:space="preserve">alongside preview.png in the same Display folder.</w:t>
      </w:r>
    </w:p>
    <w:p>
      <w:pPr>
        <w:pStyle w:val="Heading1"/>
      </w:pPr>
      <w:r>
        <w:t xml:space="preserve">4 · Consumers</w:t>
      </w:r>
    </w:p>
    <w:p>
      <w:r>
        <w:t xml:space="preserve">Consumer bindings: one local Results-section stand-in inside the QY2 sandbox</w:t>
      </w:r>
    </w:p>
    <w:p>
      <w:r>
        <w:t xml:space="preserve">plans to use QY2-Display1.</w:t>
      </w:r>
    </w:p>
    <w:p>
      <w:r>
        <w:t xml:space="preserve">The Results section plans to consume QY2-Display1 for its construct-interpretation passage.</w:t>
      </w:r>
    </w:p>
    <w:p>
      <w:pPr>
        <w:pStyle w:val="Quote"/>
      </w:pPr>
      <w:r>
        <w:t xml:space="preserve">Evidence card. Card Results section: C1 · Consumer · Target Page: S-Results · Binding: consumers/S-Results.md. Uses: QY2-Display1. Placement: Results / construct interpretation. Status: planned, blocked on View and Display acceptance.</w:t>
      </w:r>
    </w:p>
    <w:p>
      <w:pPr>
        <w:pStyle w:val="Heading1"/>
      </w:pPr>
      <w:r>
        <w:t xml:space="preserve">References</w:t>
      </w:r>
    </w:p>
    <w:p>
      <w:pPr>
        <w:pStyle w:val="ListParagraph"/>
      </w:pPr>
      <w:r>
        <w:t xml:space="preserve">John, Oliver P.; Srivastava, Sanjay (1999). The Big-Five Trait Taxonomy: History, Measurement, and Theoretical Perspectives. Handbook of Personality: Theory and Research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320"/>
    </w:pPr>
    <w:rPr>
      <w:b/>
      <w:sz w:val="34"/>
    </w:rPr>
  </w:style>
  <w:style w:type="paragraph" w:styleId="Heading1">
    <w:name w:val="heading 1"/>
    <w:basedOn w:val="Normal"/>
    <w:pPr>
      <w:keepNext/>
      <w:spacing w:before="280" w:after="120"/>
    </w:pPr>
    <w:rPr>
      <w:b/>
      <w:sz w:val="28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4"/>
    </w:rPr>
  </w:style>
  <w:style w:type="paragraph" w:styleId="Quote">
    <w:name w:val="Evidence card"/>
    <w:basedOn w:val="Normal"/>
    <w:pPr>
      <w:ind w:left="360"/>
      <w:shd w:fill="F1F5F9"/>
      <w:spacing w:before="80" w:after="120"/>
    </w:pPr>
    <w:rPr>
      <w:sz w:val="18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isplay-1.png"/><Relationship Id="rIdStyles" Type="http://schemas.openxmlformats.org/officeDocument/2006/relationships/styles" Target="styles.xml"/></Relationships>
</file>