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The second unified View regression: two probes, one table, one local consumer</w:t>
      </w:r>
    </w:p>
    <w:p>
      <w:pPr>
        <w:pStyle w:val="Heading1"/>
      </w:pPr>
      <w:r>
        <w:t xml:space="preserve">1 · QA inputs</w:t>
      </w:r>
    </w:p>
    <w:p>
      <w:r>
        <w:t xml:space="preserve">The incoming side: this View binds two of QBt1's three answered Probes, reused by path into its own input/QA-probes/ copy.</w:t>
      </w:r>
    </w:p>
    <w:p>
      <w:pPr>
        <w:pStyle w:val="Code"/>
      </w:pPr>
      <w:r>
        <w:t xml:space="preserve">QA-bank ─▶ answered Probe (definition) ─┐</w:t>
      </w:r>
    </w:p>
    <w:p>
      <w:pPr>
        <w:pStyle w:val="Code"/>
      </w:pPr>
      <w:r>
        <w:t xml:space="preserve">QA-bank ─▶ answered Probe (boundary)   ─┴─▶ QY3 input collection</w:t>
      </w:r>
    </w:p>
    <w:p>
      <w:r>
        <w:t xml:space="preserve">This View imports two answered QA Probes: the canonical trait definition and the measurement boundary.</w:t>
      </w:r>
    </w:p>
    <w:p>
      <w:pPr>
        <w:pStyle w:val="Quote"/>
      </w:pPr>
      <w:r>
        <w:t xml:space="preserve">Evidence card. Card two answered QA Probes: QI1 · QA input · Bindings: views/QY3-for-view/input/QA-probes/1-canonical-definition.md, views/QY3-for-view/input/QA-probes/3-measurement-boundary.md. Status: answered. Role: supply the material organized by this View.</w:t>
      </w:r>
    </w:p>
    <w:p>
      <w:r>
        <w:t xml:space="preserve">The observable-signal Probe is deliberately excluded from this regression; only construct meaning and measurement boundary carry through to the Display.</w:t>
      </w:r>
    </w:p>
    <w:p>
      <w:pPr>
        <w:pStyle w:val="Heading1"/>
      </w:pPr>
      <w:r>
        <w:t xml:space="preserve">2 · View body</w:t>
      </w:r>
    </w:p>
    <w:p>
      <w:r>
        <w:t xml:space="preserve">The readable middle: two short subsections hold the actual substance, while Cards attach provenance to exact words.</w:t>
      </w:r>
    </w:p>
    <w:p>
      <w:pPr>
        <w:pStyle w:val="Code"/>
      </w:pPr>
      <w:r>
        <w:t xml:space="preserve">readable sentence + exact-span Card ─▶ inspect evidence without leaving the body</w:t>
      </w:r>
    </w:p>
    <w:p>
      <w:pPr>
        <w:pStyle w:val="Heading2"/>
      </w:pPr>
      <w:r>
        <w:t xml:space="preserve">2.1 · Trait meaning</w:t>
      </w:r>
    </w:p>
    <w:p>
      <w:r>
        <w:t xml:space="preserve">Agreeableness is an interpersonal trait expressed through warmth and cooperation.</w:t>
      </w:r>
    </w:p>
    <w:p>
      <w:pPr>
        <w:pStyle w:val="Quote"/>
      </w:pPr>
      <w:r>
        <w:t xml:space="preserve">Evidence card. Card interpersonal trait: EC1 · Literature · Finding: agreeableness is treated as an interpersonal construct. Bearing: supports. Boundary: trait description only. Binding: views/QY3-for-view/input/QA-probes/1-canonical-definition.md. Freshness: current. Used by: QY3-Display1.</w:t>
      </w:r>
    </w:p>
    <w:p>
      <w:r>
        <w:t xml:space="preserve">The literature-side construct frame resolves through the real bibliography (John et al., 1999).</w:t>
      </w:r>
    </w:p>
    <w:p>
      <w:pPr>
        <w:pStyle w:val="Heading2"/>
      </w:pPr>
      <w:r>
        <w:t xml:space="preserve">2.2 · Measurement boundary</w:t>
      </w:r>
    </w:p>
    <w:p>
      <w:r>
        <w:t xml:space="preserve">The score is not treated as an error-free measure of latent personality.</w:t>
      </w:r>
    </w:p>
    <w:p>
      <w:pPr>
        <w:pStyle w:val="Quote"/>
      </w:pPr>
      <w:r>
        <w:t xml:space="preserve">Evidence card. Card not treated as an error-free measure of latent personality: EC2 · Construct · Finding: the current evidence does not justify direct latent-personality measurement. Bearing: bounds this specimen. Boundary: patient-perceived manifestation only. Binding: views/QY3-for-view/input/QA-probes/3-measurement-boundary.md. Freshness: current. Used by: QY3-Display1.</w:t>
      </w:r>
    </w:p>
    <w:p>
      <w:r>
        <w:t xml:space="preserve">The body stays a human-readable synthesis; the two Evidence Cards let a reader inspect why each exact phrase is present.</w:t>
      </w:r>
    </w:p>
    <w:p>
      <w:pPr>
        <w:pStyle w:val="Heading1"/>
      </w:pPr>
      <w:r>
        <w:t xml:space="preserve">3 · Displays</w:t>
      </w:r>
    </w:p>
    <w:p>
      <w:r>
        <w:t xml:space="preserve">The visible output: QY3-Display1 is the trait-boundary table. Its current raster is embedded below; the same preview appears first in its Display Card, before its bindings, files, and acceptance state.</w:t>
      </w:r>
    </w:p>
    <w:p>
      <w:pPr>
        <w:jc w:val="center"/>
      </w:pPr>
      <w:r>
        <w:drawing>
          <wp:inline distT="0" distB="0" distL="0" distR="0">
            <wp:extent cx="5394960" cy="1338674"/>
            <wp:docPr id="1" name="Display 1"/>
            <a:graphic>
              <a:graphicData uri="http://schemas.openxmlformats.org/drawingml/2006/picture">
                <pic:pic>
                  <pic:nvPicPr>
                    <pic:cNvPr id="1" name="display-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3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Quote"/>
      </w:pPr>
      <w:r>
        <w:t xml:space="preserve">Evidence card. Card QY3-Display1: QY3-Display1 · Display · Binding: views/QY3-for-view/output/QY3-Display1-trait-boundary-table/output.md. Kind: table. Reader job: separate construct meaning from the measurement boundary the two bound Probes support. View-body bindings: EC1, EC2. Status: rendered. Acceptance: waiting. Files: views/QY3-for-view/output/QY3-Display1-trait-boundary-table/preview.png, views/QY3-for-view/output/QY3-Display1-trait-boundary-table/preview.pdf, views/QY3-for-view/output/QY3-Display1-trait-boundary-table/float.tex.</w:t>
      </w:r>
    </w:p>
    <w:p>
      <w:r>
        <w:t xml:space="preserve">preview.pdf is the printable inspection surface for the same table; float.tex is the printable wrapper the review build embeds.</w:t>
      </w:r>
    </w:p>
    <w:p>
      <w:pPr>
        <w:pStyle w:val="Heading1"/>
      </w:pPr>
      <w:r>
        <w:t xml:space="preserve">4 · Consumers</w:t>
      </w:r>
    </w:p>
    <w:p>
      <w:r>
        <w:t xml:space="preserve">The outgoing side: this regression hands off to one local consumer Page instead of a shared QS-consumers Page, so the run stays self-contained.</w:t>
      </w:r>
    </w:p>
    <w:p>
      <w:pPr>
        <w:pStyle w:val="Code"/>
      </w:pPr>
      <w:r>
        <w:t xml:space="preserve">View ─▶ QY3-Display1 consumer + placement + gate state</w:t>
      </w:r>
    </w:p>
    <w:p>
      <w:r>
        <w:t xml:space="preserve">The local boundary note plans to consume QY3-Display1 for its construct-boundary passage.</w:t>
      </w:r>
    </w:p>
    <w:p>
      <w:pPr>
        <w:pStyle w:val="Quote"/>
      </w:pPr>
      <w:r>
        <w:t xml:space="preserve">Evidence card. Card local boundary note: C1 · Consumer · Target Page: QY3-Consumer-boundary-note · Binding: consumers/QY3-Consumer-boundary-note.md. Uses: QY3-Display1. Placement: Local regression consumer / construct-boundary passage. Status: planned, blocked on View and Display acceptance.</w:t>
      </w:r>
    </w:p>
    <w:p>
      <w:pPr>
        <w:pStyle w:val="Heading1"/>
      </w:pPr>
      <w:r>
        <w:t xml:space="preserve">References</w:t>
      </w:r>
    </w:p>
    <w:p>
      <w:pPr>
        <w:pStyle w:val="ListParagraph"/>
      </w:pPr>
      <w:r>
        <w:t xml:space="preserve">John, Oliver P.; Srivastava, Sanjay (1999). The Big-Five Trait Taxonomy: History, Measurement, and Theoretical Perspectives. Handbook of Personality: Theory and Research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Title">
    <w:name w:val="Title"/>
    <w:basedOn w:val="Normal"/>
    <w:pPr>
      <w:jc w:val="center"/>
      <w:spacing w:after="320"/>
    </w:pPr>
    <w:rPr>
      <w:b/>
      <w:sz w:val="34"/>
    </w:rPr>
  </w:style>
  <w:style w:type="paragraph" w:styleId="Heading1">
    <w:name w:val="heading 1"/>
    <w:basedOn w:val="Normal"/>
    <w:pPr>
      <w:keepNext/>
      <w:spacing w:before="280" w:after="120"/>
    </w:pPr>
    <w:rPr>
      <w:b/>
      <w:sz w:val="28"/>
    </w:rPr>
  </w:style>
  <w:style w:type="paragraph" w:styleId="Heading2">
    <w:name w:val="heading 2"/>
    <w:basedOn w:val="Normal"/>
    <w:pPr>
      <w:keepNext/>
      <w:spacing w:before="220" w:after="100"/>
    </w:pPr>
    <w:rPr>
      <w:b/>
      <w:sz w:val="24"/>
    </w:rPr>
  </w:style>
  <w:style w:type="paragraph" w:styleId="Quote">
    <w:name w:val="Evidence card"/>
    <w:basedOn w:val="Normal"/>
    <w:pPr>
      <w:ind w:left="360"/>
      <w:shd w:fill="F1F5F9"/>
      <w:spacing w:before="80" w:after="120"/>
    </w:pPr>
    <w:rPr>
      <w:sz w:val="18"/>
    </w:rPr>
  </w:style>
  <w:style w:type="paragraph" w:styleId="Code">
    <w:name w:val="Code"/>
    <w:basedOn w:val="Normal"/>
    <w:rPr>
      <w:rFonts w:ascii="Courier New" w:hAnsi="Courier New"/>
      <w:sz w:val="18"/>
    </w:rPr>
  </w:style>
  <w:style w:type="paragraph" w:styleId="ListParagraph">
    <w:name w:val="List Paragraph"/>
    <w:basedOn w:val="Normal"/>
    <w:pPr>
      <w:ind w:left="36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display-1.png"/><Relationship Id="rIdStyles" Type="http://schemas.openxmlformats.org/officeDocument/2006/relationships/styles" Target="styles.xml"/></Relationships>
</file>