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comments.xml" ContentType="application/vnd.openxmlformats-officedocument.wordprocessingml.comment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Draw · every page keeps its own drawing</w:t>
      </w:r>
    </w:p>
    <w:p>
      <w:pPr>
        <w:pStyle w:val="Heading1"/>
      </w:pPr>
      <w:r>
        <w:t xml:space="preserve">1 · Every drawing has one file, and one owner</w:t>
      </w:r>
    </w:p>
    <w:p>
      <w:r>
        <w:rPr>
          <w:b/>
        </w:rPr>
        <w:t xml:space="preserve">The files</w:t>
      </w:r>
      <w:r>
        <w:t xml:space="preserve">: one drawing per owner, each in its owner's folder. 📌 This part says which file holds which drawing, so you always know what to open. The two page names in that list are different on purpose. The folder is named for the page id plus its slug. The scene file is named for the page id alone. This page sits in QPf2-draw-attach/ and its scene is draw/QPf2.excalidraw. Each page drawing is a plain Excalidraw file, and it is still useful opened on its own. A pasted image is saved under the owner's draw/assets/, and the scene keeps a relative path to it. A page with no drawing yet gets an empty scene the first time its Draw split opens. So there is never a missing file to trip over. The group drawing holds only the group's own layout and a list naming each page's scene. It never copies what those scenes contain. board.excalidraw stays at the board root as the Index page's overview map. Everything below it follows the new layout: one scene per page, one per group.</w:t>
      </w:r>
    </w:p>
    <w:p>
      <w:pPr>
        <w:pStyle w:val="Heading1"/>
      </w:pPr>
      <w:r>
        <w:t xml:space="preserve">2 · You draw beside the page, never inside it</w:t>
      </w:r>
    </w:p>
    <w:p>
      <w:r>
        <w:rPr>
          <w:b/>
        </w:rPr>
        <w:t xml:space="preserve">The Draw split</w:t>
      </w:r>
      <w:r>
        <w:t xml:space="preserve">: the drawing opens next to the page, never inside it. 📌 This part says how to open a drawing, how to edit it, and how to ask Claude to draw it for you. The split names the file it will save to before you draw. So a stroke can never land in another page's scene. The Draw-it button takes an optional ask. Leave it empty, and it turns the page's ascii figure into a real drawing. A drawing Claude made can be drawn again as often as you like. The button refuses to overwrite a drawing a person made by hand.</w:t>
      </w:r>
    </w:p>
    <w:p>
      <w:pPr>
        <w:pStyle w:val="Heading1"/>
      </w:pPr>
      <w:r>
        <w:t xml:space="preserve">3 · The big group picture is built from the page files, not copied from them</w:t>
      </w:r>
    </w:p>
    <w:p>
      <w:r>
        <w:rPr>
          <w:b/>
        </w:rPr>
        <w:t xml:space="preserve">One large drawing from many small ones</w:t>
      </w:r>
      <w:r>
        <w:t xml:space="preserve">: what is kept, and what is built for you. 📌 This part says the group picture is put together from the page files each time it opens. Opening a group's drawing loads the group scene, pulls in every member page's scene, and places them where the layout says. Inside the group view you work in one mode at a time. You can arrange the pages, edit the group's own layer, or step into one page's scene. Only that owner's file receives the save. Save a page, and the group view shows the change the next time it opens. Nothing is ever merged or pulled in by hand.</w:t>
      </w:r>
    </w:p>
    <w:p>
      <w:pPr>
        <w:pStyle w:val="Heading1"/>
      </w:pPr>
      <w:r>
        <w:t xml:space="preserve">4 · Two people cannot wipe out each other's work</w:t>
      </w:r>
    </w:p>
    <w:p>
      <w:r>
        <w:rPr>
          <w:b/>
        </w:rPr>
        <w:t xml:space="preserve">The safe save</w:t>
      </w:r>
      <w:r>
        <w:t xml:space="preserve">: what the server checks before it writes. 📌 This part says every save is checked first, so nobody quietly loses work. Every save carries the version it started from. So two people on the same drawing cannot quietly overwrite each other. The chat pane gets the same owner address as the canvas. So asking chat to change a drawing writes to that drawing's own file.</w:t>
      </w:r>
    </w:p>
    <w:sectPr>
      <w:pgSz w:w="12240" w:h="15840"/>
      <w:pgMar w:top="1440" w:right="1440" w:bottom="1440" w:left="1440"/>
    </w:sectPr>
  </w:body>
</w:document>
</file>

<file path=word/comments.xml><?xml version="1.0" encoding="utf-8"?>
<w:comments xmlns:w="http://schemas.openxmlformats.org/wordprocessingml/2006/main"/>
</file>

<file path=word/styles.xml><?xml version="1.0" encoding="utf-8"?>
<w:styles xmlns:w="http://schemas.openxmlformats.org/wordprocessingml/2006/main">
  <!-- Every value below is STATED by MISQ's Author Submission Guidelines
     (venue/playbook-utd-is/MISQ/instructions/20260727.md), not chosen here.
       body        Times New Roman 12pt, DOUBLE-spaced, LEFT-justified, 1in margins
       headings    1 MAJOR HEAD  bold, ALL CAPS, centered
                   1.1 Subhead   bold, title case, centered
                   1.1.1         bold, title case, flush left
       references  Times New Roman 12pt, SINGLE-spaced, left hanging indent
       tables      may use a smaller font and may be single-spaced
     w:sz is HALF-points, so 24 = 12pt. w:line is twentieths of a point on an
     `auto` rule, so 480 = double and 240 = single. -->
  <w:style w:type="paragraph" w:default="1" w:styleId="Normal">
    <w:name w:val="Normal"/>
    <w:pPr>
      <w:spacing w:after="0" w:line="480" w:lineRule="auto"/>
      <w:jc w:val="left"/>
    </w:pPr>
    <w:rPr>
      <w:rFonts w:ascii="Times New Roman" w:hAnsi="Times New Roman"/>
      <w:sz w:val="24"/>
    </w:rPr>
  </w:style>
  <w:style w:type="paragraph" w:styleId="Heading1">
    <w:name w:val="heading 1"/>
    <w:pPr>
      <w:outlineLvl w:val="0"/>
      <w:spacing w:before="480" w:after="0" w:line="480" w:lineRule="auto"/>
      <w:jc w:val="center"/>
    </w:pPr>
    <w:rPr>
      <w:rFonts w:ascii="Times New Roman" w:hAnsi="Times New Roman"/>
      <w:b/>
      <w:caps/>
      <w:sz w:val="24"/>
    </w:rPr>
  </w:style>
  <w:style w:type="paragraph" w:styleId="Title">
    <w:name w:val="Title"/>
    <w:pPr>
      <w:keepNext/>
      <w:spacing w:before="0" w:after="360" w:line="300" w:lineRule="auto"/>
      <w:jc w:val="center"/>
    </w:pPr>
    <w:rPr>
      <w:rFonts w:ascii="Times New Roman" w:hAnsi="Times New Roman"/>
      <w:b/>
      <w:sz w:val="32"/>
    </w:rPr>
  </w:style>
  <w:style w:type="paragraph" w:styleId="Heading2">
    <w:name w:val="heading 2"/>
    <w:pPr>
      <w:outlineLvl w:val="1"/>
      <w:spacing w:before="480" w:after="0" w:line="480" w:lineRule="auto"/>
      <w:jc w:val="center"/>
    </w:pPr>
    <w:rPr>
      <w:rFonts w:ascii="Times New Roman" w:hAnsi="Times New Roman"/>
      <w:b/>
      <w:sz w:val="24"/>
    </w:rPr>
  </w:style>
  <w:style w:type="paragraph" w:styleId="Heading3">
    <w:name w:val="heading 3"/>
    <w:pPr>
      <w:outlineLvl w:val="2"/>
      <w:spacing w:before="480" w:after="0" w:line="480" w:lineRule="auto"/>
      <w:jc w:val="left"/>
    </w:pPr>
    <w:rPr>
      <w:rFonts w:ascii="Times New Roman" w:hAnsi="Times New Roman"/>
      <w:b/>
      <w:sz w:val="24"/>
    </w:rPr>
  </w:style>
  <w:style w:type="paragraph" w:styleId="Reference">
    <w:name w:val="Reference"/>
    <w:pPr>
      <w:spacing w:after="0" w:line="240" w:lineRule="auto"/>
      <w:ind w:left="720" w:hanging="720"/>
      <w:jc w:val="left"/>
    </w:pPr>
    <w:rPr>
      <w:rFonts w:ascii="Times New Roman" w:hAnsi="Times New Roman"/>
      <w:sz w:val="24"/>
    </w:rPr>
  </w:style>
  <w:style w:type="paragraph" w:styleId="Caption">
    <w:name w:val="caption"/>
    <!-- before/after: a caption with w:after="0" touched the paragraph under it, so
     the figure caption and the body text that followed read as one block
     (JL 2026-07-28). keepNext holds a table caption to its table. -->
    <w:pPr>
      <w:keepNext/>
      <w:spacing w:before="240" w:after="240" w:line="240" w:lineRule="auto"/>
    </w:pPr>
    <w:rPr>
      <w:rFonts w:ascii="Times New Roman" w:hAnsi="Times New Roman"/>
      <w:sz w:val="20"/>
    </w:rPr>
  </w:style>
  <!-- basedOn + rFonts are NOT decoration: a style with neither inherits from
     docDefaults, which this package does not write, so Word would have set the
     table in its own default face while the body stayed Times New Roman.
     MISQ allows a table a smaller font, and 20 half-points is 10pt. -->
  <w:style w:type="paragraph" w:styleId="TableText">
    <w:name w:val="Table Text"/>
    <w:basedOn w:val="Normal"/>
    <w:pPr>
      <w:spacing w:before="20" w:after="20" w:line="240" w:lineRule="auto"/>
    </w:pPr>
    <w:rPr>
      <w:rFonts w:ascii="Times New Roman" w:hAnsi="Times New Roman"/>
      <w:sz w:val="20"/>
    </w:rPr>
  </w:style>
  <w:style w:type="paragraph" w:styleId="CommentText">
    <w:name w:val="annotation text"/>
    <w:rPr>
      <w:sz w:val="20"/>
    </w:rPr>
  </w:style>
  <w:style w:type="table" w:styleId="TableGrid">
    <w:name w:val="Table Grid"/>
  </w:style>
</w:styles>
</file>

<file path=word/_rels/document.xml.rels><?xml version="1.0" encoding="UTF-8" standalone="yes"?><Relationships xmlns="http://schemas.openxmlformats.org/package/2006/relationships"><Relationship Id="rIdC" Type="http://schemas.openxmlformats.org/officeDocument/2006/relationships/comments" Target="comments.xml"/><Relationship Id="rIdS" Type="http://schemas.openxmlformats.org/officeDocument/2006/relationships/styles" Target="styles.xml"/></Relationships>
</file>