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Slide · every page may have a deck, and the deck is authored</w:t>
      </w:r>
    </w:p>
    <w:p>
      <w:pPr>
        <w:pStyle w:val="Heading1"/>
      </w:pPr>
      <w:r>
        <w:t xml:space="preserve">1 · One path per page, and no list to keep in step</w:t>
      </w:r>
    </w:p>
    <w:p>
      <w:r>
        <w:rPr>
          <w:b/>
        </w:rPr>
        <w:t xml:space="preserve">One path per page</w:t>
      </w:r>
      <w:r>
        <w:t xml:space="preserve">: if the file is there, the page has a deck. 📌 This part settles where a deck lives, and how both doors find it with no list to keep. A folded page (&lt;name&gt;/&lt;name&gt;.md) owns the slide/ folder. The deck's file name is the page name plus -deck.html. Both doors below work this path out from the page they are on, so no list is kept and no list can go stale. When the file is not there, both views say so and offer the button. Nothing builds a deck behind your back.</w:t>
      </w:r>
    </w:p>
    <w:p>
      <w:pPr>
        <w:pStyle w:val="Heading1"/>
      </w:pPr>
      <w:r>
        <w:t xml:space="preserve">2 · Two ways in, and neither can show you an old deck</w:t>
      </w:r>
    </w:p>
    <w:p>
      <w:r>
        <w:rPr>
          <w:b/>
        </w:rPr>
        <w:t xml:space="preserve">Where a deck opens</w:t>
      </w:r>
      <w:r>
        <w:t xml:space="preserve">: the shell tab and the page panel, with one loader behind both. 📌 This part settles that both doors read the same saved file, and that neither can show you an old one. Both doors send a HEAD request for that path, which is a small web question that asks only whether a file is there. They show the saved deck, or a pointer to the ✨ button when there is none. Every load skips the browser cache, so a freshly written deck appears on the next click. An old copy in the window can never outlive the file it came from.</w:t>
      </w:r>
    </w:p>
    <w:p>
      <w:pPr>
        <w:pStyle w:val="Heading1"/>
      </w:pPr>
      <w:r>
        <w:t xml:space="preserve">3 · One click rewrites the deck, and always replaces it</w:t>
      </w:r>
    </w:p>
    <w:p>
      <w:r>
        <w:rPr>
          <w:b/>
        </w:rPr>
        <w:t xml:space="preserve">What the button does</w:t>
      </w:r>
      <w:r>
        <w:t xml:space="preserve">: the steps it runs, and the file it replaces. 📌 This part settles that a rebuild always replaces the whole deck, so a lasting fix belongs on the page. The ask box is optional. Leave it empty and the deck presents the page's argument, or type an ask and the talk leans the way you asked. The server writes the &lt;head&gt; and its asset links itself, from real paths on disk. So the model starts writing at &lt;body&gt;, and a new deck can never miss its own stylesheets. The server also checks the result before it saves anything. It wants a whole document, at least three slides, and the asset links in place. If any of that is missing the new deck is refused, and the old file stays. A rebuild always overwrites, so a lasting fix belongs on the PAGE, and the page is what every rebuild reads.</w:t>
      </w:r>
    </w:p>
    <w:p>
      <w:pPr>
        <w:pStyle w:val="Heading1"/>
      </w:pPr>
      <w:r>
        <w:t xml:space="preserve">4 · What you get: six to nine slides you can stand up and present</w:t>
      </w:r>
    </w:p>
    <w:p>
      <w:r>
        <w:rPr>
          <w:b/>
        </w:rPr>
        <w:t xml:space="preserve">The look</w:t>
      </w:r>
      <w:r>
        <w:t xml:space="preserve">: html-ppt supplies the shell, and the board supplies the words. 📌 This part settles what a deck looks like, and where that look comes from. A deck is six to nine slides: a cover, a closing slide, and middle slides in between. The middles are built from the page's own emoji, numbers, and quoted rulings. The deck points at the html-ppt skill's files by relative path. So a better theme reaches every deck at once, with nothing to rebuild. Nothing from the skill is copied into the board, and the board adds no CSS of its own.</w:t>
      </w:r>
    </w:p>
    <w:p>
      <w:pPr>
        <w:pStyle w:val="Heading1"/>
      </w:pPr>
      <w:r>
        <w:t xml:space="preserve">5 · Why Claude writes the deck, and what was dropped</w:t>
      </w:r>
    </w:p>
    <w:p>
      <w:r>
        <w:rPr>
          <w:b/>
        </w:rPr>
        <w:t xml:space="preserve">The record</w:t>
      </w:r>
      <w:r>
        <w:t xml:space="preserve">: three ways a page could have had a deck, and the one still standing. 📌 This part settles which of the three ways won, and why each of the other two was dropped. This way won on evidence, not on argument. Six decks were written in the hour of the ruling, and the first live /_board/autodeck run produced a real talk for QF2-newcomer. The reflow copy lost because it copied instead of choosing, so one part of the page came back as its own paragraphs in a box. It was dropped whole, endpoint and route with it, and nothing in the board turns a page into slides that way now. The slide page-type lost because it asked for a second page to keep beside the page it was about. That second page held one part of the page per slide, each with a frame inside it. It was dropped, and its example is kept whole at _archive/QBt9-for-slide.md, where the reason it lost stays readable.</w:t>
      </w:r>
    </w:p>
    <w:sectPr>
      <w:pgSz w:w="12240" w:h="15840"/>
      <w:pgMar w:top="1440" w:right="1440" w:bottom="1440" w:left="1440"/>
    </w:sectPr>
  </w:body>
</w:document>
</file>

<file path=word/comments.xml><?xml version="1.0" encoding="utf-8"?>
<w:comments xmlns:w="http://schemas.openxmlformats.org/wordprocessingml/2006/main"/>
</file>

<file path=word/styles.xml><?xml version="1.0" encoding="utf-8"?>
<w:styles xmlns:w="http://schemas.openxmlformats.org/wordprocessingml/2006/main">
  <!-- Every value below is STATED by MISQ's Author Submission Guidelines
     (venue/playbook-utd-is/MISQ/instructions/20260727.md), not chosen here.
       body        Times New Roman 12pt, DOUBLE-spaced, LEFT-justified, 1in margins
       headings    1 MAJOR HEAD  bold, ALL CAPS, centered
                   1.1 Subhead   bold, title case, centered
                   1.1.1         bold, title case, flush left
       references  Times New Roman 12pt, SINGLE-spaced, left hanging indent
       tables      may use a smaller font and may be single-spaced
     w:sz is HALF-points, so 24 = 12pt. w:line is twentieths of a point on an
     `auto` rule, so 480 = double and 240 = single. -->
  <w:style w:type="paragraph" w:default="1" w:styleId="Normal">
    <w:name w:val="Normal"/>
    <w:pPr>
      <w:spacing w:after="0" w:line="480" w:lineRule="auto"/>
      <w:jc w:val="left"/>
    </w:pPr>
    <w:rPr>
      <w:rFonts w:ascii="Times New Roman" w:hAnsi="Times New Roman"/>
      <w:sz w:val="24"/>
    </w:rPr>
  </w:style>
  <w:style w:type="paragraph" w:styleId="Heading1">
    <w:name w:val="heading 1"/>
    <w:pPr>
      <w:outlineLvl w:val="0"/>
      <w:spacing w:before="480" w:after="0" w:line="480" w:lineRule="auto"/>
      <w:jc w:val="center"/>
    </w:pPr>
    <w:rPr>
      <w:rFonts w:ascii="Times New Roman" w:hAnsi="Times New Roman"/>
      <w:b/>
      <w:caps/>
      <w:sz w:val="24"/>
    </w:rPr>
  </w:style>
  <w:style w:type="paragraph" w:styleId="Title">
    <w:name w:val="Title"/>
    <w:pPr>
      <w:keepNext/>
      <w:spacing w:before="0" w:after="360" w:line="300" w:lineRule="auto"/>
      <w:jc w:val="center"/>
    </w:pPr>
    <w:rPr>
      <w:rFonts w:ascii="Times New Roman" w:hAnsi="Times New Roman"/>
      <w:b/>
      <w:sz w:val="32"/>
    </w:rPr>
  </w:style>
  <w:style w:type="paragraph" w:styleId="Heading2">
    <w:name w:val="heading 2"/>
    <w:pPr>
      <w:outlineLvl w:val="1"/>
      <w:spacing w:before="480" w:after="0" w:line="480" w:lineRule="auto"/>
      <w:jc w:val="center"/>
    </w:pPr>
    <w:rPr>
      <w:rFonts w:ascii="Times New Roman" w:hAnsi="Times New Roman"/>
      <w:b/>
      <w:sz w:val="24"/>
    </w:rPr>
  </w:style>
  <w:style w:type="paragraph" w:styleId="Heading3">
    <w:name w:val="heading 3"/>
    <w:pPr>
      <w:outlineLvl w:val="2"/>
      <w:spacing w:before="480" w:after="0" w:line="480" w:lineRule="auto"/>
      <w:jc w:val="left"/>
    </w:pPr>
    <w:rPr>
      <w:rFonts w:ascii="Times New Roman" w:hAnsi="Times New Roman"/>
      <w:b/>
      <w:sz w:val="24"/>
    </w:rPr>
  </w:style>
  <w:style w:type="paragraph" w:styleId="Reference">
    <w:name w:val="Reference"/>
    <w:pPr>
      <w:spacing w:after="0" w:line="240" w:lineRule="auto"/>
      <w:ind w:left="720" w:hanging="720"/>
      <w:jc w:val="left"/>
    </w:pPr>
    <w:rPr>
      <w:rFonts w:ascii="Times New Roman" w:hAnsi="Times New Roman"/>
      <w:sz w:val="24"/>
    </w:rPr>
  </w:style>
  <w:style w:type="paragraph" w:styleId="Caption">
    <w:name w:val="caption"/>
    <!-- before/after: a caption with w:after="0" touched the paragraph under it, so
     the figure caption and the body text that followed read as one block
     (JL 2026-07-28). keepNext holds a table caption to its table. -->
    <w:pPr>
      <w:keepNext/>
      <w:spacing w:before="240" w:after="240" w:line="240" w:lineRule="auto"/>
    </w:pPr>
    <w:rPr>
      <w:rFonts w:ascii="Times New Roman" w:hAnsi="Times New Roman"/>
      <w:sz w:val="20"/>
    </w:rPr>
  </w:style>
  <!-- basedOn + rFonts are NOT decoration: a style with neither inherits from
     docDefaults, which this package does not write, so Word would have set the
     table in its own default face while the body stayed Times New Roman.
     MISQ allows a table a smaller font, and 20 half-points is 10pt. -->
  <w:style w:type="paragraph" w:styleId="TableText">
    <w:name w:val="Table Text"/>
    <w:basedOn w:val="Normal"/>
    <w:pPr>
      <w:spacing w:before="20" w:after="20" w:line="240" w:lineRule="auto"/>
    </w:pPr>
    <w:rPr>
      <w:rFonts w:ascii="Times New Roman" w:hAnsi="Times New Roman"/>
      <w:sz w:val="20"/>
    </w:rPr>
  </w:style>
  <w:style w:type="paragraph" w:styleId="CommentText">
    <w:name w:val="annotation text"/>
    <w:rPr>
      <w:sz w:val="20"/>
    </w:rPr>
  </w:style>
  <w:style w:type="table" w:styleId="TableGrid">
    <w:name w:val="Table Grid"/>
  </w:style>
</w:styles>
</file>

<file path=word/_rels/document.xml.rels><?xml version="1.0" encoding="UTF-8" standalone="yes"?><Relationships xmlns="http://schemas.openxmlformats.org/package/2006/relationships"><Relationship Id="rIdC" Type="http://schemas.openxmlformats.org/officeDocument/2006/relationships/comments" Target="comments.xml"/><Relationship Id="rIdS" Type="http://schemas.openxmlformats.org/officeDocument/2006/relationships/styles" Target="styles.xml"/></Relationships>
</file>