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1 · Where a drawing lives</w:t>
      </w:r>
    </w:p>
    <w:p>
      <w:r>
        <w:rPr>
          <w:b/>
        </w:rPr>
        <w:t xml:space="preserve">The files</w:t>
      </w:r>
      <w:r>
        <w:t xml:space="preserve">: one scene per owner, each in its owner's folder. Each page drawing is an ordinary Excalidraw file that is useful opened by itself. A page that has no drawing yet gets an empty scene created the first time its Draw split opens, so there is never a missing file to trip over. The group drawing holds only group-level layout and an import list naming each page's scene; it never copies their content.</w:t>
      </w:r>
    </w:p>
    <w:p>
      <w:pPr>
        <w:pStyle w:val="Heading1"/>
      </w:pPr>
      <w:r>
        <w:t xml:space="preserve">2 · Opening, editing, and generating</w:t>
      </w:r>
    </w:p>
    <w:p>
      <w:r>
        <w:rPr>
          <w:b/>
        </w:rPr>
        <w:t xml:space="preserve">The Draw split</w:t>
      </w:r>
      <w:r>
        <w:t xml:space="preserve">: the drawing opens beside the page, never inside it. The split shows which file it saves to before you draw, so a gesture can never land in another page's scene. The Draw-it button takes an optional ask; left empty, it draws the page's ascii figure as a real scene. A generated scene may be regenerated freely, but the button refuses to overwrite a drawing a person made by hand.</w:t>
      </w:r>
    </w:p>
    <w:p>
      <w:pPr>
        <w:pStyle w:val="Heading1"/>
      </w:pPr>
      <w:r>
        <w:t xml:space="preserve">3 · The group view is composed, never copied</w:t>
      </w:r>
    </w:p>
    <w:p>
      <w:r>
        <w:rPr>
          <w:b/>
        </w:rPr>
        <w:t xml:space="preserve">One large drawing from many small ones</w:t>
      </w:r>
      <w:r>
        <w:t xml:space="preserve">: what is stored and what is derived. Opening a group's drawing loads the group scene, pulls in every member page's scene, and places them by the stored layout. Editing inside the composed view happens in one visible mode at a time: arrange the pages, edit the group's own layer, or enter one page's scene; only that owner's file receives the save. A page save updates the composed view on its next open; nothing is ever merged or imported by hand.</w:t>
      </w:r>
    </w:p>
    <w:p>
      <w:pPr>
        <w:pStyle w:val="Heading1"/>
      </w:pPr>
      <w:r>
        <w:t xml:space="preserve">4 · Saves are checked, never blind</w:t>
      </w:r>
    </w:p>
    <w:p>
      <w:r>
        <w:rPr>
          <w:b/>
        </w:rPr>
        <w:t xml:space="preserve">The safe save</w:t>
      </w:r>
      <w:r>
        <w:t xml:space="preserve">: what the server verifies before writing. Every save carries the revision it started from, so two people editing the same drawing cannot silently overwrite each other. The chat pane receives the same owner address as the canvas, so asking it to change a drawing routes to that drawing's own file.</w:t>
      </w:r>
    </w:p>
    <w:sectPr>
      <w:pgSz w:w="12240" w:h="15840"/>
      <w:pgMar w:top="1440" w:right="1440" w:bottom="1440" w:left="1440"/>
    </w:sectPr>
  </w:body>
</w:document>
</file>

<file path=word/comments.xml><?xml version="1.0" encoding="utf-8"?>
<w:comments xmlns:w="http://schemas.openxmlformats.org/wordprocessingml/2006/main"/>
</file>

<file path=word/styles.xml><?xml version="1.0" encoding="utf-8"?>
<w:styles xmlns:w="http://schemas.openxmlformats.org/wordprocessingml/2006/main">
  <!-- Every value below is STATED by MISQ's Author Submission Guidelines
     (venue/playbook-utd-is/MISQ/instructions/20260727.md), not chosen here.
       body        Times New Roman 12pt, DOUBLE-spaced, LEFT-justified, 1in margins
       headings    1 MAJOR HEAD  bold, ALL CAPS, centered
                   1.1 Subhead   bold, title case, centered
                   1.1.1         bold, title case, flush left
       references  Times New Roman 12pt, SINGLE-spaced, left hanging indent
       tables      may use a smaller font and may be single-spaced
     w:sz is HALF-points, so 24 = 12pt. w:line is twentieths of a point on an
     `auto` rule, so 480 = double and 240 = single. -->
  <w:style w:type="paragraph" w:default="1" w:styleId="Normal">
    <w:name w:val="Normal"/>
    <w:pPr>
      <w:spacing w:after="0" w:line="480" w:lineRule="auto"/>
      <w:jc w:val="left"/>
    </w:pPr>
    <w:rPr>
      <w:rFonts w:ascii="Times New Roman" w:hAnsi="Times New Roman"/>
      <w:sz w:val="24"/>
    </w:rPr>
  </w:style>
  <w:style w:type="paragraph" w:styleId="Heading1">
    <w:name w:val="heading 1"/>
    <w:pPr>
      <w:outlineLvl w:val="0"/>
      <w:spacing w:before="480" w:after="0" w:line="480" w:lineRule="auto"/>
      <w:jc w:val="center"/>
    </w:pPr>
    <w:rPr>
      <w:rFonts w:ascii="Times New Roman" w:hAnsi="Times New Roman"/>
      <w:b/>
      <w:caps/>
      <w:sz w:val="24"/>
    </w:rPr>
  </w:style>
  <w:style w:type="paragraph" w:styleId="Heading2">
    <w:name w:val="heading 2"/>
    <w:pPr>
      <w:outlineLvl w:val="1"/>
      <w:spacing w:before="480" w:after="0" w:line="480" w:lineRule="auto"/>
      <w:jc w:val="center"/>
    </w:pPr>
    <w:rPr>
      <w:rFonts w:ascii="Times New Roman" w:hAnsi="Times New Roman"/>
      <w:b/>
      <w:sz w:val="24"/>
    </w:rPr>
  </w:style>
  <w:style w:type="paragraph" w:styleId="Heading3">
    <w:name w:val="heading 3"/>
    <w:pPr>
      <w:outlineLvl w:val="2"/>
      <w:spacing w:before="480" w:after="0" w:line="480" w:lineRule="auto"/>
      <w:jc w:val="left"/>
    </w:pPr>
    <w:rPr>
      <w:rFonts w:ascii="Times New Roman" w:hAnsi="Times New Roman"/>
      <w:b/>
      <w:sz w:val="24"/>
    </w:rPr>
  </w:style>
  <w:style w:type="paragraph" w:styleId="Reference">
    <w:name w:val="Reference"/>
    <w:pPr>
      <w:spacing w:after="0" w:line="240" w:lineRule="auto"/>
      <w:ind w:left="720" w:hanging="720"/>
      <w:jc w:val="left"/>
    </w:pPr>
    <w:rPr>
      <w:rFonts w:ascii="Times New Roman" w:hAnsi="Times New Roman"/>
      <w:sz w:val="24"/>
    </w:rPr>
  </w:style>
  <w:style w:type="paragraph" w:styleId="Caption">
    <w:name w:val="caption"/>
    <!-- before/after: a caption with w:after="0" touched the paragraph under it, so
     the figure caption and the body text that followed read as one block
     (JL 2026-07-28). keepNext holds a table caption to its table. -->
    <w:pPr>
      <w:keepNext/>
      <w:spacing w:before="240" w:after="240" w:line="240" w:lineRule="auto"/>
    </w:pPr>
    <w:rPr>
      <w:rFonts w:ascii="Times New Roman" w:hAnsi="Times New Roman"/>
      <w:sz w:val="20"/>
    </w:rPr>
  </w:style>
  <!-- basedOn + rFonts are NOT decoration: a style with neither inherits from
     docDefaults, which this package does not write, so Word would have set the
     table in its own default face while the body stayed Times New Roman.
     MISQ allows a table a smaller font, and 20 half-points is 10pt. -->
  <w:style w:type="paragraph" w:styleId="TableText">
    <w:name w:val="Table Text"/>
    <w:basedOn w:val="Normal"/>
    <w:pPr>
      <w:spacing w:before="20" w:after="20" w:line="240" w:lineRule="auto"/>
    </w:pPr>
    <w:rPr>
      <w:rFonts w:ascii="Times New Roman" w:hAnsi="Times New Roman"/>
      <w:sz w:val="20"/>
    </w:rPr>
  </w:style>
  <w:style w:type="paragraph" w:styleId="CommentText">
    <w:name w:val="annotation text"/>
    <w:rPr>
      <w:sz w:val="20"/>
    </w:rPr>
  </w:style>
  <w:style w:type="table" w:styleId="TableGrid">
    <w:name w:val="Table Grid"/>
  </w:style>
</w:styles>
</file>

<file path=word/_rels/document.xml.rels><?xml version="1.0" encoding="UTF-8" standalone="yes"?><Relationships xmlns="http://schemas.openxmlformats.org/package/2006/relationships"><Relationship Id="rIdC" Type="http://schemas.openxmlformats.org/officeDocument/2006/relationships/comments" Target="comments.xml"/><Relationship Id="rIdS" Type="http://schemas.openxmlformats.org/officeDocument/2006/relationships/styles" Target="styles.xml"/></Relationships>
</file>