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The contract, adopted and not forked</w:t>
      </w:r>
    </w:p>
    <w:p>
      <w:r>
        <w:rPr>
          <w:b/>
        </w:rPr>
        <w:t xml:space="preserve">The plugin's full tree</w:t>
      </w:r>
      <w:r>
        <w:t xml:space="preserve">: one display/ per page, one folder per unit, every unit the same shape. The layout above is the display family's own contract file, display-unit-output-contract.md, copied as it stands rather than redesigned. The folders split into two halves: intake/ and recipe/ are the SOURCES, written by people and by drawing skills, while assets/ and preview.pdf are BUILT from those sources, so a rebuild may overwrite the built half but never the sources. The only page-side change is the address: the unit sits inside the page's own display/ folder, so when the page moves, its figures move with it.</w:t>
      </w:r>
    </w:p>
    <w:p>
      <w:pPr>
        <w:pStyle w:val="Heading1"/>
      </w:pPr>
      <w:r>
        <w:t xml:space="preserve">2 · The surface: one card per unit in the right pane</w:t>
      </w:r>
    </w:p>
    <w:p>
      <w:r>
        <w:rPr>
          <w:b/>
        </w:rPr>
        <w:t xml:space="preserve">The tab</w:t>
      </w:r>
      <w:r>
        <w:t xml:space="preserve">: what a reader sees when they open 🖼 Display on a page. The tab is built the same way the Slides tab is: a small button in the page's toolbar asks the server for this page's units, and the server writes a view that frames each unit's preview.pdf. 🔄 rebuild redraws the built half from the sources; it never changes the inputs, and it never changes an approval. A unit is EVIDENCE: when a sentence names a unit's id in plain text, the id becomes a small button in that sentence, and clicking it opens the unit's card with its picture and its approval state. There is a second way to attach the same evidence, for machines: a &gt; Display: line written UNDER a sentence, beside the &gt; Citation: and &gt; Value: lines, so a program can add evidence without ever editing a person's prose. Citing a unit that has no render yet is allowed with either form: the button then says a render is still owed. The exports keep the evidence too: the LaTeX PDF prints a cited unit as a real figure after the paragraph that cites it, and the Word file embeds the picture with its caption and adds a 🖼 comment note on the sentence.</w:t>
      </w:r>
    </w:p>
    <w:p>
      <w:pPr>
        <w:pStyle w:val="Heading1"/>
      </w:pPr>
      <w:r>
        <w:t xml:space="preserve">3 · The writers, and the row no machine may tick</w:t>
      </w:r>
    </w:p>
    <w:p>
      <w:r>
        <w:rPr>
          <w:b/>
        </w:rPr>
        <w:t xml:space="preserve">Who writes what</w:t>
      </w:r>
      <w:r>
        <w:t xml:space="preserve">: three hands on one unit, each confined to its half. The renderers are the display family's existing drawing skills; this page adds none of its own. The approval row is the one rule with teeth: a ✅ on accepted: means a person looked at one specific picture and said yes. A machine that ticks it has forged a judgment, not saved time, so no machine may. </w:t>
      </w:r>
      <w:r>
        <w:rPr>
          <w:b/>
        </w:rPr>
        <w:t xml:space="preserve">The kinds and who draws them</w:t>
      </w:r>
      <w:r>
        <w:t xml:space="preserve">: one door routes to four renderers, plus one method with no skill. A data-driven renderer draws numbers, and it may not go back to the raw data: it reads only the small approved extract in intake/. A concept-driven renderer draws an idea, so it carries no numbers at all; its input is the sketch it draws. Rebuild follows the kind: a python figure reruns its script, a diagram redraws from its spec, and an AI illustration replays its saved prompt.</w:t>
      </w:r>
    </w:p>
    <w:p>
      <w:pPr>
        <w:pStyle w:val="Heading1"/>
      </w:pPr>
      <w:r>
        <w:t xml:space="preserve">4 · How a unit is generated</w:t>
      </w:r>
    </w:p>
    <w:p>
      <w:r>
        <w:rPr>
          <w:b/>
        </w:rPr>
        <w:t xml:space="preserve">The pipeline</w:t>
      </w:r>
      <w:r>
        <w:t xml:space="preserve">: five steps from approved numbers to an accepted render, and who moves each one. Drawing never comes first: with no approved inputs there is nothing safe to draw, and the intake contract exists to refuse exactly that. </w:t>
      </w:r>
      <w:commentRangeStart w:id="1"/>
      <w:r>
        <w:t xml:space="preserve">Steps ① ③ ⑤ belong to a person and steps ② ④ to machinery, the split of hands QPf5-Display1 (Figure 1) draws; the tab's 🔄 rebuild is step ④ alone, run again.</w:t>
      </w:r>
      <w:commentRangeEnd w:id="1"/>
      <w:r>
        <w:commentReference w:id="1"/>
      </w:r>
    </w:p>
    <w:p>
      <w:pPr>
        <w:keepNext/>
        <w:jc w:val="center"/>
      </w:pPr>
      <w:r>
        <w:drawing>
          <wp:inline xmlns:wp="http://schemas.openxmlformats.org/drawingml/2006/wordprocessingDrawing">
            <wp:extent cx="5486400" cy="1565817"/>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g1"/>
                    <a:stretch>
                      <a:fillRect/>
                    </a:stretch>
                  </pic:blipFill>
                  <pic:spPr>
                    <a:xfrm>
                      <a:off x="0" y="0"/>
                      <a:ext cx="5486400" cy="1565817"/>
                    </a:xfrm>
                    <a:prstGeom prst="rect">
                      <a:avLst/>
                    </a:prstGeom>
                  </pic:spPr>
                </pic:pic>
              </a:graphicData>
            </a:graphic>
          </wp:inline>
        </w:drawing>
      </w:r>
    </w:p>
    <w:p>
      <w:pPr>
        <w:pStyle w:val="Caption"/>
      </w:pPr>
      <w:r>
        <w:rPr>
          <w:b/>
        </w:rPr>
        <w:t xml:space="preserve">Figure 1. The display pipeline: five steps from approved intake to an accepted render. Green steps belong to a person, blue steps to machinery, and a changed intake returns the acceptance to open.</w:t>
      </w:r>
    </w:p>
    <w:p>
      <w:r>
        <w:t xml:space="preserve">If the inputs change, the work flows forward again from ② to ⑤, and the old approval drops back to ⬜, because the picture a person said yes to no longer exists. </w:t>
      </w:r>
      <w:r>
        <w:rPr>
          <w:b/>
        </w:rPr>
        <w:t xml:space="preserve">Where ①'s numbers come from</w:t>
      </w:r>
      <w:r>
        <w:t xml:space="preserve">: the evidence chain behind an intake, id-bound at every hop. A probe is a question card: the page asks its question once, the answer lands in the shared task bank, and from then on everyone cites the card's id instead of asking again. intake/ is therefore not a second copy of the data: the task's own output stays the single source, and the manifest only points at it, by id. </w:t>
      </w:r>
      <w:commentRangeStart w:id="2"/>
      <w:r>
        <w:t xml:space="preserve">A unit names its evidence by id, never by a file path, and never types a number with its own hands; QPf5-Display2 (Figure 2) draws this ask-once-cite-twice move.</w:t>
      </w:r>
      <w:commentRangeEnd w:id="2"/>
      <w:r>
        <w:commentReference w:id="2"/>
      </w:r>
    </w:p>
    <w:p>
      <w:pPr>
        <w:keepNext/>
        <w:jc w:val="center"/>
      </w:pPr>
      <w:r>
        <w:drawing>
          <wp:inline xmlns:wp="http://schemas.openxmlformats.org/drawingml/2006/wordprocessingDrawing">
            <wp:extent cx="5486400" cy="2082606"/>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Img2"/>
                    <a:stretch>
                      <a:fillRect/>
                    </a:stretch>
                  </pic:blipFill>
                  <pic:spPr>
                    <a:xfrm>
                      <a:off x="0" y="0"/>
                      <a:ext cx="5486400" cy="2082606"/>
                    </a:xfrm>
                    <a:prstGeom prst="rect">
                      <a:avLst/>
                    </a:prstGeom>
                  </pic:spPr>
                </pic:pic>
              </a:graphicData>
            </a:graphic>
          </wp:inline>
        </w:drawing>
      </w:r>
    </w:p>
    <w:p>
      <w:pPr>
        <w:pStyle w:val="Caption"/>
      </w:pPr>
      <w:r>
        <w:rPr>
          <w:b/>
        </w:rPr>
        <w:t xml:space="preserve">Figure 2. A page as a small paper: the probe plugin asks a question once, the bank answers behind the wall, and both the display intake and the page's own sentence cite the same card by id.</w:t>
      </w:r>
    </w:p>
    <w:p>
      <w:r>
        <w:t xml:space="preserve">The slides plugin already works this way on QPf3: its deck asks for an id, a resolver turns the id into the file's real path, and the template holds no digits, so a hand-typed number has nowhere to live. Aim A1 asks for that same id lookup to work for units that live under a page.</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Display: QPf5-Display1-pipeline-tikz · kind=figure · label=fig:qpf5-pipeline</w:t>
      </w:r>
    </w:p>
  </w:comment>
  <w:comment w:id="2" w:author="haipipe" w:initials="H" w:date="2026-07-27T09:00:00Z">
    <w:p>
      <w:pPr>
        <w:pStyle w:val="CommentText"/>
      </w:pPr>
      <w:r>
        <w:t xml:space="preserve">Display: QPf5-Display2-small-paper-tikz · kind=figure · label=fig:qpf5-small-paper</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s>
</file>