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The first unified View specimen</w:t>
      </w:r>
    </w:p>
    <w:p>
      <w:pPr>
        <w:pStyle w:val="Heading1"/>
      </w:pPr>
      <w:r>
        <w:t xml:space="preserve">1 · QA inputs</w:t>
      </w:r>
    </w:p>
    <w:p>
      <w:r>
        <w:t xml:space="preserve">The incoming side: one View may bind one or several answered Probes, and those Probes may come from one or several Task QA-banks.</w:t>
      </w:r>
    </w:p>
    <w:p>
      <w:pPr>
        <w:pStyle w:val="Code"/>
      </w:pPr>
      <w:r>
        <w:t xml:space="preserve">QA-bank ─▶ answered Probe ─┐</w:t>
      </w:r>
    </w:p>
    <w:p>
      <w:pPr>
        <w:pStyle w:val="Code"/>
      </w:pPr>
      <w:r>
        <w:t xml:space="preserve">QA-bank ─▶ answered Probe ─┼─▶ View input collection</w:t>
      </w:r>
    </w:p>
    <w:p>
      <w:pPr>
        <w:pStyle w:val="Code"/>
      </w:pPr>
      <w:r>
        <w:t xml:space="preserve">QA-bank ─▶ answered Probe ─┘</w:t>
      </w:r>
    </w:p>
    <w:p>
      <w:r>
        <w:t xml:space="preserve">This specimen imports three answered QA Probes: a literature definition, a project-observable signal, and a construct boundary.</w:t>
      </w:r>
    </w:p>
    <w:p>
      <w:pPr>
        <w:pStyle w:val="Quote"/>
      </w:pPr>
      <w:r>
        <w:t xml:space="preserve">Evidence card. Card three answered QA Probes: QI1 · QA input · Bindings: QBt-page-types/views/QBt1-for-view/input/QA-probes/1-canonical-definition.md, QBt-page-types/views/QBt1-for-view/input/QA-probes/2-observable-signal.md, QBt-page-types/views/QBt1-for-view/input/QA-probes/3-measurement-boundary.md. Status: answered. Role: supply the material organized by this View.</w:t>
      </w:r>
    </w:p>
    <w:p>
      <w:r>
        <w:t xml:space="preserve">The value Probe resolves the checked count through its task QA-bank answer rather than ending at a copied number.</w:t>
      </w:r>
    </w:p>
    <w:p>
      <w:pPr>
        <w:pStyle w:val="Quote"/>
      </w:pPr>
      <w:r>
        <w:t xml:space="preserve">Evidence card. Card task QA-bank answer: QI2 · QA bank · Binding: tasks/QV1-agreeableness/QA/1-bound-source-count.md. Consumer question: Q-View-1. Status: answered.</w:t>
      </w:r>
    </w:p>
    <w:p>
      <w:r>
        <w:t xml:space="preserve">The current View binds 3 source Probe records [Q-View-1].</w:t>
      </w:r>
    </w:p>
    <w:p>
      <w:r>
        <w:t xml:space="preserve">The Probe records remain the full answers; the View body selects and organizes what a person needs to read.</w:t>
      </w:r>
    </w:p>
    <w:p>
      <w:pPr>
        <w:pStyle w:val="Heading1"/>
      </w:pPr>
      <w:r>
        <w:t xml:space="preserve">2 · View body</w:t>
      </w:r>
    </w:p>
    <w:p>
      <w:r>
        <w:t xml:space="preserve">The readable middle: topic-specific subsections hold the actual substance, while Cards attach provenance and relationships to exact words.</w:t>
      </w:r>
    </w:p>
    <w:p>
      <w:pPr>
        <w:pStyle w:val="Code"/>
      </w:pPr>
      <w:r>
        <w:t xml:space="preserve">readable sentence + exact-span Card ─▶ inspect evidence without leaving the body</w:t>
      </w:r>
    </w:p>
    <w:p>
      <w:pPr>
        <w:pStyle w:val="Heading2"/>
      </w:pPr>
      <w:r>
        <w:t xml:space="preserve">2.1 · Trait meaning</w:t>
      </w:r>
    </w:p>
    <w:p>
      <w:r>
        <w:t xml:space="preserve">Agreeableness is an interpersonal trait expressed through warmth and cooperation.</w:t>
      </w:r>
    </w:p>
    <w:p>
      <w:pPr>
        <w:pStyle w:val="Quote"/>
      </w:pPr>
      <w:r>
        <w:t xml:space="preserve">Evidence card. Card interpersonal trait: EC1 · Literature · Finding: agreeableness is treated as an interpersonal construct. Bearing: supports. Boundary: trait description only. Binding: QBt-page-types/views/QBt1-for-view/input/QA-probes/1-canonical-definition.md. Freshness: current. Used by: QBt1-Display1 QBt1-Display2.</w:t>
      </w:r>
    </w:p>
    <w:p>
      <w:pPr>
        <w:pStyle w:val="Quote"/>
      </w:pPr>
      <w:r>
        <w:t xml:space="preserve">Evidence card. Card warmth and cooperation: EC2 · Literature · Finding: warmth and cooperation are the facets selected for this specimen. Bearing: supports. Boundary: illustrative, not exhaustive. Binding: QBt-page-types/views/QBt1-for-view/input/QA-probes/1-canonical-definition.md. Freshness: current. Used by: QBt1-Display1 QBt1-Display2.</w:t>
      </w:r>
    </w:p>
    <w:p>
      <w:r>
        <w:t xml:space="preserve">The literature-side construct frame resolves through the real bibliography (John et al., 1999).</w:t>
      </w:r>
    </w:p>
    <w:p>
      <w:pPr>
        <w:pStyle w:val="Heading2"/>
      </w:pPr>
      <w:r>
        <w:t xml:space="preserve">2.2 · Observable project signal</w:t>
      </w:r>
    </w:p>
    <w:p>
      <w:r>
        <w:t xml:space="preserve">Review text records patient descriptions of patient-facing behavior, so this View treats review-derived scores as patient-perceived signals.</w:t>
      </w:r>
    </w:p>
    <w:p>
      <w:pPr>
        <w:pStyle w:val="Quote"/>
      </w:pPr>
      <w:r>
        <w:t xml:space="preserve">Evidence card. Card patient-perceived signals: EC3 · Value · Finding: the project observes descriptions and evaluations of behavior. Bearing: qualifies. Boundary: observed signal, not direct latent trait. Binding: QBt-page-types/views/QBt1-for-view/input/QA-probes/2-observable-signal.md. Freshness: current. Used by: QBt1-Display1 QBt1-Display2.</w:t>
      </w:r>
    </w:p>
    <w:p>
      <w:pPr>
        <w:pStyle w:val="Heading2"/>
      </w:pPr>
      <w:r>
        <w:t xml:space="preserve">2.3 · Measurement boundary</w:t>
      </w:r>
    </w:p>
    <w:p>
      <w:r>
        <w:t xml:space="preserve">The score is not treated as an error-free measure of latent personality.</w:t>
      </w:r>
    </w:p>
    <w:p>
      <w:pPr>
        <w:pStyle w:val="Quote"/>
      </w:pPr>
      <w:r>
        <w:t xml:space="preserve">Evidence card. Card not treated as an error-free measure of latent personality: EC4 · Construct · Finding: the current evidence does not justify direct latent-personality measurement. Bearing: bounds this specimen. Boundary: patient-perceived manifestation only. Binding: QBt-page-types/views/QBt1-for-view/input/QA-probes/3-measurement-boundary.md. Freshness: current. Used by: QBt1-Display1 QBt1-Display2.</w:t>
      </w:r>
    </w:p>
    <w:p>
      <w:r>
        <w:t xml:space="preserve">The body is not a hidden evidence ledger.</w:t>
      </w:r>
    </w:p>
    <w:p>
      <w:r>
        <w:t xml:space="preserve">It is the human-readable synthesis produced from the inputs; Citation, Value, and other Evidence Cards let the reader inspect why each exact phrase is present.</w:t>
      </w:r>
    </w:p>
    <w:p>
      <w:pPr>
        <w:pStyle w:val="Heading1"/>
      </w:pPr>
      <w:r>
        <w:t xml:space="preserve">3 · Displays</w:t>
      </w:r>
    </w:p>
    <w:p>
      <w:r>
        <w:t xml:space="preserve">The visible outputs: a View produces one or several Displays only when a visual or tabular form helps a reader inspect or reuse part of the body.</w:t>
      </w:r>
    </w:p>
    <w:p>
      <w:r>
        <w:t xml:space="preserve">QBt1-Display1 is the trait-description table. Its current raster is embedded below; click QBt1-Display1 and the same preview appears first, before its View-body bindings, files, and independent acceptance state.</w:t>
      </w:r>
    </w:p>
    <w:p>
      <w:pPr>
        <w:jc w:val="center"/>
      </w:pPr>
      <w:r>
        <w:drawing>
          <wp:inline distT="0" distB="0" distL="0" distR="0">
            <wp:extent cx="5394960" cy="1111565"/>
            <wp:docPr id="1" name="Display 1"/>
            <a:graphic>
              <a:graphicData uri="http://schemas.openxmlformats.org/drawingml/2006/picture">
                <pic:pic>
                  <pic:nvPicPr>
                    <pic:cNvPr id="1" name="display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1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QBt1-Display2 is the two-panel illustration. Its current raster is embedded below; click QBt1-Display2 and the same preview appears first, before its panel bindings, files, and independent acceptance state.</w:t>
      </w:r>
    </w:p>
    <w:p>
      <w:pPr>
        <w:jc w:val="center"/>
      </w:pPr>
      <w:r>
        <w:drawing>
          <wp:inline distT="0" distB="0" distL="0" distR="0">
            <wp:extent cx="5394960" cy="2637129"/>
            <wp:docPr id="2" name="Display 2"/>
            <a:graphic>
              <a:graphicData uri="http://schemas.openxmlformats.org/drawingml/2006/picture">
                <pic:pic>
                  <pic:nvPicPr>
                    <pic:cNvPr id="2" name="display-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3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Each output also carries preview.pdf as the printable inspection surface. PNG is shown inline because it renders reliably in the Board browser; PDF remains linked in the Card at full fidelity.</w:t>
      </w:r>
    </w:p>
    <w:p>
      <w:r>
        <w:t xml:space="preserve">Each authored output folder is also a complete generic renderer unit. output.md owns the View-level semantic judgment; intake/ binds approved evidence or context; recipe/ records reproducibility; candidates/, assets/, and versions/ separate alternatives, the winner, and history. No second Display adapter folder is created.</w:t>
      </w:r>
    </w:p>
    <w:p>
      <w:r>
        <w:t xml:space="preserve">The two Displays remain separate because a person can inspect and accept them independently.</w:t>
      </w:r>
    </w:p>
    <w:p>
      <w:r>
        <w:t xml:space="preserve">They remain inside one View because both are outputs selected from the same named View body.</w:t>
      </w:r>
    </w:p>
    <w:p>
      <w:r>
        <w:t xml:space="preserve">QBt1-Display1 and QBt1-Display2 are the only required outputs in this specimen; prose packs and evidence ledgers are optional outputs, not universal folders.</w:t>
      </w:r>
    </w:p>
    <w:p>
      <w:pPr>
        <w:pStyle w:val="Heading1"/>
      </w:pPr>
      <w:r>
        <w:t xml:space="preserve">4 · Consumers</w:t>
      </w:r>
    </w:p>
    <w:p>
      <w:r>
        <w:t xml:space="preserve">The outgoing side: consumers may link to the whole View or to selected Displays, and the View exposes that relationship before handoff.</w:t>
      </w:r>
    </w:p>
    <w:p>
      <w:pPr>
        <w:pStyle w:val="Code"/>
      </w:pPr>
      <w:r>
        <w:t xml:space="preserve">View ─▶ whole-View consumer</w:t>
      </w:r>
    </w:p>
    <w:p>
      <w:pPr>
        <w:pStyle w:val="Code"/>
      </w:pPr>
      <w:r>
        <w:t xml:space="preserve">  └──▶ QBt1-Display1/2 consumer + placement + gate state</w:t>
      </w:r>
    </w:p>
    <w:p>
      <w:r>
        <w:t xml:space="preserve">The Main Results section plans to consume QBt1-Display1 for its construct-interpretation passage.</w:t>
      </w:r>
    </w:p>
    <w:p>
      <w:pPr>
        <w:pStyle w:val="Quote"/>
      </w:pPr>
      <w:r>
        <w:t xml:space="preserve">Evidence card. Card Main Results section: C1 · Consumer · Target Page: S-Main-4 · Binding: QBt-page-types/consumer/S-Main-4-results.md. Uses: QBt1-Display1. Placement: Results / construct interpretation. Status: planned, blocked on View and Display acceptance.</w:t>
      </w:r>
    </w:p>
    <w:p>
      <w:r>
        <w:t xml:space="preserve">Other legal consumers include Appendix sections, Narrative pages, reports, and applications.</w:t>
      </w:r>
    </w:p>
    <w:p>
      <w:r>
        <w:t xml:space="preserve">A consumer may still reach a Probe directly when its own contract allows it; the View route is the normal human-readable handoff, not a ban on every direct link.</w:t>
      </w:r>
    </w:p>
    <w:p>
      <w:pPr>
        <w:pStyle w:val="Heading1"/>
      </w:pPr>
      <w:r>
        <w:t xml:space="preserve">References</w:t>
      </w:r>
    </w:p>
    <w:p>
      <w:pPr>
        <w:pStyle w:val="ListParagraph"/>
      </w:pPr>
      <w:r>
        <w:t xml:space="preserve">John, Oliver P.; Srivastava, Sanjay (1999). The Big-Five Trait Taxonomy: History, Measurement, and Theoretical Perspectives. Handbook of Personality: Theory and Research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pPr>
      <w:jc w:val="center"/>
      <w:spacing w:after="320"/>
    </w:pPr>
    <w:rPr>
      <w:b/>
      <w:sz w:val="34"/>
    </w:rPr>
  </w:style>
  <w:style w:type="paragraph" w:styleId="Heading1">
    <w:name w:val="heading 1"/>
    <w:basedOn w:val="Normal"/>
    <w:pPr>
      <w:keepNext/>
      <w:spacing w:before="280" w:after="120"/>
    </w:pPr>
    <w:rPr>
      <w:b/>
      <w:sz w:val="28"/>
    </w:rPr>
  </w:style>
  <w:style w:type="paragraph" w:styleId="Heading2">
    <w:name w:val="heading 2"/>
    <w:basedOn w:val="Normal"/>
    <w:pPr>
      <w:keepNext/>
      <w:spacing w:before="220" w:after="100"/>
    </w:pPr>
    <w:rPr>
      <w:b/>
      <w:sz w:val="24"/>
    </w:rPr>
  </w:style>
  <w:style w:type="paragraph" w:styleId="Quote">
    <w:name w:val="Evidence card"/>
    <w:basedOn w:val="Normal"/>
    <w:pPr>
      <w:ind w:left="360"/>
      <w:shd w:fill="F1F5F9"/>
      <w:spacing w:before="80" w:after="120"/>
    </w:pPr>
    <w:rPr>
      <w:sz w:val="18"/>
    </w:rPr>
  </w:style>
  <w:style w:type="paragraph" w:styleId="Code">
    <w:name w:val="Code"/>
    <w:basedOn w:val="Normal"/>
    <w:rPr>
      <w:rFonts w:ascii="Courier New" w:hAnsi="Courier New"/>
      <w:sz w:val="1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display-1.png"/><Relationship Id="rId2" Type="http://schemas.openxmlformats.org/officeDocument/2006/relationships/image" Target="media/display-2.png"/><Relationship Id="rIdStyles" Type="http://schemas.openxmlformats.org/officeDocument/2006/relationships/styles" Target="styles.xml"/></Relationships>
</file>