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Measurement-boundary regression</w:t>
      </w:r>
    </w:p>
    <w:p>
      <w:pPr>
        <w:pStyle w:val="Heading1"/>
      </w:pPr>
      <w:r>
        <w:t xml:space="preserve">1 · QA inputs</w:t>
      </w:r>
    </w:p>
    <w:p>
      <w:r>
        <w:t xml:space="preserve">Two answered Probe records define the observable signal and its measurement boundary.</w:t>
      </w:r>
    </w:p>
    <w:p>
      <w:pPr>
        <w:pStyle w:val="Quote"/>
      </w:pPr>
      <w:r>
        <w:t xml:space="preserve">Evidence card. Card two answered Probe records: QI1 · QA input · Bindings: input/QA-probes/Q1-observable-signal.md, input/QA-probes/Q2-measurement-boundary.md. Status: answered.</w:t>
      </w:r>
    </w:p>
    <w:p>
      <w:pPr>
        <w:pStyle w:val="Heading1"/>
      </w:pPr>
      <w:r>
        <w:t xml:space="preserve">2 · View body</w:t>
      </w:r>
    </w:p>
    <w:p>
      <w:pPr>
        <w:pStyle w:val="Heading2"/>
      </w:pPr>
      <w:r>
        <w:t xml:space="preserve">2.1 · Observable signal</w:t>
      </w:r>
    </w:p>
    <w:p>
      <w:r>
        <w:t xml:space="preserve">The source describes patient-perceived behavior rather than direct access to a latent trait (John et al., 1999).</w:t>
      </w:r>
    </w:p>
    <w:p>
      <w:pPr>
        <w:pStyle w:val="Quote"/>
      </w:pPr>
      <w:r>
        <w:t xml:space="preserve">Evidence card. Card patient-perceived behavior: EC1 · Value · Finding: observed descriptions are the signal. Binding: input/QA-probes/Q1-observable-signal.md. Freshness: current.</w:t>
      </w:r>
    </w:p>
    <w:p>
      <w:pPr>
        <w:pStyle w:val="Heading2"/>
      </w:pPr>
      <w:r>
        <w:t xml:space="preserve">2.2 · Measurement boundary</w:t>
      </w:r>
    </w:p>
    <w:p>
      <w:r>
        <w:t xml:space="preserve">The interpretation must preserve the distinction between an observed description and an error-free latent measure.</w:t>
      </w:r>
    </w:p>
    <w:p>
      <w:pPr>
        <w:pStyle w:val="Quote"/>
      </w:pPr>
      <w:r>
        <w:t xml:space="preserve">Evidence card. Card distinction: EC2 · Construct · Finding: direct latent measurement is not established. Binding: input/QA-probes/Q2-measurement-boundary.md. Freshness: current.</w:t>
      </w:r>
    </w:p>
    <w:p>
      <w:pPr>
        <w:pStyle w:val="Heading1"/>
      </w:pPr>
      <w:r>
        <w:t xml:space="preserve">3 · Displays</w:t>
      </w:r>
    </w:p>
    <w:p>
      <w:r>
        <w:t xml:space="preserve">QY4-Display1 turns EC1 and EC2 into one inspection table while retaining independent acceptance.</w:t>
      </w:r>
    </w:p>
    <w:p>
      <w:pPr>
        <w:jc w:val="center"/>
      </w:pPr>
      <w:r>
        <w:drawing>
          <wp:inline distT="0" distB="0" distL="0" distR="0">
            <wp:extent cx="5394960" cy="2517648"/>
            <wp:docPr id="1" name="Display 1"/>
            <a:graphic>
              <a:graphicData uri="http://schemas.openxmlformats.org/drawingml/2006/picture">
                <pic:pic>
                  <pic:nvPicPr>
                    <pic:cNvPr id="1" name="display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 · Consumers</w:t>
      </w:r>
    </w:p>
    <w:p>
      <w:r>
        <w:t xml:space="preserve">The local Results consumer plans to use QY4-Display1 after human acceptance.</w:t>
      </w:r>
    </w:p>
    <w:p>
      <w:pPr>
        <w:pStyle w:val="Quote"/>
      </w:pPr>
      <w:r>
        <w:t xml:space="preserve">Evidence card. Card local Results consumer: C1 · Consumer · Target: consumers/S-Results.md. Uses: QY4-Display1. Placement: Results / construct boundary. Status: planned.</w:t>
      </w:r>
    </w:p>
    <w:p>
      <w:pPr>
        <w:pStyle w:val="Heading1"/>
      </w:pPr>
      <w:r>
        <w:t xml:space="preserve">References</w:t>
      </w:r>
    </w:p>
    <w:p>
      <w:pPr>
        <w:pStyle w:val="ListParagraph"/>
      </w:pPr>
      <w:r>
        <w:t xml:space="preserve">John, Oliver P.; Srivastava, Sanjay (1999). The Big-Five Trait Taxonomy: History, Measurement, and Theoretical Perspectives. Handbook of Personality: Theory and Research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320"/>
    </w:pPr>
    <w:rPr>
      <w:b/>
      <w:sz w:val="34"/>
    </w:rPr>
  </w:style>
  <w:style w:type="paragraph" w:styleId="Heading1">
    <w:name w:val="heading 1"/>
    <w:basedOn w:val="Normal"/>
    <w:pPr>
      <w:keepNext/>
      <w:spacing w:before="280" w:after="120"/>
    </w:pPr>
    <w:rPr>
      <w:b/>
      <w:sz w:val="28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4"/>
    </w:rPr>
  </w:style>
  <w:style w:type="paragraph" w:styleId="Quote">
    <w:name w:val="Evidence card"/>
    <w:basedOn w:val="Normal"/>
    <w:pPr>
      <w:ind w:left="360"/>
      <w:shd w:fill="F1F5F9"/>
      <w:spacing w:before="80" w:after="120"/>
    </w:pPr>
    <w:rPr>
      <w:sz w:val="18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isplay-1.png"/><Relationship Id="rIdStyles" Type="http://schemas.openxmlformats.org/officeDocument/2006/relationships/styles" Target="styles.xml"/></Relationships>
</file>