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 xml:space="preserve">Hello. In this video I will show you how to calculate the value of a property given the projected cash flows. </w:t>
      </w:r>
    </w:p>
    <w:p w:rsidR="00512666" w:rsidRDefault="00ED5AD2">
      <w:pPr>
        <w:rPr>
          <w:b/>
          <w:bCs/>
        </w:rPr>
      </w:pPr>
      <w:r w:rsidRPr="00ED5AD2">
        <w:rPr>
          <w:b/>
          <w:bCs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 xml:space="preserve">This is necessary in order to calculate the expected return on a real estate investment. 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I will start by defining “return” through a simple two-period model : purchase at time 0 and sale at time 1.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Return, is the change in price of an investment over time, which can either be :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Positive, meaning that the investment has been profitable.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 xml:space="preserve">Or negative, meaning that the investment has resulted in a loss of money. 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It is usually calculated as a percentage: Profit (the total money taken out of the investment minus the original total invested) divided by the total amount of money initially put into the investment.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Now, two important observations: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Firstly, “Price” and “Return” are opposite sides of the same coin. As the price of an investment increases, the return decreases, and vice versa. An investor looking for a larger return from their investment has to pay a lower price in order to meet their required return.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Secondly</w:t>
      </w:r>
      <w:r w:rsidRPr="00ED5AD2">
        <w:rPr>
          <w:i/>
          <w:iCs/>
          <w:lang w:val="en-US"/>
        </w:rPr>
        <w:t xml:space="preserve">, </w:t>
      </w:r>
      <w:r w:rsidRPr="00ED5AD2">
        <w:rPr>
          <w:lang w:val="en-US"/>
        </w:rPr>
        <w:t>money is made not when you sell but when you buy an asset</w:t>
      </w:r>
      <w:r w:rsidRPr="00ED5AD2">
        <w:rPr>
          <w:i/>
          <w:iCs/>
          <w:lang w:val="en-US"/>
        </w:rPr>
        <w:t xml:space="preserve">. </w:t>
      </w:r>
      <w:r w:rsidRPr="00ED5AD2">
        <w:rPr>
          <w:lang w:val="en-US"/>
        </w:rPr>
        <w:t xml:space="preserve">This is because once your purchase price is set, so is your expected return. 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 xml:space="preserve">However your expected return is not completely in your control, as future cash flows are to a large extent dictated by the fluctuations of the market and so it is important to be prepared for unforeseen volatility in the market and your returns. 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Now</w:t>
      </w:r>
      <w:r w:rsidR="00DF3B11">
        <w:rPr>
          <w:lang w:val="en-US"/>
        </w:rPr>
        <w:t>,</w:t>
      </w:r>
      <w:r w:rsidRPr="00ED5AD2">
        <w:rPr>
          <w:lang w:val="en-US"/>
        </w:rPr>
        <w:t xml:space="preserve"> I will show you how to calculate the return if there is operational cash flow (rent) in addition to the reversion cash flow (sale). 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This is the equation:</w:t>
      </w:r>
      <w:r w:rsidR="00DF3B11">
        <w:rPr>
          <w:lang w:val="en-US"/>
        </w:rPr>
        <w:t xml:space="preserve"> Where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Rt = return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CF = Operatio</w:t>
      </w:r>
      <w:r w:rsidR="00B608C0">
        <w:rPr>
          <w:lang w:val="en-US"/>
        </w:rPr>
        <w:t xml:space="preserve">nal cash flow (rent) </w:t>
      </w:r>
      <w:r w:rsidRPr="00ED5AD2">
        <w:rPr>
          <w:lang w:val="en-US"/>
        </w:rPr>
        <w:t>and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V = property’s market value</w:t>
      </w:r>
    </w:p>
    <w:p w:rsidR="00ED5AD2" w:rsidRPr="00B608C0" w:rsidRDefault="00ED5AD2" w:rsidP="00ED5AD2">
      <w:pPr>
        <w:rPr>
          <w:lang w:val="en-US"/>
        </w:rPr>
      </w:pPr>
      <w:r w:rsidRPr="00ED5AD2">
        <w:rPr>
          <w:lang w:val="en-US"/>
        </w:rPr>
        <w:t>Now, let’s complete the following example: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A property is bought for €200,000 at t=0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The landlord receives €7,000 rent and sells the property for €205,000 at t = 1</w:t>
      </w:r>
    </w:p>
    <w:p w:rsidR="00DF3B11" w:rsidRDefault="00ED5AD2" w:rsidP="00ED5AD2">
      <w:pPr>
        <w:rPr>
          <w:lang w:val="en-US"/>
        </w:rPr>
      </w:pPr>
      <w:r w:rsidRPr="00ED5AD2">
        <w:rPr>
          <w:lang w:val="en-US"/>
        </w:rPr>
        <w:t>In this case, what is the rate of return?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According to the equation in this case we have:</w:t>
      </w:r>
    </w:p>
    <w:p w:rsidR="00ED5AD2" w:rsidRDefault="00ED5AD2" w:rsidP="00ED5AD2">
      <w:pPr>
        <w:rPr>
          <w:lang w:val="fr-FR"/>
        </w:rPr>
      </w:pPr>
      <w:r w:rsidRPr="00ED5AD2">
        <w:rPr>
          <w:lang w:val="en-US"/>
        </w:rPr>
        <w:t>Rt = (</w:t>
      </w:r>
      <w:r w:rsidRPr="00ED5AD2">
        <w:rPr>
          <w:lang w:val="fr-FR"/>
        </w:rPr>
        <w:t>€</w:t>
      </w:r>
      <w:r w:rsidRPr="00ED5AD2">
        <w:rPr>
          <w:lang w:val="en-US"/>
        </w:rPr>
        <w:t>7,000 + (</w:t>
      </w:r>
      <w:r w:rsidRPr="00ED5AD2">
        <w:rPr>
          <w:lang w:val="fr-FR"/>
        </w:rPr>
        <w:t>€205,000 – €200,000))/ €200,000</w:t>
      </w:r>
    </w:p>
    <w:p w:rsidR="00820209" w:rsidRPr="00ED5AD2" w:rsidRDefault="00820209" w:rsidP="00ED5AD2">
      <w:pPr>
        <w:rPr>
          <w:lang w:val="en-US"/>
        </w:rPr>
      </w:pPr>
      <w:r w:rsidRPr="00ED5AD2">
        <w:rPr>
          <w:lang w:val="fr-FR"/>
        </w:rPr>
        <w:t>So:</w:t>
      </w:r>
    </w:p>
    <w:p w:rsidR="00B608C0" w:rsidRPr="00B608C0" w:rsidRDefault="00B608C0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fr-FR"/>
        </w:rPr>
        <w:t>Rt = 6.00%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lastRenderedPageBreak/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 xml:space="preserve">To understand better the previous </w:t>
      </w:r>
      <w:r w:rsidR="00DF3B11" w:rsidRPr="00ED5AD2">
        <w:rPr>
          <w:lang w:val="en-US"/>
        </w:rPr>
        <w:t>equation,</w:t>
      </w:r>
      <w:r w:rsidRPr="00ED5AD2">
        <w:rPr>
          <w:lang w:val="en-US"/>
        </w:rPr>
        <w:t xml:space="preserve"> I will break it down: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GB"/>
        </w:rPr>
        <w:t>There are two components which combine to equal the total return of an investment: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GB"/>
        </w:rPr>
        <w:t>Income Return – which is the return made from the net operating income, and the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GB"/>
        </w:rPr>
        <w:t>Appreciation Return – which is the return made from the increasing market value of the property.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DF3B11" w:rsidRPr="00B608C0" w:rsidRDefault="00ED5AD2" w:rsidP="00ED5AD2">
      <w:pPr>
        <w:rPr>
          <w:lang w:val="en-GB"/>
        </w:rPr>
      </w:pPr>
      <w:r w:rsidRPr="00ED5AD2">
        <w:rPr>
          <w:lang w:val="en-GB"/>
        </w:rPr>
        <w:t>The Income return</w:t>
      </w:r>
      <w:r w:rsidR="00DF3B11">
        <w:rPr>
          <w:lang w:val="en-GB"/>
        </w:rPr>
        <w:t xml:space="preserve"> i</w:t>
      </w:r>
      <w:r w:rsidRPr="00ED5AD2">
        <w:rPr>
          <w:lang w:val="en-GB"/>
        </w:rPr>
        <w:t>s often referred to as the yield of an investment and can be expressed as such: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B608C0">
      <w:pPr>
        <w:rPr>
          <w:lang w:val="en-US"/>
        </w:rPr>
      </w:pPr>
      <w:r w:rsidRPr="00ED5AD2">
        <w:rPr>
          <w:lang w:val="en-GB"/>
        </w:rPr>
        <w:t>yt = CFt / Vt-1  (Where y = yield, CF is the operational cash flow and V is the property’s market value)</w:t>
      </w:r>
    </w:p>
    <w:p w:rsidR="00ED5AD2" w:rsidRPr="00B608C0" w:rsidRDefault="00ED5AD2" w:rsidP="00B608C0">
      <w:pPr>
        <w:rPr>
          <w:lang w:val="en-US"/>
        </w:rPr>
      </w:pPr>
      <w:r w:rsidRPr="00ED5AD2">
        <w:rPr>
          <w:lang w:val="en-GB"/>
        </w:rPr>
        <w:t>Is important to investors who concentrate more on income than growth.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DF3B11">
      <w:r w:rsidRPr="00ED5AD2">
        <w:rPr>
          <w:lang w:val="en-GB"/>
        </w:rPr>
        <w:t xml:space="preserve">For example: </w:t>
      </w:r>
      <w:r w:rsidRPr="00ED5AD2">
        <w:rPr>
          <w:lang w:val="fr-FR"/>
        </w:rPr>
        <w:t>€7,000 / €200,000 = 3.5%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GB"/>
        </w:rPr>
        <w:t>Ant the Appreciation Return</w:t>
      </w:r>
      <w:r w:rsidR="00DF3B11">
        <w:rPr>
          <w:lang w:val="en-GB"/>
        </w:rPr>
        <w:t xml:space="preserve"> i</w:t>
      </w:r>
      <w:r w:rsidRPr="00ED5AD2">
        <w:rPr>
          <w:lang w:val="en-GB"/>
        </w:rPr>
        <w:t>s the cash flow derived from the rise in value of a property, and can be expressed as such: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B608C0">
      <w:pPr>
        <w:rPr>
          <w:lang w:val="en-US"/>
        </w:rPr>
      </w:pPr>
      <w:r w:rsidRPr="00ED5AD2">
        <w:rPr>
          <w:lang w:val="en-GB"/>
        </w:rPr>
        <w:t>G</w:t>
      </w:r>
      <w:r w:rsidRPr="00ED5AD2">
        <w:rPr>
          <w:vertAlign w:val="subscript"/>
          <w:lang w:val="en-GB"/>
        </w:rPr>
        <w:t>t</w:t>
      </w:r>
      <w:r w:rsidRPr="00ED5AD2">
        <w:rPr>
          <w:lang w:val="en-GB"/>
        </w:rPr>
        <w:t xml:space="preserve"> = (V</w:t>
      </w:r>
      <w:r w:rsidRPr="00ED5AD2">
        <w:rPr>
          <w:vertAlign w:val="subscript"/>
          <w:lang w:val="en-GB"/>
        </w:rPr>
        <w:t>t</w:t>
      </w:r>
      <w:r w:rsidRPr="00ED5AD2">
        <w:rPr>
          <w:lang w:val="en-GB"/>
        </w:rPr>
        <w:t xml:space="preserve"> – V</w:t>
      </w:r>
      <w:r w:rsidRPr="00ED5AD2">
        <w:rPr>
          <w:vertAlign w:val="subscript"/>
          <w:lang w:val="en-GB"/>
        </w:rPr>
        <w:t>t-1</w:t>
      </w:r>
      <w:r w:rsidRPr="00ED5AD2">
        <w:rPr>
          <w:lang w:val="en-GB"/>
        </w:rPr>
        <w:t>) / V</w:t>
      </w:r>
      <w:r w:rsidRPr="00ED5AD2">
        <w:rPr>
          <w:vertAlign w:val="subscript"/>
          <w:lang w:val="en-GB"/>
        </w:rPr>
        <w:t xml:space="preserve">t-1 </w:t>
      </w:r>
      <w:r w:rsidRPr="00ED5AD2">
        <w:rPr>
          <w:lang w:val="en-GB"/>
        </w:rPr>
        <w:t xml:space="preserve"> (where G = growth and V is the property’s market value)</w:t>
      </w:r>
    </w:p>
    <w:p w:rsidR="00ED5AD2" w:rsidRPr="00B608C0" w:rsidRDefault="00ED5AD2" w:rsidP="00B608C0">
      <w:pPr>
        <w:rPr>
          <w:lang w:val="en-US"/>
        </w:rPr>
      </w:pPr>
      <w:r w:rsidRPr="00ED5AD2">
        <w:rPr>
          <w:lang w:val="en-GB"/>
        </w:rPr>
        <w:t xml:space="preserve">Is important to investors who concentrate more on capital growth than income 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DF3B11">
      <w:r w:rsidRPr="00ED5AD2">
        <w:rPr>
          <w:lang w:val="en-GB"/>
        </w:rPr>
        <w:t>For example: (</w:t>
      </w:r>
      <w:r w:rsidRPr="00ED5AD2">
        <w:rPr>
          <w:lang w:val="fr-FR"/>
        </w:rPr>
        <w:t>€</w:t>
      </w:r>
      <w:r w:rsidRPr="00ED5AD2">
        <w:rPr>
          <w:lang w:val="en-GB"/>
        </w:rPr>
        <w:t xml:space="preserve">205,000 - </w:t>
      </w:r>
      <w:r w:rsidRPr="00ED5AD2">
        <w:rPr>
          <w:lang w:val="fr-FR"/>
        </w:rPr>
        <w:t>€</w:t>
      </w:r>
      <w:r w:rsidRPr="00ED5AD2">
        <w:rPr>
          <w:lang w:val="en-GB"/>
        </w:rPr>
        <w:t xml:space="preserve">200,000) / </w:t>
      </w:r>
      <w:r w:rsidRPr="00ED5AD2">
        <w:rPr>
          <w:lang w:val="fr-FR"/>
        </w:rPr>
        <w:t xml:space="preserve">€ </w:t>
      </w:r>
      <w:r w:rsidRPr="00ED5AD2">
        <w:rPr>
          <w:lang w:val="en-GB"/>
        </w:rPr>
        <w:t>200,000 = 2.5%</w:t>
      </w:r>
    </w:p>
    <w:p w:rsidR="00ED5AD2" w:rsidRP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GB"/>
        </w:rPr>
        <w:t>So, as Total Return = Income Return + Appreciation Return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GB"/>
        </w:rPr>
        <w:t>Therefore, the total return is 3.5% + 2.5% = 6%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Now that you know how to calculate the return of an investment over one period, I will show you how to measure the return of a multi-period investment.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 xml:space="preserve">In the real estate sector, total return is typically measured over multiple time periods because real estate investment is normally long-term. 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Investors therefore need to calculate the expected long-term horizon of the investment, and the following definition is widely employed: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Internal Rate of Return or IRR is the single rate that discounts all net cash flows obtained from the investment to a present value that equals the purchase price of the investment.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There are two approaches to real estate valuation: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The Income Capitalization Approach (Cap Rate/Yield) and the Discoun</w:t>
      </w:r>
      <w:r w:rsidR="00B608C0">
        <w:rPr>
          <w:lang w:val="en-US"/>
        </w:rPr>
        <w:t>ted Cash Flow (“DCF”) Approach.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The Income Capitalization Approach is used to…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lastRenderedPageBreak/>
        <w:t>calculate how much income an investment will generate over an infinite/perpetual stream of cash flows (cannot be used in finite horizon investment valuation), where…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Property valu</w:t>
      </w:r>
      <w:r w:rsidR="00B608C0">
        <w:rPr>
          <w:lang w:val="en-US"/>
        </w:rPr>
        <w:t xml:space="preserve">e = NOI1 / Capitalization Rate </w:t>
      </w:r>
      <w:r w:rsidRPr="00ED5AD2">
        <w:rPr>
          <w:lang w:val="en-US"/>
        </w:rPr>
        <w:t xml:space="preserve">(where NOI1 stands for the NOI a year after the initial investment) 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ED5AD2" w:rsidRPr="00ED5AD2" w:rsidRDefault="00ED5AD2" w:rsidP="00ED5AD2">
      <w:pPr>
        <w:rPr>
          <w:lang w:val="en-US"/>
        </w:rPr>
      </w:pPr>
      <w:r w:rsidRPr="00ED5AD2">
        <w:rPr>
          <w:lang w:val="en-US"/>
        </w:rPr>
        <w:t>The Cap Rate captures the opportunity cost of capital of an alternative but similar investment for the investor – it is determined by comparing the cap rates of other similar properties in capital markets</w:t>
      </w:r>
      <w:r>
        <w:rPr>
          <w:lang w:val="en-US"/>
        </w:rPr>
        <w:t>.</w:t>
      </w:r>
    </w:p>
    <w:p w:rsidR="00ED5AD2" w:rsidRDefault="00ED5AD2" w:rsidP="00ED5AD2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DF3B11" w:rsidRPr="00DF3B11" w:rsidRDefault="00DF3B11" w:rsidP="00DF3B11">
      <w:pPr>
        <w:rPr>
          <w:lang w:val="en-US"/>
        </w:rPr>
      </w:pPr>
      <w:r w:rsidRPr="00DF3B11">
        <w:rPr>
          <w:lang w:val="en-US"/>
        </w:rPr>
        <w:t>Meanwhile the Discounted Cash Flow (“DCF”) Approach is used to…</w:t>
      </w:r>
    </w:p>
    <w:p w:rsidR="00DF3B11" w:rsidRDefault="00DF3B11" w:rsidP="00DF3B11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DF3B11" w:rsidRPr="00DF3B11" w:rsidRDefault="00DF3B11" w:rsidP="00DF3B11">
      <w:pPr>
        <w:rPr>
          <w:lang w:val="en-US"/>
        </w:rPr>
      </w:pPr>
      <w:r w:rsidRPr="00DF3B11">
        <w:rPr>
          <w:lang w:val="en-US"/>
        </w:rPr>
        <w:t>Calculate the total return, including income return and appreciation return, of the investment.</w:t>
      </w:r>
    </w:p>
    <w:p w:rsidR="00DF3B11" w:rsidRDefault="00DF3B11" w:rsidP="00DF3B11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DF3B11" w:rsidRPr="00DF3B11" w:rsidRDefault="00DF3B11" w:rsidP="00DF3B11">
      <w:pPr>
        <w:rPr>
          <w:lang w:val="en-US"/>
        </w:rPr>
      </w:pPr>
      <w:r w:rsidRPr="00DF3B11">
        <w:rPr>
          <w:lang w:val="en-US"/>
        </w:rPr>
        <w:t>Property value = PV (present value) of all future cash flows, discounted at the required total rate of return (“discount rate”)</w:t>
      </w:r>
    </w:p>
    <w:p w:rsidR="00DF3B11" w:rsidRDefault="00DF3B11" w:rsidP="00DF3B11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DF3B11" w:rsidRPr="00DF3B11" w:rsidRDefault="00DF3B11" w:rsidP="00DF3B11">
      <w:pPr>
        <w:rPr>
          <w:lang w:val="en-US"/>
        </w:rPr>
      </w:pPr>
      <w:r w:rsidRPr="00DF3B11">
        <w:rPr>
          <w:lang w:val="en-US"/>
        </w:rPr>
        <w:t>It is only appropriate for finite horizon investment valuation (e.g. 7 years).</w:t>
      </w:r>
    </w:p>
    <w:p w:rsidR="00DF3B11" w:rsidRDefault="00DF3B11" w:rsidP="00DF3B11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DF3B11" w:rsidRPr="00DF3B11" w:rsidRDefault="00DF3B11" w:rsidP="00DF3B11">
      <w:pPr>
        <w:rPr>
          <w:lang w:val="en-US"/>
        </w:rPr>
      </w:pPr>
      <w:r w:rsidRPr="00DF3B11">
        <w:rPr>
          <w:lang w:val="en-US"/>
        </w:rPr>
        <w:t>And finally, how do we split the “cap rate” between the investor’s time discount rate and the property’s growth rate?</w:t>
      </w:r>
    </w:p>
    <w:p w:rsidR="00DF3B11" w:rsidRDefault="00DF3B11" w:rsidP="00DF3B11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DF3B11" w:rsidRPr="00DF3B11" w:rsidRDefault="00DF3B11" w:rsidP="00DF3B11">
      <w:pPr>
        <w:rPr>
          <w:lang w:val="en-US"/>
        </w:rPr>
      </w:pPr>
      <w:r w:rsidRPr="00DF3B11">
        <w:rPr>
          <w:lang w:val="en-US"/>
        </w:rPr>
        <w:t>To the extent that a real estate investment approximates a constant growth annuity where…</w:t>
      </w:r>
    </w:p>
    <w:p w:rsidR="00DF3B11" w:rsidRDefault="00DF3B11" w:rsidP="00DF3B11">
      <w:pPr>
        <w:rPr>
          <w:b/>
          <w:bCs/>
          <w:lang w:val="en-US"/>
        </w:rPr>
      </w:pPr>
      <w:r w:rsidRPr="00ED5AD2">
        <w:rPr>
          <w:b/>
          <w:bCs/>
          <w:lang w:val="en-US"/>
        </w:rPr>
        <w:t>***CLICK***</w:t>
      </w:r>
    </w:p>
    <w:p w:rsidR="00DF3B11" w:rsidRDefault="00DF3B11" w:rsidP="002B7622">
      <w:pPr>
        <w:rPr>
          <w:b/>
          <w:bCs/>
          <w:lang w:val="en-US"/>
        </w:rPr>
      </w:pPr>
      <w:r w:rsidRPr="00DF3B11">
        <w:rPr>
          <w:lang w:val="en-US"/>
        </w:rPr>
        <w:t>Y</w:t>
      </w:r>
      <w:r w:rsidRPr="00DF3B11">
        <w:rPr>
          <w:vertAlign w:val="subscript"/>
          <w:lang w:val="en-US"/>
        </w:rPr>
        <w:t xml:space="preserve">0 </w:t>
      </w:r>
      <w:r w:rsidRPr="00DF3B11">
        <w:rPr>
          <w:lang w:val="en-US"/>
        </w:rPr>
        <w:t>= discount Rate, g</w:t>
      </w:r>
      <w:r w:rsidRPr="00DF3B11">
        <w:rPr>
          <w:vertAlign w:val="subscript"/>
          <w:lang w:val="en-US"/>
        </w:rPr>
        <w:t xml:space="preserve">I = </w:t>
      </w:r>
      <w:r w:rsidRPr="00DF3B11">
        <w:rPr>
          <w:lang w:val="en-US"/>
        </w:rPr>
        <w:t>growth Rate, and R</w:t>
      </w:r>
      <w:r w:rsidRPr="00DF3B11">
        <w:rPr>
          <w:vertAlign w:val="subscript"/>
          <w:lang w:val="en-US"/>
        </w:rPr>
        <w:t xml:space="preserve">0 </w:t>
      </w:r>
      <w:r w:rsidRPr="00DF3B11">
        <w:rPr>
          <w:lang w:val="en-US"/>
        </w:rPr>
        <w:t>= Cap Rate</w:t>
      </w:r>
    </w:p>
    <w:p w:rsidR="00ED5AD2" w:rsidRPr="00B608C0" w:rsidRDefault="00DF3B11">
      <w:pPr>
        <w:rPr>
          <w:lang w:val="en-US"/>
        </w:rPr>
      </w:pPr>
      <w:r w:rsidRPr="00DF3B11">
        <w:rPr>
          <w:lang w:val="en-US"/>
        </w:rPr>
        <w:t>Now, I will show you a valuation model where the two valuation methods are used to calculate the value of a property.</w:t>
      </w:r>
      <w:bookmarkStart w:id="0" w:name="_GoBack"/>
      <w:bookmarkEnd w:id="0"/>
    </w:p>
    <w:sectPr w:rsidR="00ED5AD2" w:rsidRPr="00B608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Typewriter">
    <w:altName w:val="Consolas"/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5807DB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720EA7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37E4B8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7FE388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4920AB7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AF6C96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6E47A0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AA40FE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B07E81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AC2156"/>
    <w:multiLevelType w:val="hybridMultilevel"/>
    <w:tmpl w:val="E32244B2"/>
    <w:lvl w:ilvl="0" w:tplc="465E1B3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C0504D" w:themeColor="accent2"/>
        <w:spacing w:val="-20"/>
        <w:position w:val="0"/>
        <w:sz w:val="16"/>
        <w:u w:color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93A14E0"/>
    <w:multiLevelType w:val="hybridMultilevel"/>
    <w:tmpl w:val="B380BBFA"/>
    <w:lvl w:ilvl="0" w:tplc="E490299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C0504D" w:themeColor="accent2"/>
        <w:spacing w:val="-20"/>
        <w:position w:val="0"/>
        <w:sz w:val="16"/>
        <w:u w:color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5C78CA"/>
    <w:multiLevelType w:val="hybridMultilevel"/>
    <w:tmpl w:val="770A28FE"/>
    <w:lvl w:ilvl="0" w:tplc="F31880C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0B0F4D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22C8AABA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016890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B40344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5F809E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4A0921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E0AB67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44C03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>
    <w:nsid w:val="1B815CF8"/>
    <w:multiLevelType w:val="hybridMultilevel"/>
    <w:tmpl w:val="10828EBA"/>
    <w:lvl w:ilvl="0" w:tplc="03067B74">
      <w:start w:val="1"/>
      <w:numFmt w:val="decimal"/>
      <w:lvlText w:val="%1:"/>
      <w:lvlJc w:val="left"/>
      <w:pPr>
        <w:ind w:left="360" w:hanging="36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C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8A7DEE"/>
    <w:multiLevelType w:val="hybridMultilevel"/>
    <w:tmpl w:val="86C01DDC"/>
    <w:lvl w:ilvl="0" w:tplc="C71888D0">
      <w:start w:val="1"/>
      <w:numFmt w:val="decimal"/>
      <w:pStyle w:val="ListNumber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color w:val="262626" w:themeColor="text1" w:themeTint="D9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285132"/>
    <w:multiLevelType w:val="hybridMultilevel"/>
    <w:tmpl w:val="264EF288"/>
    <w:lvl w:ilvl="0" w:tplc="F27AF72A">
      <w:start w:val="1"/>
      <w:numFmt w:val="decimal"/>
      <w:lvlText w:val="%1."/>
      <w:lvlJc w:val="left"/>
      <w:pPr>
        <w:ind w:left="705" w:hanging="360"/>
      </w:pPr>
      <w:rPr>
        <w:rFonts w:asciiTheme="minorHAnsi" w:hAnsiTheme="minorHAnsi" w:hint="default"/>
        <w:color w:val="C0504D" w:themeColor="accent2"/>
        <w:spacing w:val="-20"/>
        <w:position w:val="0"/>
        <w:sz w:val="16"/>
        <w:u w:color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5">
    <w:nsid w:val="41040880"/>
    <w:multiLevelType w:val="hybridMultilevel"/>
    <w:tmpl w:val="78BADDF6"/>
    <w:lvl w:ilvl="0" w:tplc="D3CAACB0">
      <w:start w:val="1"/>
      <w:numFmt w:val="decimal"/>
      <w:pStyle w:val="ListParagraph"/>
      <w:lvlText w:val="%1."/>
      <w:lvlJc w:val="left"/>
      <w:pPr>
        <w:ind w:left="720" w:hanging="360"/>
      </w:pPr>
      <w:rPr>
        <w:rFonts w:asciiTheme="minorHAnsi" w:hAnsiTheme="minorHAnsi" w:hint="default"/>
        <w:color w:val="C0504D" w:themeColor="accent2"/>
        <w:spacing w:val="-20"/>
        <w:position w:val="0"/>
        <w:sz w:val="16"/>
        <w:u w:color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B0674D"/>
    <w:multiLevelType w:val="hybridMultilevel"/>
    <w:tmpl w:val="95D47E4E"/>
    <w:lvl w:ilvl="0" w:tplc="F3ACA95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3B7155"/>
    <w:multiLevelType w:val="hybridMultilevel"/>
    <w:tmpl w:val="479EDA4C"/>
    <w:lvl w:ilvl="0" w:tplc="545CB24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4F6EE4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568D308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1CA491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242F33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5DAC80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FAAD89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7AABA0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712640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8">
    <w:nsid w:val="6A4E0D61"/>
    <w:multiLevelType w:val="hybridMultilevel"/>
    <w:tmpl w:val="8CD4227A"/>
    <w:lvl w:ilvl="0" w:tplc="0D18BF98">
      <w:start w:val="1"/>
      <w:numFmt w:val="decimalZero"/>
      <w:lvlText w:val="%1)"/>
      <w:lvlJc w:val="left"/>
      <w:pPr>
        <w:ind w:left="360" w:hanging="360"/>
      </w:pPr>
      <w:rPr>
        <w:rFonts w:asciiTheme="minorHAnsi" w:hAnsiTheme="minorHAns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1F497D" w:themeColor="text2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BA6A3D"/>
    <w:multiLevelType w:val="hybridMultilevel"/>
    <w:tmpl w:val="EA541B76"/>
    <w:lvl w:ilvl="0" w:tplc="E58E33A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BF21FF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FE28C3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966B46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8689FE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4CCBE3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C94285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542AF1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E3823B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0">
    <w:nsid w:val="77566D11"/>
    <w:multiLevelType w:val="hybridMultilevel"/>
    <w:tmpl w:val="E8189BE6"/>
    <w:lvl w:ilvl="0" w:tplc="0C0A000F">
      <w:start w:val="1"/>
      <w:numFmt w:val="decimal"/>
      <w:pStyle w:val="Heading4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77635DC6"/>
    <w:multiLevelType w:val="hybridMultilevel"/>
    <w:tmpl w:val="9A6C9AD6"/>
    <w:lvl w:ilvl="0" w:tplc="A2C4E48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0AAD69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E1A0808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C28786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52484B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63EB8E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6447CF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10E495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1C8996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11"/>
  </w:num>
  <w:num w:numId="2">
    <w:abstractNumId w:val="19"/>
  </w:num>
  <w:num w:numId="3">
    <w:abstractNumId w:val="17"/>
  </w:num>
  <w:num w:numId="4">
    <w:abstractNumId w:val="21"/>
  </w:num>
  <w:num w:numId="5">
    <w:abstractNumId w:val="12"/>
  </w:num>
  <w:num w:numId="6">
    <w:abstractNumId w:val="20"/>
  </w:num>
  <w:num w:numId="7">
    <w:abstractNumId w:val="18"/>
  </w:num>
  <w:num w:numId="8">
    <w:abstractNumId w:val="13"/>
  </w:num>
  <w:num w:numId="9">
    <w:abstractNumId w:val="13"/>
    <w:lvlOverride w:ilvl="0">
      <w:startOverride w:val="1"/>
    </w:lvlOverride>
  </w:num>
  <w:num w:numId="10">
    <w:abstractNumId w:val="9"/>
  </w:num>
  <w:num w:numId="11">
    <w:abstractNumId w:val="15"/>
  </w:num>
  <w:num w:numId="12">
    <w:abstractNumId w:val="15"/>
    <w:lvlOverride w:ilvl="0">
      <w:startOverride w:val="1"/>
    </w:lvlOverride>
  </w:num>
  <w:num w:numId="13">
    <w:abstractNumId w:val="14"/>
  </w:num>
  <w:num w:numId="14">
    <w:abstractNumId w:val="14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14"/>
    <w:lvlOverride w:ilvl="0">
      <w:startOverride w:val="1"/>
    </w:lvlOverride>
  </w:num>
  <w:num w:numId="18">
    <w:abstractNumId w:val="10"/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6"/>
  </w:num>
  <w:num w:numId="26">
    <w:abstractNumId w:val="16"/>
    <w:lvlOverride w:ilvl="0">
      <w:startOverride w:val="1"/>
    </w:lvlOverride>
  </w:num>
  <w:num w:numId="27">
    <w:abstractNumId w:val="16"/>
    <w:lvlOverride w:ilvl="0">
      <w:startOverride w:val="1"/>
    </w:lvlOverride>
  </w:num>
  <w:num w:numId="28">
    <w:abstractNumId w:val="16"/>
    <w:lvlOverride w:ilvl="0">
      <w:startOverride w:val="1"/>
    </w:lvlOverride>
  </w:num>
  <w:num w:numId="29">
    <w:abstractNumId w:val="16"/>
    <w:lvlOverride w:ilvl="0">
      <w:startOverride w:val="1"/>
    </w:lvlOverride>
  </w:num>
  <w:num w:numId="30">
    <w:abstractNumId w:val="16"/>
    <w:lvlOverride w:ilvl="0">
      <w:startOverride w:val="1"/>
    </w:lvlOverride>
  </w:num>
  <w:num w:numId="31">
    <w:abstractNumId w:val="16"/>
    <w:lvlOverride w:ilvl="0">
      <w:startOverride w:val="1"/>
    </w:lvlOverride>
  </w:num>
  <w:num w:numId="32">
    <w:abstractNumId w:val="16"/>
    <w:lvlOverride w:ilvl="0">
      <w:startOverride w:val="1"/>
    </w:lvlOverride>
  </w:num>
  <w:num w:numId="33">
    <w:abstractNumId w:val="16"/>
    <w:lvlOverride w:ilvl="0">
      <w:startOverride w:val="1"/>
    </w:lvlOverride>
  </w:num>
  <w:num w:numId="34">
    <w:abstractNumId w:val="16"/>
    <w:lvlOverride w:ilvl="0">
      <w:startOverride w:val="1"/>
    </w:lvlOverride>
  </w:num>
  <w:num w:numId="35">
    <w:abstractNumId w:val="16"/>
    <w:lvlOverride w:ilvl="0">
      <w:startOverride w:val="1"/>
    </w:lvlOverride>
  </w:num>
  <w:num w:numId="36">
    <w:abstractNumId w:val="16"/>
    <w:lvlOverride w:ilvl="0">
      <w:startOverride w:val="1"/>
    </w:lvlOverride>
  </w:num>
  <w:num w:numId="37">
    <w:abstractNumId w:val="16"/>
    <w:lvlOverride w:ilvl="0">
      <w:startOverride w:val="1"/>
    </w:lvlOverride>
  </w:num>
  <w:num w:numId="38">
    <w:abstractNumId w:val="16"/>
    <w:lvlOverride w:ilvl="0">
      <w:startOverride w:val="1"/>
    </w:lvlOverride>
  </w:num>
  <w:num w:numId="39">
    <w:abstractNumId w:val="16"/>
    <w:lvlOverride w:ilvl="0">
      <w:startOverride w:val="2"/>
    </w:lvlOverride>
  </w:num>
  <w:num w:numId="40">
    <w:abstractNumId w:val="16"/>
    <w:lvlOverride w:ilvl="0">
      <w:startOverride w:val="1"/>
    </w:lvlOverride>
  </w:num>
  <w:num w:numId="41">
    <w:abstractNumId w:val="8"/>
  </w:num>
  <w:num w:numId="42">
    <w:abstractNumId w:val="7"/>
  </w:num>
  <w:num w:numId="43">
    <w:abstractNumId w:val="6"/>
  </w:num>
  <w:num w:numId="44">
    <w:abstractNumId w:val="5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AD2"/>
    <w:rsid w:val="002B7622"/>
    <w:rsid w:val="00512666"/>
    <w:rsid w:val="00820209"/>
    <w:rsid w:val="00B608C0"/>
    <w:rsid w:val="00DF3B11"/>
    <w:rsid w:val="00ED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CA383-A489-4861-B38D-4E5DB9CC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622"/>
    <w:pPr>
      <w:spacing w:after="0" w:line="240" w:lineRule="auto"/>
    </w:pPr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rsid w:val="002B762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2B7622"/>
    <w:pPr>
      <w:keepNext/>
      <w:keepLines/>
      <w:outlineLvl w:val="1"/>
    </w:pPr>
    <w:rPr>
      <w:rFonts w:eastAsiaTheme="majorEastAsia" w:cs="Arial"/>
      <w:b/>
      <w:bCs/>
      <w:noProof/>
      <w:color w:val="5F497A" w:themeColor="accent4" w:themeShade="BF"/>
      <w:sz w:val="26"/>
      <w:szCs w:val="26"/>
      <w:u w:val="single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B7622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noProof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B7622"/>
    <w:pPr>
      <w:keepNext/>
      <w:keepLines/>
      <w:numPr>
        <w:numId w:val="6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noProof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B762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2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22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22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2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sid w:val="002B762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B7622"/>
  </w:style>
  <w:style w:type="character" w:customStyle="1" w:styleId="Heading1Char">
    <w:name w:val="Heading 1 Char"/>
    <w:basedOn w:val="DefaultParagraphFont"/>
    <w:link w:val="Heading1"/>
    <w:uiPriority w:val="9"/>
    <w:rsid w:val="002B76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622"/>
    <w:rPr>
      <w:rFonts w:eastAsiaTheme="majorEastAsia" w:cs="Arial"/>
      <w:b/>
      <w:bCs/>
      <w:noProof/>
      <w:color w:val="5F497A" w:themeColor="accent4" w:themeShade="BF"/>
      <w:sz w:val="26"/>
      <w:szCs w:val="26"/>
      <w:u w:val="single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622"/>
    <w:rPr>
      <w:rFonts w:ascii="Cambria" w:eastAsia="Times New Roman" w:hAnsi="Cambria" w:cs="Times New Roman"/>
      <w:b/>
      <w:bCs/>
      <w:noProof/>
      <w:color w:val="4F81BD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622"/>
    <w:rPr>
      <w:rFonts w:ascii="Cambria" w:eastAsia="Times New Roman" w:hAnsi="Cambria" w:cs="Times New Roman"/>
      <w:b/>
      <w:bCs/>
      <w:i/>
      <w:iCs/>
      <w:noProof/>
      <w:color w:val="4F81BD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22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22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22"/>
    <w:rPr>
      <w:rFonts w:asciiTheme="majorHAnsi" w:eastAsiaTheme="majorEastAsia" w:hAnsiTheme="majorHAnsi" w:cstheme="majorBidi"/>
      <w:i/>
      <w:iCs/>
      <w:color w:val="404040" w:themeColor="text1" w:themeTint="BF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22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2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table" w:styleId="TableGrid">
    <w:name w:val="Table Grid"/>
    <w:basedOn w:val="TableNormal"/>
    <w:uiPriority w:val="59"/>
    <w:rsid w:val="002B762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tenidos">
    <w:name w:val="Tabla Contenidos"/>
    <w:basedOn w:val="TableNormal"/>
    <w:uiPriority w:val="99"/>
    <w:rsid w:val="002B7622"/>
    <w:pPr>
      <w:spacing w:after="0" w:line="240" w:lineRule="auto"/>
    </w:pPr>
    <w:rPr>
      <w:sz w:val="18"/>
      <w:lang w:val="es-ES"/>
    </w:rPr>
    <w:tblPr>
      <w:tblStyleRowBandSize w:val="1"/>
      <w:tblStyleColBandSize w:val="1"/>
      <w:jc w:val="center"/>
      <w:tblInd w:w="0" w:type="dxa"/>
      <w:tblCellMar>
        <w:top w:w="115" w:type="dxa"/>
        <w:left w:w="58" w:type="dxa"/>
        <w:bottom w:w="115" w:type="dxa"/>
        <w:right w:w="58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Theme="minorHAnsi" w:hAnsiTheme="minorHAnsi"/>
        <w:color w:val="FFFFFF" w:themeColor="background1"/>
        <w:sz w:val="18"/>
        <w:u w:val="none"/>
      </w:rPr>
      <w:tblPr/>
      <w:tcPr>
        <w:shd w:val="clear" w:color="auto" w:fill="943634" w:themeFill="accent2" w:themeFillShade="B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/>
      </w:tcPr>
    </w:tblStylePr>
    <w:tblStylePr w:type="firstCol">
      <w:pPr>
        <w:jc w:val="left"/>
      </w:pPr>
      <w:rPr>
        <w:color w:val="FFFFFF" w:themeColor="background1"/>
        <w:u w:val="none"/>
      </w:rPr>
      <w:tblPr/>
      <w:tcPr>
        <w:shd w:val="clear" w:color="auto" w:fill="943634" w:themeFill="accent2" w:themeFillShade="BF"/>
      </w:tcPr>
    </w:tblStylePr>
    <w:tblStylePr w:type="band1Vert">
      <w:pPr>
        <w:jc w:val="left"/>
      </w:p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  <w:tl2br w:val="nil"/>
          <w:tr2bl w:val="nil"/>
        </w:tcBorders>
        <w:shd w:val="clear" w:color="auto" w:fill="F2DBDB" w:themeFill="accent2" w:themeFillTint="33"/>
      </w:tcPr>
    </w:tblStylePr>
  </w:style>
  <w:style w:type="table" w:customStyle="1" w:styleId="TablaInfo">
    <w:name w:val="Tabla Info"/>
    <w:basedOn w:val="TableNormal"/>
    <w:uiPriority w:val="99"/>
    <w:rsid w:val="002B7622"/>
    <w:pPr>
      <w:spacing w:after="0" w:line="240" w:lineRule="auto"/>
      <w:contextualSpacing/>
    </w:pPr>
    <w:rPr>
      <w:rFonts w:ascii="Calibri" w:eastAsia="Calibri" w:hAnsi="Calibri" w:cs="Times New Roman"/>
      <w:sz w:val="18"/>
      <w:szCs w:val="20"/>
      <w:lang w:val="es-ES" w:eastAsia="es-ES"/>
    </w:rPr>
    <w:tblPr>
      <w:tblStyleRowBandSize w:val="1"/>
      <w:tblStyleColBandSize w:val="1"/>
      <w:tblInd w:w="0" w:type="dxa"/>
      <w:tblCellMar>
        <w:top w:w="43" w:type="dxa"/>
        <w:left w:w="58" w:type="dxa"/>
        <w:bottom w:w="43" w:type="dxa"/>
        <w:right w:w="58" w:type="dxa"/>
      </w:tblCellMar>
    </w:tblPr>
    <w:tcPr>
      <w:vAlign w:val="center"/>
    </w:tcPr>
    <w:tblStylePr w:type="firstRow">
      <w:pPr>
        <w:wordWrap/>
        <w:jc w:val="center"/>
      </w:pPr>
      <w:rPr>
        <w:rFonts w:asciiTheme="minorHAnsi" w:hAnsiTheme="minorHAnsi"/>
        <w:caps w:val="0"/>
        <w:smallCaps w:val="0"/>
        <w:strike w:val="0"/>
        <w:dstrike w:val="0"/>
        <w:vanish w:val="0"/>
        <w:color w:val="DCDCDC"/>
        <w:sz w:val="18"/>
        <w:vertAlign w:val="baseline"/>
      </w:rPr>
      <w:tblPr/>
      <w:tcPr>
        <w:shd w:val="clear" w:color="auto" w:fill="555559"/>
        <w:vAlign w:val="top"/>
      </w:tcPr>
    </w:tblStylePr>
    <w:tblStylePr w:type="firstCol">
      <w:pPr>
        <w:wordWrap/>
        <w:jc w:val="left"/>
      </w:pPr>
      <w:rPr>
        <w:rFonts w:asciiTheme="minorHAnsi" w:hAnsiTheme="minorHAnsi"/>
        <w:b w:val="0"/>
        <w:i w:val="0"/>
        <w:vanish w:val="0"/>
        <w:color w:val="DCDCDC"/>
        <w:sz w:val="16"/>
      </w:rPr>
      <w:tblPr/>
      <w:tcPr>
        <w:shd w:val="clear" w:color="auto" w:fill="555559"/>
      </w:tcPr>
    </w:tblStylePr>
    <w:tblStylePr w:type="band1Vert">
      <w:pPr>
        <w:wordWrap/>
        <w:jc w:val="left"/>
      </w:pPr>
    </w:tblStylePr>
    <w:tblStylePr w:type="band2Vert">
      <w:pPr>
        <w:wordWrap/>
        <w:jc w:val="right"/>
      </w:pPr>
      <w:tblPr>
        <w:jc w:val="center"/>
      </w:tblPr>
      <w:trPr>
        <w:jc w:val="center"/>
      </w:trPr>
      <w:tcPr>
        <w:shd w:val="clear" w:color="auto" w:fill="F2F2F2" w:themeFill="background1" w:themeFillShade="F2"/>
      </w:tcPr>
    </w:tblStylePr>
    <w:tblStylePr w:type="band1Horz">
      <w:pPr>
        <w:wordWrap/>
        <w:jc w:val="left"/>
      </w:pPr>
    </w:tblStylePr>
    <w:tblStylePr w:type="band2Horz">
      <w:pPr>
        <w:wordWrap/>
      </w:pPr>
    </w:tblStylePr>
  </w:style>
  <w:style w:type="table" w:customStyle="1" w:styleId="TablaCabecera">
    <w:name w:val="Tabla Cabecera"/>
    <w:basedOn w:val="TableNormal"/>
    <w:uiPriority w:val="99"/>
    <w:rsid w:val="002B7622"/>
    <w:pPr>
      <w:spacing w:after="0" w:line="240" w:lineRule="auto"/>
      <w:jc w:val="center"/>
    </w:pPr>
    <w:rPr>
      <w:sz w:val="16"/>
      <w:lang w:val="es-ES"/>
    </w:rPr>
    <w:tblPr>
      <w:tblStyleRowBandSize w:val="1"/>
      <w:tblInd w:w="0" w:type="dxa"/>
      <w:tblCellMar>
        <w:top w:w="58" w:type="dxa"/>
        <w:left w:w="115" w:type="dxa"/>
        <w:bottom w:w="58" w:type="dxa"/>
        <w:right w:w="115" w:type="dxa"/>
      </w:tblCellMar>
    </w:tblPr>
    <w:tcPr>
      <w:vAlign w:val="center"/>
    </w:tcPr>
    <w:tblStylePr w:type="firstRow">
      <w:pPr>
        <w:jc w:val="center"/>
      </w:pPr>
    </w:tblStylePr>
    <w:tblStylePr w:type="lastRow">
      <w:pPr>
        <w:wordWrap/>
        <w:jc w:val="center"/>
      </w:pPr>
      <w:rPr>
        <w:color w:val="FFFFFF" w:themeColor="background1"/>
      </w:rPr>
      <w:tblPr/>
      <w:tcPr>
        <w:shd w:val="clear" w:color="auto" w:fill="404040" w:themeFill="text1" w:themeFillTint="BF"/>
      </w:tcPr>
    </w:tblStylePr>
    <w:tblStylePr w:type="firstCol">
      <w:pPr>
        <w:wordWrap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center"/>
      </w:pPr>
      <w:rPr>
        <w:color w:val="auto"/>
      </w:rPr>
    </w:tblStylePr>
    <w:tblStylePr w:type="band2Horz">
      <w:pPr>
        <w:wordWrap/>
        <w:jc w:val="center"/>
      </w:pPr>
      <w:rPr>
        <w:b/>
        <w:i w:val="0"/>
        <w:color w:val="F2F2F2" w:themeColor="background1" w:themeShade="F2"/>
      </w:rPr>
      <w:tblPr/>
      <w:tcPr>
        <w:shd w:val="clear" w:color="auto" w:fill="555559"/>
      </w:tcPr>
    </w:tblStylePr>
  </w:style>
  <w:style w:type="paragraph" w:customStyle="1" w:styleId="TITULO1">
    <w:name w:val="TITULO1"/>
    <w:basedOn w:val="Normal"/>
    <w:next w:val="Normal"/>
    <w:autoRedefine/>
    <w:qFormat/>
    <w:rsid w:val="002B7622"/>
    <w:pPr>
      <w:pBdr>
        <w:bottom w:val="single" w:sz="12" w:space="4" w:color="8F1336"/>
      </w:pBdr>
      <w:spacing w:after="300"/>
      <w:contextualSpacing/>
      <w:outlineLvl w:val="0"/>
    </w:pPr>
    <w:rPr>
      <w:rFonts w:eastAsiaTheme="majorEastAsia" w:cstheme="majorBidi"/>
      <w:b/>
      <w:color w:val="8F1336"/>
      <w:spacing w:val="5"/>
      <w:kern w:val="28"/>
      <w:sz w:val="24"/>
      <w:szCs w:val="52"/>
    </w:rPr>
  </w:style>
  <w:style w:type="paragraph" w:styleId="ListNumber">
    <w:name w:val="List Number"/>
    <w:basedOn w:val="Normal"/>
    <w:link w:val="ListNumberChar"/>
    <w:autoRedefine/>
    <w:rsid w:val="002B7622"/>
    <w:pPr>
      <w:numPr>
        <w:numId w:val="9"/>
      </w:numPr>
    </w:pPr>
    <w:rPr>
      <w:rFonts w:eastAsia="Times New Roman" w:cs="Times New Roman"/>
    </w:rPr>
  </w:style>
  <w:style w:type="character" w:customStyle="1" w:styleId="ListNumberChar">
    <w:name w:val="List Number Char"/>
    <w:basedOn w:val="DefaultParagraphFont"/>
    <w:link w:val="ListNumber"/>
    <w:rsid w:val="002B7622"/>
    <w:rPr>
      <w:rFonts w:eastAsia="Times New Roman" w:cs="Times New Roman"/>
      <w:lang w:val="es-ES"/>
    </w:rPr>
  </w:style>
  <w:style w:type="paragraph" w:styleId="ListParagraph">
    <w:name w:val="List Paragraph"/>
    <w:basedOn w:val="Normal"/>
    <w:link w:val="ListParagraphChar"/>
    <w:autoRedefine/>
    <w:qFormat/>
    <w:rsid w:val="002B7622"/>
    <w:pPr>
      <w:numPr>
        <w:numId w:val="12"/>
      </w:numPr>
      <w:contextualSpacing/>
    </w:pPr>
    <w:rPr>
      <w:rFonts w:eastAsia="Calibri" w:cs="Times New Roman"/>
    </w:rPr>
  </w:style>
  <w:style w:type="character" w:customStyle="1" w:styleId="ListParagraphChar">
    <w:name w:val="List Paragraph Char"/>
    <w:link w:val="ListParagraph"/>
    <w:locked/>
    <w:rsid w:val="002B7622"/>
    <w:rPr>
      <w:rFonts w:eastAsia="Calibri" w:cs="Times New Roman"/>
      <w:lang w:val="es-ES"/>
    </w:rPr>
  </w:style>
  <w:style w:type="paragraph" w:customStyle="1" w:styleId="PrghFrasedestacada">
    <w:name w:val="Prgh Frase destacada"/>
    <w:basedOn w:val="Normal"/>
    <w:autoRedefine/>
    <w:qFormat/>
    <w:rsid w:val="002B7622"/>
    <w:rPr>
      <w:b/>
      <w:color w:val="8F1336"/>
      <w:sz w:val="28"/>
      <w:u w:val="single"/>
    </w:rPr>
  </w:style>
  <w:style w:type="paragraph" w:customStyle="1" w:styleId="hiddennotasdi">
    <w:name w:val="[hidden] notas di"/>
    <w:basedOn w:val="Normal"/>
    <w:autoRedefine/>
    <w:qFormat/>
    <w:rsid w:val="002B7622"/>
    <w:pPr>
      <w:shd w:val="clear" w:color="auto" w:fill="FFFF00"/>
      <w:spacing w:line="360" w:lineRule="auto"/>
      <w:contextualSpacing/>
    </w:pPr>
    <w:rPr>
      <w:rFonts w:ascii="Lucida Sans Typewriter" w:eastAsia="Calibri" w:hAnsi="Lucida Sans Typewriter" w:cs="Arial"/>
      <w:vanish/>
      <w:color w:val="8F1336"/>
      <w:sz w:val="16"/>
      <w:szCs w:val="20"/>
      <w:lang w:eastAsia="es-ES"/>
    </w:rPr>
  </w:style>
  <w:style w:type="character" w:customStyle="1" w:styleId="charcursiva">
    <w:name w:val="char cursiva"/>
    <w:basedOn w:val="DefaultParagraphFont"/>
    <w:uiPriority w:val="1"/>
    <w:qFormat/>
    <w:rsid w:val="002B7622"/>
    <w:rPr>
      <w:i/>
      <w:color w:val="8F1336"/>
      <w:lang w:val="es-ES"/>
    </w:rPr>
  </w:style>
  <w:style w:type="character" w:customStyle="1" w:styleId="charnegrita">
    <w:name w:val="char negrita"/>
    <w:basedOn w:val="DefaultParagraphFont"/>
    <w:uiPriority w:val="1"/>
    <w:qFormat/>
    <w:rsid w:val="002B7622"/>
    <w:rPr>
      <w:b/>
      <w:color w:val="8F1336"/>
    </w:rPr>
  </w:style>
  <w:style w:type="character" w:customStyle="1" w:styleId="charnegritacursiva">
    <w:name w:val="char negrita cursiva"/>
    <w:basedOn w:val="DefaultParagraphFont"/>
    <w:uiPriority w:val="1"/>
    <w:qFormat/>
    <w:rsid w:val="002B7622"/>
    <w:rPr>
      <w:b/>
      <w:i/>
      <w:color w:val="1F497D" w:themeColor="text2"/>
      <w:lang w:val="es-ES"/>
    </w:rPr>
  </w:style>
  <w:style w:type="paragraph" w:customStyle="1" w:styleId="PrghSubttulo">
    <w:name w:val="Prgh Subtítulo"/>
    <w:basedOn w:val="Normal"/>
    <w:autoRedefine/>
    <w:qFormat/>
    <w:rsid w:val="002B7622"/>
    <w:rPr>
      <w:rFonts w:eastAsia="Calibri" w:cs="Arial"/>
      <w:b/>
      <w:sz w:val="24"/>
      <w:szCs w:val="24"/>
      <w:lang w:eastAsia="es-ES"/>
    </w:rPr>
  </w:style>
  <w:style w:type="paragraph" w:customStyle="1" w:styleId="PrghIdeafuerza">
    <w:name w:val="Prgh Idea fuerza"/>
    <w:basedOn w:val="Normal"/>
    <w:autoRedefine/>
    <w:rsid w:val="002B7622"/>
    <w:pPr>
      <w:widowControl w:val="0"/>
      <w:pBdr>
        <w:top w:val="single" w:sz="4" w:space="12" w:color="FFFFFF" w:themeColor="background1"/>
        <w:left w:val="single" w:sz="4" w:space="12" w:color="FFFFFF" w:themeColor="background1"/>
        <w:bottom w:val="single" w:sz="4" w:space="18" w:color="FFFFFF" w:themeColor="background1"/>
        <w:right w:val="single" w:sz="4" w:space="12" w:color="FFFFFF" w:themeColor="background1"/>
      </w:pBdr>
      <w:shd w:val="clear" w:color="auto" w:fill="8F1336"/>
      <w:suppressAutoHyphens/>
      <w:spacing w:before="120" w:after="240"/>
      <w:ind w:left="289" w:right="289"/>
      <w:contextualSpacing/>
      <w:jc w:val="both"/>
    </w:pPr>
    <w:rPr>
      <w:rFonts w:eastAsia="Calibri" w:cs="Arial"/>
      <w:color w:val="DCDCDC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2B7622"/>
    <w:rPr>
      <w:color w:val="77050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7622"/>
    <w:pPr>
      <w:outlineLvl w:val="9"/>
    </w:pPr>
    <w:rPr>
      <w:rFonts w:asciiTheme="minorHAnsi" w:hAnsiTheme="minorHAnsi"/>
      <w:color w:val="C00000"/>
      <w:lang w:val="en-US" w:eastAsia="ja-JP"/>
    </w:rPr>
  </w:style>
  <w:style w:type="paragraph" w:styleId="TOC2">
    <w:name w:val="toc 2"/>
    <w:basedOn w:val="TOC1"/>
    <w:next w:val="Normal"/>
    <w:autoRedefine/>
    <w:uiPriority w:val="39"/>
    <w:unhideWhenUsed/>
    <w:qFormat/>
    <w:rsid w:val="002B7622"/>
    <w:pPr>
      <w:ind w:left="862"/>
      <w:outlineLvl w:val="1"/>
    </w:pPr>
    <w:rPr>
      <w:color w:val="555559"/>
      <w:sz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7622"/>
    <w:pPr>
      <w:tabs>
        <w:tab w:val="right" w:leader="dot" w:pos="9350"/>
      </w:tabs>
      <w:spacing w:after="100"/>
      <w:outlineLvl w:val="0"/>
    </w:pPr>
    <w:rPr>
      <w:rFonts w:eastAsiaTheme="minorEastAsia"/>
      <w:b/>
      <w:color w:val="8F1336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B7622"/>
    <w:pPr>
      <w:spacing w:after="100"/>
      <w:ind w:left="1440"/>
      <w:outlineLvl w:val="2"/>
    </w:pPr>
    <w:rPr>
      <w:rFonts w:eastAsiaTheme="minorEastAsia"/>
      <w:b/>
      <w:color w:val="555559"/>
      <w:lang w:val="en-US" w:eastAsia="ja-JP"/>
    </w:rPr>
  </w:style>
  <w:style w:type="paragraph" w:customStyle="1" w:styleId="TITULO2">
    <w:name w:val="TITULO2"/>
    <w:basedOn w:val="TITULO1"/>
    <w:qFormat/>
    <w:rsid w:val="002B7622"/>
    <w:pPr>
      <w:pBdr>
        <w:bottom w:val="dashSmallGap" w:sz="4" w:space="4" w:color="8F1336"/>
      </w:pBdr>
      <w:ind w:left="720"/>
      <w:outlineLvl w:val="1"/>
    </w:pPr>
    <w:rPr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B7622"/>
    <w:pPr>
      <w:spacing w:after="100"/>
      <w:ind w:left="660"/>
      <w:outlineLvl w:val="3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B7622"/>
    <w:pPr>
      <w:spacing w:after="100"/>
      <w:ind w:left="880"/>
      <w:outlineLvl w:val="4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B7622"/>
    <w:pPr>
      <w:spacing w:after="100"/>
      <w:ind w:left="1100"/>
      <w:outlineLvl w:val="5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B7622"/>
    <w:pPr>
      <w:spacing w:after="100"/>
      <w:ind w:left="1320"/>
      <w:outlineLvl w:val="6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B7622"/>
    <w:pPr>
      <w:spacing w:after="100"/>
      <w:ind w:left="1540"/>
      <w:outlineLvl w:val="7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B7622"/>
    <w:pPr>
      <w:spacing w:after="100"/>
      <w:ind w:left="1760"/>
      <w:outlineLvl w:val="8"/>
    </w:pPr>
  </w:style>
  <w:style w:type="paragraph" w:styleId="Footer">
    <w:name w:val="footer"/>
    <w:basedOn w:val="Normal"/>
    <w:link w:val="FooterChar"/>
    <w:uiPriority w:val="99"/>
    <w:unhideWhenUsed/>
    <w:rsid w:val="002B76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622"/>
    <w:rPr>
      <w:lang w:val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62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7622"/>
    <w:rPr>
      <w:sz w:val="20"/>
      <w:szCs w:val="20"/>
      <w:lang w:val="es-ES"/>
    </w:rPr>
  </w:style>
  <w:style w:type="paragraph" w:styleId="TOAHeading">
    <w:name w:val="toa heading"/>
    <w:basedOn w:val="Normal"/>
    <w:next w:val="Normal"/>
    <w:uiPriority w:val="99"/>
    <w:semiHidden/>
    <w:unhideWhenUsed/>
    <w:rsid w:val="002B76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Audio">
    <w:name w:val="Audio"/>
    <w:basedOn w:val="TablaContenidos"/>
    <w:uiPriority w:val="99"/>
    <w:rsid w:val="002B7622"/>
    <w:tblPr>
      <w:tblStyleRowBandSize w:val="1"/>
      <w:tblStyleColBandSize w:val="1"/>
      <w:jc w:val="center"/>
      <w:tblInd w:w="0" w:type="dxa"/>
      <w:tblCellMar>
        <w:top w:w="115" w:type="dxa"/>
        <w:left w:w="58" w:type="dxa"/>
        <w:bottom w:w="115" w:type="dxa"/>
        <w:right w:w="58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Theme="minorHAnsi" w:hAnsiTheme="minorHAnsi"/>
        <w:color w:val="8F1336"/>
        <w:sz w:val="18"/>
        <w:u w:val="none"/>
      </w:rPr>
      <w:tblPr/>
      <w:tcPr>
        <w:shd w:val="clear" w:color="auto" w:fill="D9D9D9" w:themeFill="background1" w:themeFillShade="D9"/>
      </w:tcPr>
    </w:tblStylePr>
    <w:tblStylePr w:type="lastRow">
      <w:rPr>
        <w:color w:val="8F1336"/>
      </w:rPr>
      <w:tblPr/>
      <w:tcPr>
        <w:tcBorders>
          <w:top w:val="single" w:sz="4" w:space="0" w:color="8F1336"/>
          <w:left w:val="single" w:sz="4" w:space="0" w:color="8F1336"/>
          <w:bottom w:val="single" w:sz="4" w:space="0" w:color="8F1336"/>
          <w:right w:val="single" w:sz="4" w:space="0" w:color="8F1336"/>
          <w:insideH w:val="single" w:sz="4" w:space="0" w:color="8F1336"/>
          <w:insideV w:val="single" w:sz="4" w:space="0" w:color="8F1336"/>
        </w:tcBorders>
        <w:shd w:val="clear" w:color="auto" w:fill="DCDCDC"/>
      </w:tcPr>
    </w:tblStylePr>
    <w:tblStylePr w:type="firstCol">
      <w:pPr>
        <w:jc w:val="left"/>
      </w:pPr>
      <w:rPr>
        <w:color w:val="8F1336"/>
        <w:u w:val="none"/>
      </w:rPr>
      <w:tblPr/>
      <w:tcPr>
        <w:shd w:val="clear" w:color="auto" w:fill="BFBFBF" w:themeFill="background1" w:themeFillShade="BF"/>
      </w:tcPr>
    </w:tblStylePr>
    <w:tblStylePr w:type="band1Vert">
      <w:pPr>
        <w:jc w:val="left"/>
      </w:pPr>
    </w:tblStylePr>
    <w:tblStylePr w:type="band1Horz">
      <w:tblPr/>
      <w:tcPr>
        <w:shd w:val="clear" w:color="auto" w:fill="B3B1B1"/>
      </w:tcPr>
    </w:tblStylePr>
    <w:tblStylePr w:type="band2Horz"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customStyle="1" w:styleId="TablaModeloInteractivo">
    <w:name w:val="Tabla Modelo Interactivo"/>
    <w:basedOn w:val="TableNormal"/>
    <w:uiPriority w:val="99"/>
    <w:rsid w:val="002B7622"/>
    <w:pPr>
      <w:spacing w:after="0" w:line="240" w:lineRule="auto"/>
    </w:pPr>
    <w:rPr>
      <w:lang w:val="es-ES"/>
    </w:rPr>
    <w:tblPr>
      <w:tblStyleRowBandSize w:val="1"/>
      <w:tblStyleColBandSize w:val="1"/>
      <w:jc w:val="center"/>
      <w:tblInd w:w="0" w:type="dxa"/>
      <w:tblBorders>
        <w:bottom w:val="single" w:sz="6" w:space="0" w:color="C0504D" w:themeColor="accent2"/>
      </w:tblBorders>
      <w:tblCellMar>
        <w:top w:w="58" w:type="dxa"/>
        <w:left w:w="58" w:type="dxa"/>
        <w:bottom w:w="58" w:type="dxa"/>
        <w:right w:w="58" w:type="dxa"/>
      </w:tblCellMar>
    </w:tblPr>
    <w:trPr>
      <w:jc w:val="center"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0" w:lineRule="atLeast"/>
        <w:ind w:leftChars="0" w:left="0" w:rightChars="0" w:right="0"/>
        <w:mirrorIndents/>
        <w:jc w:val="center"/>
        <w:outlineLvl w:val="9"/>
      </w:pPr>
      <w:rPr>
        <w:rFonts w:ascii="Lucida Sans Unicode" w:hAnsi="Lucida Sans Unicode"/>
        <w:caps w:val="0"/>
        <w:smallCaps w:val="0"/>
        <w:strike w:val="0"/>
        <w:dstrike w:val="0"/>
        <w:outline w:val="0"/>
        <w:shadow w:val="0"/>
        <w:emboss w:val="0"/>
        <w:imprint w:val="0"/>
        <w:vanish/>
        <w:color w:val="FFFFFF" w:themeColor="background1"/>
        <w:sz w:val="16"/>
        <w:vertAlign w:val="baseline"/>
      </w:rPr>
      <w:tblPr/>
      <w:tcPr>
        <w:shd w:val="clear" w:color="auto" w:fill="8F1336"/>
      </w:tcPr>
    </w:tblStylePr>
    <w:tblStylePr w:type="lastRow">
      <w:pPr>
        <w:jc w:val="center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808080" w:themeFill="background1" w:themeFillShade="80"/>
        <w:vAlign w:val="bottom"/>
      </w:tcPr>
    </w:tblStylePr>
    <w:tblStylePr w:type="firstCol">
      <w:pPr>
        <w:wordWrap/>
        <w:jc w:val="left"/>
      </w:pPr>
      <w:rPr>
        <w:color w:val="FFFFFF" w:themeColor="background1"/>
      </w:rPr>
      <w:tblPr/>
      <w:tcPr>
        <w:shd w:val="clear" w:color="auto" w:fill="FFFFFF" w:themeFill="background1"/>
      </w:tcPr>
    </w:tblStylePr>
    <w:tblStylePr w:type="band1Horz">
      <w:pPr>
        <w:wordWrap/>
      </w:pPr>
      <w:rPr>
        <w:b/>
        <w:i w:val="0"/>
        <w:caps w:val="0"/>
        <w:smallCaps w:val="0"/>
        <w:color w:val="F2F2F2" w:themeColor="background1" w:themeShade="F2"/>
      </w:rPr>
      <w:tblPr/>
      <w:tcPr>
        <w:shd w:val="clear" w:color="auto" w:fill="555559"/>
      </w:tcPr>
    </w:tblStylePr>
  </w:style>
  <w:style w:type="paragraph" w:customStyle="1" w:styleId="TITULO3">
    <w:name w:val="TITULO3"/>
    <w:basedOn w:val="TITULO2"/>
    <w:qFormat/>
    <w:rsid w:val="002B7622"/>
    <w:pPr>
      <w:pBdr>
        <w:bottom w:val="dotDotDash" w:sz="4" w:space="4" w:color="770502"/>
      </w:pBdr>
      <w:ind w:left="1440"/>
      <w:outlineLvl w:val="2"/>
    </w:pPr>
    <w:rPr>
      <w:noProof/>
    </w:rPr>
  </w:style>
  <w:style w:type="paragraph" w:styleId="Header">
    <w:name w:val="header"/>
    <w:basedOn w:val="Normal"/>
    <w:link w:val="HeaderChar"/>
    <w:uiPriority w:val="99"/>
    <w:unhideWhenUsed/>
    <w:rsid w:val="002B76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622"/>
    <w:rPr>
      <w:lang w:val="es-ES"/>
    </w:rPr>
  </w:style>
  <w:style w:type="paragraph" w:customStyle="1" w:styleId="AutoNum">
    <w:name w:val="AutoNum"/>
    <w:basedOn w:val="Normal"/>
    <w:autoRedefine/>
    <w:qFormat/>
    <w:rsid w:val="002B7622"/>
    <w:pPr>
      <w:framePr w:hSpace="180" w:wrap="around" w:vAnchor="text" w:hAnchor="text" w:y="1"/>
      <w:suppressOverlap/>
    </w:pPr>
    <w:rPr>
      <w:b/>
      <w:color w:val="943634" w:themeColor="accent2" w:themeShade="BF"/>
      <w:sz w:val="18"/>
      <w:szCs w:val="20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2B76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6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622"/>
    <w:rPr>
      <w:rFonts w:ascii="Segoe UI" w:hAnsi="Segoe UI" w:cs="Segoe UI"/>
      <w:sz w:val="18"/>
      <w:szCs w:val="18"/>
      <w:lang w:val="es-ES"/>
    </w:rPr>
  </w:style>
  <w:style w:type="paragraph" w:styleId="Bibliography">
    <w:name w:val="Bibliography"/>
    <w:basedOn w:val="Normal"/>
    <w:next w:val="Normal"/>
    <w:uiPriority w:val="37"/>
    <w:semiHidden/>
    <w:unhideWhenUsed/>
    <w:rsid w:val="002B7622"/>
  </w:style>
  <w:style w:type="paragraph" w:styleId="BlockText">
    <w:name w:val="Block Text"/>
    <w:basedOn w:val="Normal"/>
    <w:uiPriority w:val="99"/>
    <w:semiHidden/>
    <w:unhideWhenUsed/>
    <w:rsid w:val="002B7622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B76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B7622"/>
    <w:rPr>
      <w:lang w:val="es-E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B76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B7622"/>
    <w:rPr>
      <w:lang w:val="es-E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B762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B7622"/>
    <w:rPr>
      <w:sz w:val="16"/>
      <w:szCs w:val="16"/>
      <w:lang w:val="es-E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B762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B7622"/>
    <w:rPr>
      <w:lang w:val="es-E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762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7622"/>
    <w:rPr>
      <w:lang w:val="es-E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B7622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B7622"/>
    <w:rPr>
      <w:lang w:val="es-E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B762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B7622"/>
    <w:rPr>
      <w:lang w:val="es-E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B762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B7622"/>
    <w:rPr>
      <w:sz w:val="16"/>
      <w:szCs w:val="16"/>
      <w:lang w:val="es-E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7622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B7622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B7622"/>
    <w:rPr>
      <w:lang w:val="es-E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76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7622"/>
    <w:rPr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622"/>
    <w:rPr>
      <w:b/>
      <w:bCs/>
      <w:sz w:val="20"/>
      <w:szCs w:val="20"/>
      <w:lang w:val="es-E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B7622"/>
  </w:style>
  <w:style w:type="character" w:customStyle="1" w:styleId="DateChar">
    <w:name w:val="Date Char"/>
    <w:basedOn w:val="DefaultParagraphFont"/>
    <w:link w:val="Date"/>
    <w:uiPriority w:val="99"/>
    <w:semiHidden/>
    <w:rsid w:val="002B7622"/>
    <w:rPr>
      <w:lang w:val="es-E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B7622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7622"/>
    <w:rPr>
      <w:rFonts w:ascii="Segoe UI" w:hAnsi="Segoe UI" w:cs="Segoe UI"/>
      <w:sz w:val="16"/>
      <w:szCs w:val="16"/>
      <w:lang w:val="es-E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B762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B7622"/>
    <w:rPr>
      <w:lang w:val="es-E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76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7622"/>
    <w:rPr>
      <w:sz w:val="20"/>
      <w:szCs w:val="20"/>
      <w:lang w:val="es-ES"/>
    </w:rPr>
  </w:style>
  <w:style w:type="paragraph" w:styleId="EnvelopeAddress">
    <w:name w:val="envelope address"/>
    <w:basedOn w:val="Normal"/>
    <w:uiPriority w:val="99"/>
    <w:semiHidden/>
    <w:unhideWhenUsed/>
    <w:rsid w:val="002B7622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B7622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B762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B7622"/>
    <w:rPr>
      <w:i/>
      <w:iCs/>
      <w:lang w:val="es-E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622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622"/>
    <w:rPr>
      <w:rFonts w:ascii="Consolas" w:hAnsi="Consolas" w:cs="Consolas"/>
      <w:sz w:val="20"/>
      <w:szCs w:val="20"/>
      <w:lang w:val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B7622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B7622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B7622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B7622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B7622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B7622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B7622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B7622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B7622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B7622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2B762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22"/>
    <w:rPr>
      <w:i/>
      <w:iCs/>
      <w:color w:val="4F81BD" w:themeColor="accent1"/>
      <w:lang w:val="es-ES"/>
    </w:rPr>
  </w:style>
  <w:style w:type="paragraph" w:styleId="List">
    <w:name w:val="List"/>
    <w:basedOn w:val="Normal"/>
    <w:uiPriority w:val="99"/>
    <w:semiHidden/>
    <w:unhideWhenUsed/>
    <w:rsid w:val="002B762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B762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B762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B762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B762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B7622"/>
    <w:pPr>
      <w:numPr>
        <w:numId w:val="4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B7622"/>
    <w:pPr>
      <w:numPr>
        <w:numId w:val="4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B7622"/>
    <w:pPr>
      <w:numPr>
        <w:numId w:val="4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B7622"/>
    <w:pPr>
      <w:numPr>
        <w:numId w:val="4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B7622"/>
    <w:pPr>
      <w:numPr>
        <w:numId w:val="4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B7622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B7622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B7622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B7622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B7622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2B7622"/>
    <w:pPr>
      <w:numPr>
        <w:numId w:val="4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B7622"/>
    <w:pPr>
      <w:numPr>
        <w:numId w:val="4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B7622"/>
    <w:pPr>
      <w:numPr>
        <w:numId w:val="4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B7622"/>
    <w:pPr>
      <w:numPr>
        <w:numId w:val="49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B76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Consolas"/>
      <w:sz w:val="20"/>
      <w:szCs w:val="20"/>
      <w:lang w:val="es-E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7622"/>
    <w:rPr>
      <w:rFonts w:ascii="Consolas" w:hAnsi="Consolas" w:cs="Consolas"/>
      <w:sz w:val="20"/>
      <w:szCs w:val="20"/>
      <w:lang w:val="es-E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B76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B7622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NoSpacing">
    <w:name w:val="No Spacing"/>
    <w:uiPriority w:val="2"/>
    <w:rsid w:val="002B7622"/>
    <w:pPr>
      <w:spacing w:after="0" w:line="240" w:lineRule="auto"/>
    </w:pPr>
    <w:rPr>
      <w:lang w:val="es-ES"/>
    </w:rPr>
  </w:style>
  <w:style w:type="paragraph" w:styleId="NormalWeb">
    <w:name w:val="Normal (Web)"/>
    <w:basedOn w:val="Normal"/>
    <w:uiPriority w:val="99"/>
    <w:semiHidden/>
    <w:unhideWhenUsed/>
    <w:rsid w:val="002B762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B76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B7622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B7622"/>
    <w:rPr>
      <w:lang w:val="es-E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B7622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B7622"/>
    <w:rPr>
      <w:rFonts w:ascii="Consolas" w:hAnsi="Consolas" w:cs="Consolas"/>
      <w:sz w:val="21"/>
      <w:szCs w:val="21"/>
      <w:lang w:val="es-ES"/>
    </w:rPr>
  </w:style>
  <w:style w:type="paragraph" w:styleId="Quote">
    <w:name w:val="Quote"/>
    <w:basedOn w:val="Normal"/>
    <w:next w:val="Normal"/>
    <w:link w:val="QuoteChar"/>
    <w:uiPriority w:val="29"/>
    <w:rsid w:val="002B76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22"/>
    <w:rPr>
      <w:i/>
      <w:iCs/>
      <w:color w:val="404040" w:themeColor="text1" w:themeTint="BF"/>
      <w:lang w:val="es-E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B762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B7622"/>
    <w:rPr>
      <w:lang w:val="es-E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B7622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B7622"/>
    <w:rPr>
      <w:lang w:val="es-ES"/>
    </w:rPr>
  </w:style>
  <w:style w:type="paragraph" w:styleId="Subtitle">
    <w:name w:val="Subtitle"/>
    <w:basedOn w:val="Normal"/>
    <w:next w:val="Normal"/>
    <w:link w:val="SubtitleChar"/>
    <w:uiPriority w:val="9"/>
    <w:rsid w:val="002B76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9"/>
    <w:rsid w:val="002B7622"/>
    <w:rPr>
      <w:rFonts w:eastAsiaTheme="minorEastAsia"/>
      <w:color w:val="5A5A5A" w:themeColor="text1" w:themeTint="A5"/>
      <w:spacing w:val="15"/>
      <w:lang w:val="es-E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B762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B7622"/>
  </w:style>
  <w:style w:type="paragraph" w:styleId="Title">
    <w:name w:val="Title"/>
    <w:basedOn w:val="Normal"/>
    <w:next w:val="Normal"/>
    <w:link w:val="TitleChar"/>
    <w:uiPriority w:val="9"/>
    <w:rsid w:val="002B76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"/>
    <w:rsid w:val="002B762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table" w:customStyle="1" w:styleId="Destacado">
    <w:name w:val="Destacado"/>
    <w:basedOn w:val="TableNormal"/>
    <w:uiPriority w:val="99"/>
    <w:rsid w:val="002B7622"/>
    <w:pPr>
      <w:spacing w:after="0" w:line="240" w:lineRule="auto"/>
    </w:pPr>
    <w:rPr>
      <w:lang w:val="en-US"/>
    </w:rPr>
    <w:tblPr>
      <w:tblInd w:w="0" w:type="dxa"/>
      <w:tblBorders>
        <w:top w:val="single" w:sz="24" w:space="0" w:color="C00000"/>
        <w:left w:val="single" w:sz="24" w:space="0" w:color="C00000"/>
        <w:bottom w:val="single" w:sz="24" w:space="0" w:color="C00000"/>
        <w:right w:val="single" w:sz="24" w:space="0" w:color="C00000"/>
      </w:tblBorders>
      <w:tblCellMar>
        <w:top w:w="567" w:type="dxa"/>
        <w:left w:w="340" w:type="dxa"/>
        <w:bottom w:w="567" w:type="dxa"/>
        <w:right w:w="340" w:type="dxa"/>
      </w:tblCellMar>
    </w:tblPr>
    <w:tcPr>
      <w:shd w:val="clear" w:color="auto" w:fill="D9D9D9" w:themeFill="background1" w:themeFillShade="D9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72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8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966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218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965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20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ri_mini_01\AppData\Local\Apps\2.0\A0C99B7G.LJ4\1PREPRY4.0TM\word..vsto_3200cf2cd4acf69b_0002.0000_7ecc6bc41f0d20bb\Resources\inari-lt.dotx" TargetMode="External"/></Relationships>
</file>

<file path=word/theme/theme1.xml><?xml version="1.0" encoding="utf-8"?>
<a:theme xmlns:a="http://schemas.openxmlformats.org/drawingml/2006/main" name="Inari-lt">
  <a:themeElements>
    <a:clrScheme name="Inari-lt">
      <a:dk1>
        <a:srgbClr val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ari-lt" id="{C34509DB-B028-4A1E-B726-07105EBC11A1}" vid="{894943CE-447B-4618-987A-357AC0BE5DE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inari-lt.dotx</Template>
  <TotalTime>25</TotalTime>
  <Pages>3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inari_mini_01</cp:lastModifiedBy>
  <cp:revision>7</cp:revision>
  <dcterms:created xsi:type="dcterms:W3CDTF">2020-05-26T03:47:00Z</dcterms:created>
  <dcterms:modified xsi:type="dcterms:W3CDTF">2020-05-26T14:40:00Z</dcterms:modified>
</cp:coreProperties>
</file>