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C2C2A"/>
          <w:sz w:val="40"/>
          <w:szCs w:val="40"/>
        </w:rPr>
        <w:t xml:space="preserve">Autoimmune Progesterone Dermatitis: Could This Explain Your Itching?</w:t>
      </w:r>
    </w:p>
    <w:p>
      <w:pPr>
        <w:spacing w:after="60" w:before="0"/>
      </w:pPr>
      <w:r>
        <w:rPr>
          <w:rFonts w:ascii="Arial" w:cs="Arial" w:eastAsia="Arial" w:hAnsi="Arial"/>
          <w:color w:val="5F5E5A"/>
          <w:sz w:val="22"/>
          <w:szCs w:val="22"/>
        </w:rPr>
        <w:t xml:space="preserve">A focused look at APD and how it maps to the pattern in your itch log</w:t>
      </w:r>
    </w:p>
    <w:p>
      <w:pPr>
        <w:pBdr>
          <w:bottom w:val="single" w:color="1F6E56" w:sz="12" w:space="4"/>
        </w:pBdr>
        <w:spacing w:after="0" w:before="0"/>
      </w:pPr>
      <w:r>
        <w:rPr>
          <w:rFonts w:ascii="Arial" w:cs="Arial" w:eastAsia="Arial" w:hAnsi="Arial"/>
          <w:sz w:val="8"/>
          <w:szCs w:val="8"/>
        </w:rPr>
        <w:t xml:space="preserve"/>
      </w:r>
    </w:p>
    <w:p>
      <w:pPr>
        <w:spacing w:after="200" w:before="0"/>
      </w:pPr>
      <w:r>
        <w:t xml:space="preserve"/>
      </w:r>
    </w:p>
    <w:p>
      <w:pPr>
        <w:spacing w:after="80" w:before="60"/>
      </w:pPr>
      <w:r>
        <w:rPr>
          <w:rFonts w:ascii="Arial" w:cs="Arial" w:eastAsia="Arial" w:hAnsi="Arial"/>
          <w:color w:val="2C2C2A"/>
          <w:sz w:val="22"/>
          <w:szCs w:val="22"/>
        </w:rPr>
        <w:t xml:space="preserve">Looking back at your log, there’s a pattern worth naming specifically. Your itch was high during your last period (June 6–9), dropped to its lowest point through the two weeks that followed, and then climbed again right around June 26–27 — about a week before your next period was due. That timing is not random. It matches a documented, diagnosable condition called Autoimmune Progesterone Dermatitis almost precisely.</w:t>
      </w:r>
    </w:p>
    <w:p>
      <w:pPr>
        <w:spacing w:after="80" w:before="0"/>
      </w:pPr>
      <w:r>
        <w:t xml:space="preserve"/>
      </w:r>
    </w:p>
    <w:p>
      <w:pPr>
        <w:spacing w:after="80" w:before="60"/>
      </w:pPr>
      <w:r>
        <w:rPr>
          <w:rFonts w:ascii="Arial" w:cs="Arial" w:eastAsia="Arial" w:hAnsi="Arial"/>
          <w:color w:val="2C2C2A"/>
          <w:sz w:val="22"/>
          <w:szCs w:val="22"/>
        </w:rPr>
        <w:t xml:space="preserve">This document explains what APD is, why the timing in your data fits it, and what a productive conversation with your doctor about it would look like.</w:t>
      </w:r>
    </w:p>
    <w:p>
      <w:pPr>
        <w:spacing w:after="160" w:before="0"/>
      </w:pPr>
      <w:r>
        <w:t xml:space="preserve"/>
      </w:r>
    </w:p>
    <w:p>
      <w:pPr>
        <w:pStyle w:val="Heading2"/>
        <w:pBdr>
          <w:bottom w:val="single" w:color="1F6E56" w:sz="6" w:space="4"/>
        </w:pBdr>
        <w:spacing w:after="120" w:before="280"/>
      </w:pPr>
      <w:r>
        <w:rPr>
          <w:rFonts w:ascii="Arial" w:cs="Arial" w:eastAsia="Arial" w:hAnsi="Arial"/>
          <w:b/>
          <w:bCs/>
          <w:color w:val="1F6E56"/>
          <w:sz w:val="26"/>
          <w:szCs w:val="26"/>
        </w:rPr>
        <w:t xml:space="preserve">What is Autoimmune Progesterone Dermatitis?</w:t>
      </w:r>
    </w:p>
    <w:p>
      <w:pPr>
        <w:spacing w:after="80" w:before="60"/>
      </w:pPr>
      <w:r>
        <w:rPr>
          <w:rFonts w:ascii="Arial" w:cs="Arial" w:eastAsia="Arial" w:hAnsi="Arial"/>
          <w:color w:val="2C2C2A"/>
          <w:sz w:val="22"/>
          <w:szCs w:val="22"/>
        </w:rPr>
        <w:t xml:space="preserve">APD is a cyclical skin condition in which the immune system reacts to the body’s own progesterone — the hormone that rises in the second half of the menstrual cycle (the luteal phase, roughly the two weeks before a period). Rather than recognizing progesterone as a natural hormone, the immune system treats it as a trigger, producing a hypersensitivity reaction that shows up on the skin.</w:t>
      </w:r>
    </w:p>
    <w:p>
      <w:pPr>
        <w:spacing w:after="80" w:before="0"/>
      </w:pPr>
      <w:r>
        <w:t xml:space="preserve"/>
      </w:r>
    </w:p>
    <w:p>
      <w:pPr>
        <w:spacing w:after="80" w:before="60"/>
      </w:pPr>
      <w:r>
        <w:rPr>
          <w:rFonts w:ascii="Arial" w:cs="Arial" w:eastAsia="Arial" w:hAnsi="Arial"/>
          <w:color w:val="2C2C2A"/>
          <w:sz w:val="22"/>
          <w:szCs w:val="22"/>
        </w:rPr>
        <w:t xml:space="preserve">The result is itching, hives, rashes, or other skin symptoms that appear predictably before each period and resolve once menstruation begins and progesterone levels fall.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E56" w:sz="12"/>
              <w:left w:val="none" w:color="FFFFFF" w:sz="0"/>
              <w:bottom w:val="none" w:color="FFFFFF" w:sz="0"/>
              <w:right w:val="none" w:color="FFFFFF" w:sz="0"/>
            </w:tcBorders>
            <w:shd w:fill="E1F5EE" w:val="clear"/>
            <w:tcMar>
              <w:top w:type="dxa" w:w="120"/>
              <w:left w:type="dxa" w:w="180"/>
              <w:bottom w:type="dxa" w:w="120"/>
              <w:right w:type="dxa" w:w="180"/>
            </w:tcMar>
          </w:tcPr>
          <w:p>
            <w:pPr>
              <w:spacing w:after="60" w:before="0"/>
            </w:pPr>
            <w:r>
              <w:rPr>
                <w:rFonts w:ascii="Arial" w:cs="Arial" w:eastAsia="Arial" w:hAnsi="Arial"/>
                <w:b/>
                <w:bCs/>
                <w:color w:val="1F6E56"/>
                <w:sz w:val="18"/>
                <w:szCs w:val="18"/>
              </w:rPr>
              <w:t xml:space="preserve">The key characteristic</w:t>
            </w:r>
          </w:p>
          <w:p>
            <w:pPr>
              <w:spacing w:after="0" w:before="0"/>
            </w:pPr>
            <w:r>
              <w:rPr>
                <w:rFonts w:ascii="Arial" w:cs="Arial" w:eastAsia="Arial" w:hAnsi="Arial"/>
                <w:color w:val="2C2C2A"/>
                <w:sz w:val="22"/>
                <w:szCs w:val="22"/>
              </w:rPr>
              <w:t xml:space="preserve">APD is not random itching. It is cyclical, predictable, and hormone-driven. The itch appears as progesterone peaks, and it clears when progesterone drops after the period starts. That pattern — not any particular appearance of the rash — is what defines the condition.</w:t>
            </w:r>
          </w:p>
        </w:tc>
      </w:tr>
    </w:tbl>
    <w:p>
      <w:pPr>
        <w:spacing w:after="160" w:before="0"/>
      </w:pPr>
      <w:r>
        <w:t xml:space="preserve"/>
      </w:r>
    </w:p>
    <w:p>
      <w:pPr>
        <w:pStyle w:val="Heading2"/>
        <w:pBdr>
          <w:bottom w:val="single" w:color="1F6E56" w:sz="6" w:space="4"/>
        </w:pBdr>
        <w:spacing w:after="120" w:before="280"/>
      </w:pPr>
      <w:r>
        <w:rPr>
          <w:rFonts w:ascii="Arial" w:cs="Arial" w:eastAsia="Arial" w:hAnsi="Arial"/>
          <w:b/>
          <w:bCs/>
          <w:color w:val="1F6E56"/>
          <w:sz w:val="26"/>
          <w:szCs w:val="26"/>
        </w:rPr>
        <w:t xml:space="preserve">How your data maps to APD</w:t>
      </w:r>
    </w:p>
    <w:p>
      <w:pPr>
        <w:spacing w:after="80" w:before="60"/>
      </w:pPr>
      <w:r>
        <w:rPr>
          <w:rFonts w:ascii="Arial" w:cs="Arial" w:eastAsia="Arial" w:hAnsi="Arial"/>
          <w:color w:val="2C2C2A"/>
          <w:sz w:val="22"/>
          <w:szCs w:val="22"/>
        </w:rPr>
        <w:t xml:space="preserve">Using June 6 as your cycle start date, here is how the itch levels in your log align with the hormonal phases of the cycle:</w:t>
      </w:r>
    </w:p>
    <w:p>
      <w:pPr>
        <w:spacing w:after="80" w:before="0"/>
      </w:pPr>
      <w:r>
        <w:t xml:space="preserve"/>
      </w:r>
    </w:p>
    <w:p>
      <w:pPr>
        <w:pStyle w:val="ListParagraph"/>
        <w:numPr>
          <w:ilvl w:val="0"/>
          <w:numId w:val="2"/>
        </w:numPr>
        <w:spacing w:after="60" w:before="40"/>
      </w:pPr>
      <w:r>
        <w:rPr>
          <w:rFonts w:ascii="Arial" w:cs="Arial" w:eastAsia="Arial" w:hAnsi="Arial"/>
          <w:b/>
          <w:bCs/>
          <w:color w:val="2C2C2A"/>
          <w:sz w:val="22"/>
          <w:szCs w:val="22"/>
        </w:rPr>
        <w:t xml:space="preserve">Cycle days 1–5 (Jun 6–9, menstruation): </w:t>
      </w:r>
      <w:r>
        <w:rPr>
          <w:rFonts w:ascii="Arial" w:cs="Arial" w:eastAsia="Arial" w:hAnsi="Arial"/>
          <w:color w:val="2C2C2A"/>
          <w:sz w:val="22"/>
          <w:szCs w:val="22"/>
        </w:rPr>
        <w:t xml:space="preserve">Itch levels 6–8 — high. Progesterone is falling rapidly, which can itself trigger a reactive skin response as levels shift.</w:t>
      </w:r>
    </w:p>
    <w:p>
      <w:pPr>
        <w:pStyle w:val="ListParagraph"/>
        <w:numPr>
          <w:ilvl w:val="0"/>
          <w:numId w:val="2"/>
        </w:numPr>
        <w:spacing w:after="60" w:before="40"/>
      </w:pPr>
      <w:r>
        <w:rPr>
          <w:rFonts w:ascii="Arial" w:cs="Arial" w:eastAsia="Arial" w:hAnsi="Arial"/>
          <w:b/>
          <w:bCs/>
          <w:color w:val="2C2C2A"/>
          <w:sz w:val="22"/>
          <w:szCs w:val="22"/>
        </w:rPr>
        <w:t xml:space="preserve">Cycle days 6–19 (Jun 10–24, follicular phase through ovulation): </w:t>
      </w:r>
      <w:r>
        <w:rPr>
          <w:rFonts w:ascii="Arial" w:cs="Arial" w:eastAsia="Arial" w:hAnsi="Arial"/>
          <w:color w:val="2C2C2A"/>
          <w:sz w:val="22"/>
          <w:szCs w:val="22"/>
        </w:rPr>
        <w:t xml:space="preserve">Itch levels 0–2 consistently — the quietest stretch in the entire dataset. Progesterone is low during this phase, which aligns with the absence of APD symptoms.</w:t>
      </w:r>
    </w:p>
    <w:p>
      <w:pPr>
        <w:pStyle w:val="ListParagraph"/>
        <w:numPr>
          <w:ilvl w:val="0"/>
          <w:numId w:val="2"/>
        </w:numPr>
        <w:spacing w:after="60" w:before="40"/>
      </w:pPr>
      <w:r>
        <w:rPr>
          <w:rFonts w:ascii="Arial" w:cs="Arial" w:eastAsia="Arial" w:hAnsi="Arial"/>
          <w:b/>
          <w:bCs/>
          <w:color w:val="2C2C2A"/>
          <w:sz w:val="22"/>
          <w:szCs w:val="22"/>
        </w:rPr>
        <w:t xml:space="preserve">Cycle days 20–22 (Jun 25–27, early luteal phase): </w:t>
      </w:r>
      <w:r>
        <w:rPr>
          <w:rFonts w:ascii="Arial" w:cs="Arial" w:eastAsia="Arial" w:hAnsi="Arial"/>
          <w:color w:val="2C2C2A"/>
          <w:sz w:val="22"/>
          <w:szCs w:val="22"/>
        </w:rPr>
        <w:t xml:space="preserve">Itch climbs to 2, then jumps to 6 and 5. This is exactly when progesterone begins its peak rise in the luteal phase — the precise window APD literature identifies as the trigger window.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2"/>
              <w:left w:val="none" w:color="FFFFFF" w:sz="0"/>
              <w:bottom w:val="none" w:color="FFFFFF" w:sz="0"/>
              <w:right w:val="none" w:color="FFFFFF" w:sz="0"/>
            </w:tcBorders>
            <w:shd w:fill="FAEEDA" w:val="clear"/>
            <w:tcMar>
              <w:top w:type="dxa" w:w="120"/>
              <w:left w:type="dxa" w:w="180"/>
              <w:bottom w:type="dxa" w:w="120"/>
              <w:right w:type="dxa" w:w="180"/>
            </w:tcMar>
          </w:tcPr>
          <w:p>
            <w:pPr>
              <w:spacing w:after="60" w:before="0"/>
            </w:pPr>
            <w:r>
              <w:rPr>
                <w:rFonts w:ascii="Arial" w:cs="Arial" w:eastAsia="Arial" w:hAnsi="Arial"/>
                <w:b/>
                <w:bCs/>
                <w:color w:val="BA7517"/>
                <w:sz w:val="18"/>
                <w:szCs w:val="18"/>
              </w:rPr>
              <w:t xml:space="preserve">The diagnostic window</w:t>
            </w:r>
          </w:p>
          <w:p>
            <w:pPr>
              <w:spacing w:after="0" w:before="0"/>
            </w:pPr>
            <w:r>
              <w:rPr>
                <w:rFonts w:ascii="Arial" w:cs="Arial" w:eastAsia="Arial" w:hAnsi="Arial"/>
                <w:color w:val="2C2C2A"/>
                <w:sz w:val="22"/>
                <w:szCs w:val="22"/>
              </w:rPr>
              <w:t xml:space="preserve">APD literature describes symptom onset as 3–7 days before menstruation, resolving within days of the period starting. Your June 26–27 flare — approximately 7–10 days before the next expected period — falls squarely within that window. Stress and sleep were both stable on those days, ruling out the obvious confounders.</w:t>
            </w:r>
          </w:p>
        </w:tc>
      </w:tr>
    </w:tbl>
    <w:p>
      <w:pPr>
        <w:spacing w:after="160" w:before="0"/>
      </w:pPr>
      <w:r>
        <w:t xml:space="preserve"/>
      </w:r>
    </w:p>
    <w:p>
      <w:pPr>
        <w:pStyle w:val="Heading2"/>
        <w:pBdr>
          <w:bottom w:val="single" w:color="1F6E56" w:sz="6" w:space="4"/>
        </w:pBdr>
        <w:spacing w:after="120" w:before="280"/>
      </w:pPr>
      <w:r>
        <w:rPr>
          <w:rFonts w:ascii="Arial" w:cs="Arial" w:eastAsia="Arial" w:hAnsi="Arial"/>
          <w:b/>
          <w:bCs/>
          <w:color w:val="1F6E56"/>
          <w:sz w:val="26"/>
          <w:szCs w:val="26"/>
        </w:rPr>
        <w:t xml:space="preserve">Who gets APD and at what age?</w:t>
      </w:r>
    </w:p>
    <w:p>
      <w:pPr>
        <w:spacing w:after="80" w:before="60"/>
      </w:pPr>
      <w:r>
        <w:rPr>
          <w:rFonts w:ascii="Arial" w:cs="Arial" w:eastAsia="Arial" w:hAnsi="Arial"/>
          <w:color w:val="2C2C2A"/>
          <w:sz w:val="22"/>
          <w:szCs w:val="22"/>
        </w:rPr>
        <w:t xml:space="preserve">APD most commonly presents in women in their 20s and 30s, but the published clinical data shows a wider age range than is often cited. A Mayo Clinic retrospective case series found a mean age of onset of 34.3 years, with a documented range of 24 to 54 years. A broader literature review pooling 89 cases across 66 publications reported an age range of 12 to 47 years.</w:t>
      </w:r>
    </w:p>
    <w:p>
      <w:pPr>
        <w:spacing w:after="80" w:before="0"/>
      </w:pPr>
      <w:r>
        <w:t xml:space="preserve"/>
      </w:r>
    </w:p>
    <w:p>
      <w:pPr>
        <w:spacing w:after="80" w:before="60"/>
      </w:pPr>
      <w:r>
        <w:rPr>
          <w:rFonts w:ascii="Arial" w:cs="Arial" w:eastAsia="Arial" w:hAnsi="Arial"/>
          <w:color w:val="2C2C2A"/>
          <w:sz w:val="22"/>
          <w:szCs w:val="22"/>
        </w:rPr>
        <w:t xml:space="preserve">Both DermNet and other clinical sources explicitly note that APD has been documented in “older premenopausal women” — the category that applies here. At 48, provided ovulatory cycles are still occurring, the hormonal mechanism that drives APD remains active.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E56" w:sz="12"/>
              <w:left w:val="none" w:color="FFFFFF" w:sz="0"/>
              <w:bottom w:val="none" w:color="FFFFFF" w:sz="0"/>
              <w:right w:val="none" w:color="FFFFFF" w:sz="0"/>
            </w:tcBorders>
            <w:shd w:fill="E1F5EE" w:val="clear"/>
            <w:tcMar>
              <w:top w:type="dxa" w:w="120"/>
              <w:left w:type="dxa" w:w="180"/>
              <w:bottom w:type="dxa" w:w="120"/>
              <w:right w:type="dxa" w:w="180"/>
            </w:tcMar>
          </w:tcPr>
          <w:p>
            <w:pPr>
              <w:spacing w:after="60" w:before="0"/>
            </w:pPr>
            <w:r>
              <w:rPr>
                <w:rFonts w:ascii="Arial" w:cs="Arial" w:eastAsia="Arial" w:hAnsi="Arial"/>
                <w:b/>
                <w:bCs/>
                <w:color w:val="1F6E56"/>
                <w:sz w:val="18"/>
                <w:szCs w:val="18"/>
              </w:rPr>
              <w:t xml:space="preserve">An important note on timing</w:t>
            </w:r>
          </w:p>
          <w:p>
            <w:pPr>
              <w:spacing w:after="0" w:before="0"/>
            </w:pPr>
            <w:r>
              <w:rPr>
                <w:rFonts w:ascii="Arial" w:cs="Arial" w:eastAsia="Arial" w:hAnsi="Arial"/>
                <w:color w:val="2C2C2A"/>
                <w:sz w:val="22"/>
                <w:szCs w:val="22"/>
              </w:rPr>
              <w:t xml:space="preserve">As perimenopause progresses, cycles may become irregular or occasionally anovulatory. When ovulation doesn’t occur, the luteal-phase progesterone surge is absent or blunted — which could make APD symptoms less predictable or less severe in some cycles. This is worth discussing with a doctor, as it affects both how the condition presents and how it might be managed.</w:t>
            </w:r>
          </w:p>
        </w:tc>
      </w:tr>
    </w:tbl>
    <w:p>
      <w:pPr>
        <w:spacing w:after="160" w:before="0"/>
      </w:pPr>
      <w:r>
        <w:t xml:space="preserve"/>
      </w:r>
    </w:p>
    <w:p>
      <w:pPr>
        <w:pStyle w:val="Heading2"/>
        <w:pBdr>
          <w:bottom w:val="single" w:color="1F6E56" w:sz="6" w:space="4"/>
        </w:pBdr>
        <w:spacing w:after="120" w:before="280"/>
      </w:pPr>
      <w:r>
        <w:rPr>
          <w:rFonts w:ascii="Arial" w:cs="Arial" w:eastAsia="Arial" w:hAnsi="Arial"/>
          <w:b/>
          <w:bCs/>
          <w:color w:val="1F6E56"/>
          <w:sz w:val="26"/>
          <w:szCs w:val="26"/>
        </w:rPr>
        <w:t xml:space="preserve">How APD is diagnosed</w:t>
      </w:r>
    </w:p>
    <w:p>
      <w:pPr>
        <w:spacing w:after="80" w:before="60"/>
      </w:pPr>
      <w:r>
        <w:rPr>
          <w:rFonts w:ascii="Arial" w:cs="Arial" w:eastAsia="Arial" w:hAnsi="Arial"/>
          <w:color w:val="2C2C2A"/>
          <w:sz w:val="22"/>
          <w:szCs w:val="22"/>
        </w:rPr>
        <w:t xml:space="preserve">APD is notoriously difficult to diagnose and is frequently missed or misattributed for years. A Mayo Clinic case series found an average delay of 3.9 years between symptom onset and diagnosis, with some cases going undiagnosed for up to 20 years.</w:t>
      </w:r>
    </w:p>
    <w:p>
      <w:pPr>
        <w:spacing w:after="80" w:before="0"/>
      </w:pPr>
      <w:r>
        <w:t xml:space="preserve"/>
      </w:r>
    </w:p>
    <w:p>
      <w:pPr>
        <w:spacing w:after="80" w:before="60"/>
      </w:pPr>
      <w:r>
        <w:rPr>
          <w:rFonts w:ascii="Arial" w:cs="Arial" w:eastAsia="Arial" w:hAnsi="Arial"/>
          <w:color w:val="2C2C2A"/>
          <w:sz w:val="22"/>
          <w:szCs w:val="22"/>
        </w:rPr>
        <w:t xml:space="preserve">Diagnosis is typically based on:</w:t>
      </w:r>
    </w:p>
    <w:p>
      <w:pPr>
        <w:spacing w:after="60" w:before="0"/>
      </w:pPr>
      <w:r>
        <w:t xml:space="preserve"/>
      </w:r>
    </w:p>
    <w:p>
      <w:pPr>
        <w:pStyle w:val="ListParagraph"/>
        <w:numPr>
          <w:ilvl w:val="0"/>
          <w:numId w:val="2"/>
        </w:numPr>
        <w:spacing w:after="60" w:before="40"/>
      </w:pPr>
      <w:r>
        <w:rPr>
          <w:rFonts w:ascii="Arial" w:cs="Arial" w:eastAsia="Arial" w:hAnsi="Arial"/>
          <w:b/>
          <w:bCs/>
          <w:color w:val="2C2C2A"/>
          <w:sz w:val="22"/>
          <w:szCs w:val="22"/>
        </w:rPr>
        <w:t xml:space="preserve">Cyclical symptom pattern: </w:t>
      </w:r>
      <w:r>
        <w:rPr>
          <w:rFonts w:ascii="Arial" w:cs="Arial" w:eastAsia="Arial" w:hAnsi="Arial"/>
          <w:color w:val="2C2C2A"/>
          <w:sz w:val="22"/>
          <w:szCs w:val="22"/>
        </w:rPr>
        <w:t xml:space="preserve">Symptoms consistently appearing in the luteal phase and resolving after menstruation begins.</w:t>
      </w:r>
    </w:p>
    <w:p>
      <w:pPr>
        <w:pStyle w:val="ListParagraph"/>
        <w:numPr>
          <w:ilvl w:val="0"/>
          <w:numId w:val="2"/>
        </w:numPr>
        <w:spacing w:after="60" w:before="40"/>
      </w:pPr>
      <w:r>
        <w:rPr>
          <w:rFonts w:ascii="Arial" w:cs="Arial" w:eastAsia="Arial" w:hAnsi="Arial"/>
          <w:b/>
          <w:bCs/>
          <w:color w:val="2C2C2A"/>
          <w:sz w:val="22"/>
          <w:szCs w:val="22"/>
        </w:rPr>
        <w:t xml:space="preserve">Progesterone skin test: </w:t>
      </w:r>
      <w:r>
        <w:rPr>
          <w:rFonts w:ascii="Arial" w:cs="Arial" w:eastAsia="Arial" w:hAnsi="Arial"/>
          <w:color w:val="2C2C2A"/>
          <w:sz w:val="22"/>
          <w:szCs w:val="22"/>
        </w:rPr>
        <w:t xml:space="preserve">Intradermal injection of progesterone to confirm hypersensitivity. Positive in roughly two-thirds of confirmed APD cases.</w:t>
      </w:r>
    </w:p>
    <w:p>
      <w:pPr>
        <w:pStyle w:val="ListParagraph"/>
        <w:numPr>
          <w:ilvl w:val="0"/>
          <w:numId w:val="2"/>
        </w:numPr>
        <w:spacing w:after="60" w:before="40"/>
      </w:pPr>
      <w:r>
        <w:rPr>
          <w:rFonts w:ascii="Arial" w:cs="Arial" w:eastAsia="Arial" w:hAnsi="Arial"/>
          <w:b/>
          <w:bCs/>
          <w:color w:val="2C2C2A"/>
          <w:sz w:val="22"/>
          <w:szCs w:val="22"/>
        </w:rPr>
        <w:t xml:space="preserve">Symptom diary: </w:t>
      </w:r>
      <w:r>
        <w:rPr>
          <w:rFonts w:ascii="Arial" w:cs="Arial" w:eastAsia="Arial" w:hAnsi="Arial"/>
          <w:color w:val="2C2C2A"/>
          <w:sz w:val="22"/>
          <w:szCs w:val="22"/>
        </w:rPr>
        <w:t xml:space="preserve">A detailed log of itch severity alongside cycle timing — exactly what your tracker has been building.</w:t>
      </w:r>
    </w:p>
    <w:p>
      <w:pPr>
        <w:pStyle w:val="ListParagraph"/>
        <w:numPr>
          <w:ilvl w:val="0"/>
          <w:numId w:val="2"/>
        </w:numPr>
        <w:spacing w:after="60" w:before="40"/>
      </w:pPr>
      <w:r>
        <w:rPr>
          <w:rFonts w:ascii="Arial" w:cs="Arial" w:eastAsia="Arial" w:hAnsi="Arial"/>
          <w:b/>
          <w:bCs/>
          <w:color w:val="2C2C2A"/>
          <w:sz w:val="22"/>
          <w:szCs w:val="22"/>
        </w:rPr>
        <w:t xml:space="preserve">Exclusion of other causes: </w:t>
      </w:r>
      <w:r>
        <w:rPr>
          <w:rFonts w:ascii="Arial" w:cs="Arial" w:eastAsia="Arial" w:hAnsi="Arial"/>
          <w:color w:val="2C2C2A"/>
          <w:sz w:val="22"/>
          <w:szCs w:val="22"/>
        </w:rPr>
        <w:t xml:space="preserve">Ruling out contact dermatitis, chronic urticaria, and other cyclical skin conditions.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E56" w:sz="12"/>
              <w:left w:val="none" w:color="FFFFFF" w:sz="0"/>
              <w:bottom w:val="none" w:color="FFFFFF" w:sz="0"/>
              <w:right w:val="none" w:color="FFFFFF" w:sz="0"/>
            </w:tcBorders>
            <w:shd w:fill="E1F5EE" w:val="clear"/>
            <w:tcMar>
              <w:top w:type="dxa" w:w="120"/>
              <w:left w:type="dxa" w:w="180"/>
              <w:bottom w:type="dxa" w:w="120"/>
              <w:right w:type="dxa" w:w="180"/>
            </w:tcMar>
          </w:tcPr>
          <w:p>
            <w:pPr>
              <w:spacing w:after="60" w:before="0"/>
            </w:pPr>
            <w:r>
              <w:rPr>
                <w:rFonts w:ascii="Arial" w:cs="Arial" w:eastAsia="Arial" w:hAnsi="Arial"/>
                <w:b/>
                <w:bCs/>
                <w:color w:val="1F6E56"/>
                <w:sz w:val="18"/>
                <w:szCs w:val="18"/>
              </w:rPr>
              <w:t xml:space="preserve">Your tracker is already doing the diagnostic work</w:t>
            </w:r>
          </w:p>
          <w:p>
            <w:pPr>
              <w:spacing w:after="0" w:before="0"/>
            </w:pPr>
            <w:r>
              <w:rPr>
                <w:rFonts w:ascii="Arial" w:cs="Arial" w:eastAsia="Arial" w:hAnsi="Arial"/>
                <w:color w:val="2C2C2A"/>
                <w:sz w:val="22"/>
                <w:szCs w:val="22"/>
              </w:rPr>
              <w:t xml:space="preserve">The itch log you’ve been maintaining — with daily severity scores, symptom location, and timestamps — is precisely the kind of evidence a dermatologist or allergist would want to see. The cycle-phase pattern visible in the data is more useful than a one-time office visit description.</w:t>
            </w:r>
          </w:p>
        </w:tc>
      </w:tr>
    </w:tbl>
    <w:p>
      <w:pPr>
        <w:spacing w:after="160" w:before="0"/>
      </w:pPr>
      <w:r>
        <w:t xml:space="preserve"/>
      </w:r>
    </w:p>
    <w:p>
      <w:pPr>
        <w:pStyle w:val="Heading2"/>
        <w:pBdr>
          <w:bottom w:val="single" w:color="1F6E56" w:sz="6" w:space="4"/>
        </w:pBdr>
        <w:spacing w:after="120" w:before="280"/>
      </w:pPr>
      <w:r>
        <w:rPr>
          <w:rFonts w:ascii="Arial" w:cs="Arial" w:eastAsia="Arial" w:hAnsi="Arial"/>
          <w:b/>
          <w:bCs/>
          <w:color w:val="1F6E56"/>
          <w:sz w:val="26"/>
          <w:szCs w:val="26"/>
        </w:rPr>
        <w:t xml:space="preserve">Treatment options</w:t>
      </w:r>
    </w:p>
    <w:p>
      <w:pPr>
        <w:spacing w:after="80" w:before="60"/>
      </w:pPr>
      <w:r>
        <w:rPr>
          <w:rFonts w:ascii="Arial" w:cs="Arial" w:eastAsia="Arial" w:hAnsi="Arial"/>
          <w:color w:val="2C2C2A"/>
          <w:sz w:val="22"/>
          <w:szCs w:val="22"/>
        </w:rPr>
        <w:t xml:space="preserve">Treatment for APD follows a step-up approach based on severity. The underlying goal across all options is the same: reduce or eliminate the luteal-phase progesterone surge that triggers the reaction.</w:t>
      </w:r>
    </w:p>
    <w:p>
      <w:pPr>
        <w:spacing w:after="80" w:before="0"/>
      </w:pPr>
      <w:r>
        <w:t xml:space="preserve"/>
      </w:r>
    </w:p>
    <w:p>
      <w:pPr>
        <w:pStyle w:val="ListParagraph"/>
        <w:numPr>
          <w:ilvl w:val="0"/>
          <w:numId w:val="2"/>
        </w:numPr>
        <w:spacing w:after="60" w:before="40"/>
      </w:pPr>
      <w:r>
        <w:rPr>
          <w:rFonts w:ascii="Arial" w:cs="Arial" w:eastAsia="Arial" w:hAnsi="Arial"/>
          <w:b/>
          <w:bCs/>
          <w:color w:val="2C2C2A"/>
          <w:sz w:val="22"/>
          <w:szCs w:val="22"/>
        </w:rPr>
        <w:t xml:space="preserve">Antihistamines and corticosteroids: </w:t>
      </w:r>
      <w:r>
        <w:rPr>
          <w:rFonts w:ascii="Arial" w:cs="Arial" w:eastAsia="Arial" w:hAnsi="Arial"/>
          <w:color w:val="2C2C2A"/>
          <w:sz w:val="22"/>
          <w:szCs w:val="22"/>
        </w:rPr>
        <w:t xml:space="preserve">First line for managing symptoms during a flare. Reduces the immune response acutely without addressing the underlying hormonal trigger.</w:t>
      </w:r>
    </w:p>
    <w:p>
      <w:pPr>
        <w:pStyle w:val="ListParagraph"/>
        <w:numPr>
          <w:ilvl w:val="0"/>
          <w:numId w:val="2"/>
        </w:numPr>
        <w:spacing w:after="60" w:before="40"/>
      </w:pPr>
      <w:r>
        <w:rPr>
          <w:rFonts w:ascii="Arial" w:cs="Arial" w:eastAsia="Arial" w:hAnsi="Arial"/>
          <w:b/>
          <w:bCs/>
          <w:color w:val="2C2C2A"/>
          <w:sz w:val="22"/>
          <w:szCs w:val="22"/>
        </w:rPr>
        <w:t xml:space="preserve">Combined oral contraceptives: </w:t>
      </w:r>
      <w:r>
        <w:rPr>
          <w:rFonts w:ascii="Arial" w:cs="Arial" w:eastAsia="Arial" w:hAnsi="Arial"/>
          <w:color w:val="2C2C2A"/>
          <w:sz w:val="22"/>
          <w:szCs w:val="22"/>
        </w:rPr>
        <w:t xml:space="preserve">The standard first-line treatment. Suppresses ovulation, which prevents the luteal-phase progesterone rise entirely. Most patients show significant improvement.</w:t>
      </w:r>
    </w:p>
    <w:p>
      <w:pPr>
        <w:pStyle w:val="ListParagraph"/>
        <w:numPr>
          <w:ilvl w:val="0"/>
          <w:numId w:val="2"/>
        </w:numPr>
        <w:spacing w:after="60" w:before="40"/>
      </w:pPr>
      <w:r>
        <w:rPr>
          <w:rFonts w:ascii="Arial" w:cs="Arial" w:eastAsia="Arial" w:hAnsi="Arial"/>
          <w:b/>
          <w:bCs/>
          <w:color w:val="2C2C2A"/>
          <w:sz w:val="22"/>
          <w:szCs w:val="22"/>
        </w:rPr>
        <w:t xml:space="preserve">GnRH agonists: </w:t>
      </w:r>
      <w:r>
        <w:rPr>
          <w:rFonts w:ascii="Arial" w:cs="Arial" w:eastAsia="Arial" w:hAnsi="Arial"/>
          <w:color w:val="2C2C2A"/>
          <w:sz w:val="22"/>
          <w:szCs w:val="22"/>
        </w:rPr>
        <w:t xml:space="preserve">Stronger ovulation suppression for cases that don’t respond to oral contraceptives. More significant side effects.</w:t>
      </w:r>
    </w:p>
    <w:p>
      <w:pPr>
        <w:pStyle w:val="ListParagraph"/>
        <w:numPr>
          <w:ilvl w:val="0"/>
          <w:numId w:val="2"/>
        </w:numPr>
        <w:spacing w:after="60" w:before="40"/>
      </w:pPr>
      <w:r>
        <w:rPr>
          <w:rFonts w:ascii="Arial" w:cs="Arial" w:eastAsia="Arial" w:hAnsi="Arial"/>
          <w:b/>
          <w:bCs/>
          <w:color w:val="2C2C2A"/>
          <w:sz w:val="22"/>
          <w:szCs w:val="22"/>
        </w:rPr>
        <w:t xml:space="preserve">Tamoxifen or danazol: </w:t>
      </w:r>
      <w:r>
        <w:rPr>
          <w:rFonts w:ascii="Arial" w:cs="Arial" w:eastAsia="Arial" w:hAnsi="Arial"/>
          <w:color w:val="2C2C2A"/>
          <w:sz w:val="22"/>
          <w:szCs w:val="22"/>
        </w:rPr>
        <w:t xml:space="preserve">Second-line hormonal options that suppress the post-ovulation progesterone rise. Used when oral contraceptives are contraindicated or ineffective.</w:t>
      </w:r>
    </w:p>
    <w:p>
      <w:pPr>
        <w:pStyle w:val="ListParagraph"/>
        <w:numPr>
          <w:ilvl w:val="0"/>
          <w:numId w:val="2"/>
        </w:numPr>
        <w:spacing w:after="60" w:before="40"/>
      </w:pPr>
      <w:r>
        <w:rPr>
          <w:rFonts w:ascii="Arial" w:cs="Arial" w:eastAsia="Arial" w:hAnsi="Arial"/>
          <w:b/>
          <w:bCs/>
          <w:color w:val="2C2C2A"/>
          <w:sz w:val="22"/>
          <w:szCs w:val="22"/>
        </w:rPr>
        <w:t xml:space="preserve">Progesterone desensitization: </w:t>
      </w:r>
      <w:r>
        <w:rPr>
          <w:rFonts w:ascii="Arial" w:cs="Arial" w:eastAsia="Arial" w:hAnsi="Arial"/>
          <w:color w:val="2C2C2A"/>
          <w:sz w:val="22"/>
          <w:szCs w:val="22"/>
        </w:rPr>
        <w:t xml:space="preserve">A protocol that uses controlled, repeated progesterone exposure to reduce the hypersensitivity response over time. Oral, intramuscular, and intravaginal protocols exist.</w:t>
      </w:r>
    </w:p>
    <w:p>
      <w:pPr>
        <w:pStyle w:val="ListParagraph"/>
        <w:numPr>
          <w:ilvl w:val="0"/>
          <w:numId w:val="2"/>
        </w:numPr>
        <w:spacing w:after="60" w:before="40"/>
      </w:pPr>
      <w:r>
        <w:rPr>
          <w:rFonts w:ascii="Arial" w:cs="Arial" w:eastAsia="Arial" w:hAnsi="Arial"/>
          <w:b/>
          <w:bCs/>
          <w:color w:val="2C2C2A"/>
          <w:sz w:val="22"/>
          <w:szCs w:val="22"/>
        </w:rPr>
        <w:t xml:space="preserve">Omalizumab: </w:t>
      </w:r>
      <w:r>
        <w:rPr>
          <w:rFonts w:ascii="Arial" w:cs="Arial" w:eastAsia="Arial" w:hAnsi="Arial"/>
          <w:color w:val="2C2C2A"/>
          <w:sz w:val="22"/>
          <w:szCs w:val="22"/>
        </w:rPr>
        <w:t xml:space="preserve">An anti-IgE monoclonal antibody used in at least one documented case of refractory APD. Experimental rather than standard of care.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E56" w:sz="12"/>
              <w:left w:val="none" w:color="FFFFFF" w:sz="0"/>
              <w:bottom w:val="none" w:color="FFFFFF" w:sz="0"/>
              <w:right w:val="none" w:color="FFFFFF" w:sz="0"/>
            </w:tcBorders>
            <w:shd w:fill="E1F5EE" w:val="clear"/>
            <w:tcMar>
              <w:top w:type="dxa" w:w="120"/>
              <w:left w:type="dxa" w:w="180"/>
              <w:bottom w:type="dxa" w:w="120"/>
              <w:right w:type="dxa" w:w="180"/>
            </w:tcMar>
          </w:tcPr>
          <w:p>
            <w:pPr>
              <w:spacing w:after="60" w:before="0"/>
            </w:pPr>
            <w:r>
              <w:rPr>
                <w:rFonts w:ascii="Arial" w:cs="Arial" w:eastAsia="Arial" w:hAnsi="Arial"/>
                <w:b/>
                <w:bCs/>
                <w:color w:val="1F6E56"/>
                <w:sz w:val="18"/>
                <w:szCs w:val="18"/>
              </w:rPr>
              <w:t xml:space="preserve">Natural resolution</w:t>
            </w:r>
          </w:p>
          <w:p>
            <w:pPr>
              <w:spacing w:after="0" w:before="0"/>
            </w:pPr>
            <w:r>
              <w:rPr>
                <w:rFonts w:ascii="Arial" w:cs="Arial" w:eastAsia="Arial" w:hAnsi="Arial"/>
                <w:color w:val="2C2C2A"/>
                <w:sz w:val="22"/>
                <w:szCs w:val="22"/>
              </w:rPr>
              <w:t xml:space="preserve">APD has been documented to resolve on its own in some circumstances. For women approaching menopause, the natural decline in ovulatory cycles eventually removes the progesterone trigger altogether. This doesn’t make treatment unnecessary now, but it is a relevant long-term consideration.</w:t>
            </w:r>
          </w:p>
        </w:tc>
      </w:tr>
    </w:tbl>
    <w:p>
      <w:pPr>
        <w:spacing w:after="160" w:before="0"/>
      </w:pPr>
      <w:r>
        <w:t xml:space="preserve"/>
      </w:r>
    </w:p>
    <w:p>
      <w:pPr>
        <w:pStyle w:val="Heading2"/>
        <w:pBdr>
          <w:bottom w:val="single" w:color="1F6E56" w:sz="6" w:space="4"/>
        </w:pBdr>
        <w:spacing w:after="120" w:before="280"/>
      </w:pPr>
      <w:r>
        <w:rPr>
          <w:rFonts w:ascii="Arial" w:cs="Arial" w:eastAsia="Arial" w:hAnsi="Arial"/>
          <w:b/>
          <w:bCs/>
          <w:color w:val="1F6E56"/>
          <w:sz w:val="26"/>
          <w:szCs w:val="26"/>
        </w:rPr>
        <w:t xml:space="preserve">What to say to your doctor</w:t>
      </w:r>
    </w:p>
    <w:p>
      <w:pPr>
        <w:spacing w:after="80" w:before="60"/>
      </w:pPr>
      <w:r>
        <w:rPr>
          <w:rFonts w:ascii="Arial" w:cs="Arial" w:eastAsia="Arial" w:hAnsi="Arial"/>
          <w:color w:val="2C2C2A"/>
          <w:sz w:val="22"/>
          <w:szCs w:val="22"/>
        </w:rPr>
        <w:t xml:space="preserve">When you bring this to a dermatologist, allergist, or gynecologist, framing it precisely will help avoid the diagnostic delay that’s common with APD. Suggested talking points:</w:t>
      </w:r>
    </w:p>
    <w:p>
      <w:pPr>
        <w:spacing w:after="80" w:before="0"/>
      </w:pPr>
      <w:r>
        <w:t xml:space="preserve"/>
      </w:r>
    </w:p>
    <w:p>
      <w:pPr>
        <w:pStyle w:val="ListParagraph"/>
        <w:numPr>
          <w:ilvl w:val="0"/>
          <w:numId w:val="2"/>
        </w:numPr>
        <w:spacing w:after="60" w:before="40"/>
      </w:pPr>
      <w:r>
        <w:rPr>
          <w:rFonts w:ascii="Arial" w:cs="Arial" w:eastAsia="Arial" w:hAnsi="Arial"/>
          <w:b/>
          <w:bCs/>
          <w:color w:val="2C2C2A"/>
          <w:sz w:val="22"/>
          <w:szCs w:val="22"/>
        </w:rPr>
        <w:t xml:space="preserve">Name the condition directly: </w:t>
      </w:r>
      <w:r>
        <w:rPr>
          <w:rFonts w:ascii="Arial" w:cs="Arial" w:eastAsia="Arial" w:hAnsi="Arial"/>
          <w:color w:val="2C2C2A"/>
          <w:sz w:val="22"/>
          <w:szCs w:val="22"/>
        </w:rPr>
        <w:t xml:space="preserve">“I’d like to be evaluated for Autoimmune Progesterone Dermatitis.” Naming it specifically signals that you’ve done research and moves the conversation past generic itch workups.</w:t>
      </w:r>
    </w:p>
    <w:p>
      <w:pPr>
        <w:pStyle w:val="ListParagraph"/>
        <w:numPr>
          <w:ilvl w:val="0"/>
          <w:numId w:val="2"/>
        </w:numPr>
        <w:spacing w:after="60" w:before="40"/>
      </w:pPr>
      <w:r>
        <w:rPr>
          <w:rFonts w:ascii="Arial" w:cs="Arial" w:eastAsia="Arial" w:hAnsi="Arial"/>
          <w:b/>
          <w:bCs/>
          <w:color w:val="2C2C2A"/>
          <w:sz w:val="22"/>
          <w:szCs w:val="22"/>
        </w:rPr>
        <w:t xml:space="preserve">Lead with the pattern, not the symptoms: </w:t>
      </w:r>
      <w:r>
        <w:rPr>
          <w:rFonts w:ascii="Arial" w:cs="Arial" w:eastAsia="Arial" w:hAnsi="Arial"/>
          <w:color w:val="2C2C2A"/>
          <w:sz w:val="22"/>
          <w:szCs w:val="22"/>
        </w:rPr>
        <w:t xml:space="preserve">“My itch spikes in the week before my period and clears once it starts. It’s been consistent across multiple cycles.” The cyclical timing is the diagnostic key.</w:t>
      </w:r>
    </w:p>
    <w:p>
      <w:pPr>
        <w:pStyle w:val="ListParagraph"/>
        <w:numPr>
          <w:ilvl w:val="0"/>
          <w:numId w:val="2"/>
        </w:numPr>
        <w:spacing w:after="60" w:before="40"/>
      </w:pPr>
      <w:r>
        <w:rPr>
          <w:rFonts w:ascii="Arial" w:cs="Arial" w:eastAsia="Arial" w:hAnsi="Arial"/>
          <w:b/>
          <w:bCs/>
          <w:color w:val="2C2C2A"/>
          <w:sz w:val="22"/>
          <w:szCs w:val="22"/>
        </w:rPr>
        <w:t xml:space="preserve">Bring the log: </w:t>
      </w:r>
      <w:r>
        <w:rPr>
          <w:rFonts w:ascii="Arial" w:cs="Arial" w:eastAsia="Arial" w:hAnsi="Arial"/>
          <w:color w:val="2C2C2A"/>
          <w:sz w:val="22"/>
          <w:szCs w:val="22"/>
        </w:rPr>
        <w:t xml:space="preserve">The spreadsheet with daily itch scores mapped against cycle timing is clinical-quality evidence. Ask if they can review it.</w:t>
      </w:r>
    </w:p>
    <w:p>
      <w:pPr>
        <w:pStyle w:val="ListParagraph"/>
        <w:numPr>
          <w:ilvl w:val="0"/>
          <w:numId w:val="2"/>
        </w:numPr>
        <w:spacing w:after="60" w:before="40"/>
      </w:pPr>
      <w:r>
        <w:rPr>
          <w:rFonts w:ascii="Arial" w:cs="Arial" w:eastAsia="Arial" w:hAnsi="Arial"/>
          <w:b/>
          <w:bCs/>
          <w:color w:val="2C2C2A"/>
          <w:sz w:val="22"/>
          <w:szCs w:val="22"/>
        </w:rPr>
        <w:t xml:space="preserve">Ask about the progesterone skin test: </w:t>
      </w:r>
      <w:r>
        <w:rPr>
          <w:rFonts w:ascii="Arial" w:cs="Arial" w:eastAsia="Arial" w:hAnsi="Arial"/>
          <w:color w:val="2C2C2A"/>
          <w:sz w:val="22"/>
          <w:szCs w:val="22"/>
        </w:rPr>
        <w:t xml:space="preserve">This is the most direct diagnostic tool for APD. Ask specifically whether it’s available and appropriate.</w:t>
      </w:r>
    </w:p>
    <w:p>
      <w:pPr>
        <w:pStyle w:val="ListParagraph"/>
        <w:numPr>
          <w:ilvl w:val="0"/>
          <w:numId w:val="2"/>
        </w:numPr>
        <w:spacing w:after="60" w:before="40"/>
      </w:pPr>
      <w:r>
        <w:rPr>
          <w:rFonts w:ascii="Arial" w:cs="Arial" w:eastAsia="Arial" w:hAnsi="Arial"/>
          <w:b/>
          <w:bCs/>
          <w:color w:val="2C2C2A"/>
          <w:sz w:val="22"/>
          <w:szCs w:val="22"/>
        </w:rPr>
        <w:t xml:space="preserve">Ask about treatment options given your age: </w:t>
      </w:r>
      <w:r>
        <w:rPr>
          <w:rFonts w:ascii="Arial" w:cs="Arial" w:eastAsia="Arial" w:hAnsi="Arial"/>
          <w:color w:val="2C2C2A"/>
          <w:sz w:val="22"/>
          <w:szCs w:val="22"/>
        </w:rPr>
        <w:t xml:space="preserve">Oral contraceptives are first-line but have different risk profiles at 48 versus 28. Ask what the preferred approach is for someone who may be approaching perimenopause.</w:t>
      </w:r>
    </w:p>
    <w:p>
      <w:pPr>
        <w:spacing w:after="200" w:before="0"/>
      </w:pPr>
      <w:r>
        <w:t xml:space="preserve"/>
      </w:r>
    </w:p>
    <w:p>
      <w:pPr>
        <w:pStyle w:val="Heading2"/>
        <w:pBdr>
          <w:bottom w:val="single" w:color="5F5E5A" w:sz="6" w:space="4"/>
        </w:pBdr>
        <w:spacing w:after="120" w:before="280"/>
      </w:pPr>
      <w:r>
        <w:rPr>
          <w:rFonts w:ascii="Arial" w:cs="Arial" w:eastAsia="Arial" w:hAnsi="Arial"/>
          <w:b/>
          <w:bCs/>
          <w:color w:val="5F5E5A"/>
          <w:sz w:val="26"/>
          <w:szCs w:val="26"/>
        </w:rPr>
        <w:t xml:space="preserve">Sources</w:t>
      </w:r>
    </w:p>
    <w:p>
      <w:pPr>
        <w:spacing w:after="60" w:before="0"/>
      </w:pPr>
      <w:r>
        <w:t xml:space="preserve"/>
      </w:r>
    </w:p>
    <w:p>
      <w:pPr>
        <w:spacing w:after="100" w:before="40"/>
        <w:ind w:left="360" w:hanging="360"/>
      </w:pPr>
      <w:r>
        <w:rPr>
          <w:rFonts w:ascii="Arial" w:cs="Arial" w:eastAsia="Arial" w:hAnsi="Arial"/>
          <w:color w:val="2C2C2A"/>
          <w:sz w:val="20"/>
          <w:szCs w:val="20"/>
        </w:rPr>
        <w:t xml:space="preserve">James, T., et al. “The histopathologic features of autoimmune progesterone dermatitis.” Journal of Cutaneous Pathology, 2017.</w:t>
      </w:r>
      <w:r>
        <w:rPr>
          <w:rFonts w:ascii="Arial" w:cs="Arial" w:eastAsia="Arial" w:hAnsi="Arial"/>
          <w:i/>
          <w:iCs/>
          <w:color w:val="185FA5"/>
          <w:sz w:val="18"/>
          <w:szCs w:val="18"/>
        </w:rPr>
        <w:t xml:space="preserve">  onlinelibrary.wiley.com/doi/full/10.1111/cup.12848</w:t>
      </w:r>
    </w:p>
    <w:p>
      <w:pPr>
        <w:spacing w:after="100" w:before="40"/>
        <w:ind w:left="360" w:hanging="360"/>
      </w:pPr>
      <w:r>
        <w:rPr>
          <w:rFonts w:ascii="Arial" w:cs="Arial" w:eastAsia="Arial" w:hAnsi="Arial"/>
          <w:color w:val="2C2C2A"/>
          <w:sz w:val="20"/>
          <w:szCs w:val="20"/>
        </w:rPr>
        <w:t xml:space="preserve">DermNet. “Autoimmune Progesterone Dermatitis (APD).”</w:t>
      </w:r>
      <w:r>
        <w:rPr>
          <w:rFonts w:ascii="Arial" w:cs="Arial" w:eastAsia="Arial" w:hAnsi="Arial"/>
          <w:i/>
          <w:iCs/>
          <w:color w:val="185FA5"/>
          <w:sz w:val="18"/>
          <w:szCs w:val="18"/>
        </w:rPr>
        <w:t xml:space="preserve">  dermnetnz.org/topics/autoimmune-progesterone-dermatitis</w:t>
      </w:r>
    </w:p>
    <w:p>
      <w:pPr>
        <w:spacing w:after="100" w:before="40"/>
        <w:ind w:left="360" w:hanging="360"/>
      </w:pPr>
      <w:r>
        <w:rPr>
          <w:rFonts w:ascii="Arial" w:cs="Arial" w:eastAsia="Arial" w:hAnsi="Arial"/>
          <w:color w:val="2C2C2A"/>
          <w:sz w:val="20"/>
          <w:szCs w:val="20"/>
        </w:rPr>
        <w:t xml:space="preserve">Foer, D., Buchheit, K.M. “Cyclic Targetoid Rash With Menstruation.” Journal of Allergy and Clinical Immunology: In Practice, 2022.</w:t>
      </w:r>
      <w:r>
        <w:rPr>
          <w:rFonts w:ascii="Arial" w:cs="Arial" w:eastAsia="Arial" w:hAnsi="Arial"/>
          <w:i/>
          <w:iCs/>
          <w:color w:val="185FA5"/>
          <w:sz w:val="18"/>
          <w:szCs w:val="18"/>
        </w:rPr>
        <w:t xml:space="preserve">  jaci-inpractice.org/article/S2213-2198(22)00700-0/fulltext</w:t>
      </w:r>
    </w:p>
    <w:p>
      <w:pPr>
        <w:spacing w:after="100" w:before="40"/>
        <w:ind w:left="360" w:hanging="360"/>
      </w:pPr>
      <w:r>
        <w:rPr>
          <w:rFonts w:ascii="Arial" w:cs="Arial" w:eastAsia="Arial" w:hAnsi="Arial"/>
          <w:color w:val="2C2C2A"/>
          <w:sz w:val="20"/>
          <w:szCs w:val="20"/>
        </w:rPr>
        <w:t xml:space="preserve">Mayo Clinic. “Autoimmune progesterone dermatitis: a retrospective case series.” PMC, 2022.</w:t>
      </w:r>
      <w:r>
        <w:rPr>
          <w:rFonts w:ascii="Arial" w:cs="Arial" w:eastAsia="Arial" w:hAnsi="Arial"/>
          <w:i/>
          <w:iCs/>
          <w:color w:val="185FA5"/>
          <w:sz w:val="18"/>
          <w:szCs w:val="18"/>
        </w:rPr>
        <w:t xml:space="preserve">  pmc.ncbi.nlm.nih.gov/articles/PMC9270595/</w:t>
      </w:r>
    </w:p>
    <w:p>
      <w:pPr>
        <w:spacing w:after="100" w:before="40"/>
        <w:ind w:left="360" w:hanging="360"/>
      </w:pPr>
      <w:r>
        <w:rPr>
          <w:rFonts w:ascii="Arial" w:cs="Arial" w:eastAsia="Arial" w:hAnsi="Arial"/>
          <w:color w:val="2C2C2A"/>
          <w:sz w:val="20"/>
          <w:szCs w:val="20"/>
        </w:rPr>
        <w:t xml:space="preserve">Raghunath, R.S., et al. “The menstrual cycle and the skin.” Clinical and Experimental Dermatology, 2015.</w:t>
      </w:r>
      <w:r>
        <w:rPr>
          <w:rFonts w:ascii="Arial" w:cs="Arial" w:eastAsia="Arial" w:hAnsi="Arial"/>
          <w:i/>
          <w:iCs/>
          <w:color w:val="185FA5"/>
          <w:sz w:val="18"/>
          <w:szCs w:val="18"/>
        </w:rPr>
        <w:t xml:space="preserve">  onlinelibrary.wiley.com/doi/full/10.1111/ced.12588</w:t>
      </w:r>
    </w:p>
    <w:p>
      <w:pPr>
        <w:spacing w:after="100" w:before="40"/>
        <w:ind w:left="360" w:hanging="360"/>
      </w:pPr>
      <w:r>
        <w:rPr>
          <w:rFonts w:ascii="Arial" w:cs="Arial" w:eastAsia="Arial" w:hAnsi="Arial"/>
          <w:color w:val="2C2C2A"/>
          <w:sz w:val="20"/>
          <w:szCs w:val="20"/>
        </w:rPr>
        <w:t xml:space="preserve">Whole course of treatment of APD that had spontaneously resolved during pregnancy. Frontiers in Immunology, 2022.</w:t>
      </w:r>
      <w:r>
        <w:rPr>
          <w:rFonts w:ascii="Arial" w:cs="Arial" w:eastAsia="Arial" w:hAnsi="Arial"/>
          <w:i/>
          <w:iCs/>
          <w:color w:val="185FA5"/>
          <w:sz w:val="18"/>
          <w:szCs w:val="18"/>
        </w:rPr>
        <w:t xml:space="preserve">  frontiersin.org/journals/immunology/articles/10.3389/fimmu.2022.939083/full</w:t>
      </w:r>
    </w:p>
    <w:p>
      <w:pPr>
        <w:spacing w:after="100" w:before="40"/>
        <w:ind w:left="360" w:hanging="360"/>
      </w:pPr>
      <w:r>
        <w:rPr>
          <w:rFonts w:ascii="Arial" w:cs="Arial" w:eastAsia="Arial" w:hAnsi="Arial"/>
          <w:color w:val="2C2C2A"/>
          <w:sz w:val="20"/>
          <w:szCs w:val="20"/>
        </w:rPr>
        <w:t xml:space="preserve">Healor. “Progesterone Induced Dermatitis: Expert advice.” 2026.</w:t>
      </w:r>
      <w:r>
        <w:rPr>
          <w:rFonts w:ascii="Arial" w:cs="Arial" w:eastAsia="Arial" w:hAnsi="Arial"/>
          <w:i/>
          <w:iCs/>
          <w:color w:val="185FA5"/>
          <w:sz w:val="18"/>
          <w:szCs w:val="18"/>
        </w:rPr>
        <w:t xml:space="preserve">  healor.com/progesterone-induced-dermatitis/</w:t>
      </w:r>
    </w:p>
    <w:p>
      <w:pPr>
        <w:spacing w:after="160" w:before="0"/>
      </w:pPr>
      <w:r>
        <w:t xml:space="preserve"/>
      </w:r>
    </w:p>
    <w:p>
      <w:pPr>
        <w:pBdr>
          <w:top w:val="single" w:color="CCCCCC" w:sz="6" w:space="4"/>
        </w:pBdr>
        <w:spacing w:after="0" w:before="0"/>
      </w:pPr>
      <w:r>
        <w:rPr>
          <w:sz w:val="8"/>
          <w:szCs w:val="8"/>
        </w:rPr>
        <w:t xml:space="preserve"/>
      </w:r>
    </w:p>
    <w:p>
      <w:pPr>
        <w:spacing w:after="80" w:before="0"/>
      </w:pPr>
      <w:r>
        <w:t xml:space="preserve"/>
      </w:r>
    </w:p>
    <w:p>
      <w:pPr>
        <w:spacing w:after="0" w:before="0"/>
      </w:pPr>
      <w:r>
        <w:rPr>
          <w:rFonts w:ascii="Arial" w:cs="Arial" w:eastAsia="Arial" w:hAnsi="Arial"/>
          <w:i/>
          <w:iCs/>
          <w:color w:val="5F5E5A"/>
          <w:sz w:val="18"/>
          <w:szCs w:val="18"/>
        </w:rPr>
        <w:t xml:space="preserve">This document is informational and not a medical diagnosis. All findings should be discussed with a qualified physician, dermatologist, or gynecologist.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2026-07-04T19:55:29.597Z</dcterms:created>
  <dcterms:modified xsi:type="dcterms:W3CDTF">2026-07-04T19:55:29.621Z</dcterms:modified>
</cp:coreProperties>
</file>

<file path=docProps/custom.xml><?xml version="1.0" encoding="utf-8"?>
<Properties xmlns="http://schemas.openxmlformats.org/officeDocument/2006/custom-properties" xmlns:vt="http://schemas.openxmlformats.org/officeDocument/2006/docPropsVTypes"/>
</file>