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65B4" w:rsidRDefault="00D0335B">
      <w:pPr>
        <w:pStyle w:val="Title"/>
      </w:pPr>
      <w:r>
        <w:t>Homework 1</w:t>
      </w:r>
    </w:p>
    <w:p w:rsidR="00E965B4" w:rsidRDefault="00D0335B" w:rsidP="00A75B4E">
      <w:pPr>
        <w:pStyle w:val="Author"/>
        <w:spacing w:after="240"/>
      </w:pPr>
      <w:r>
        <w:t>Joyce LJ Woznica</w:t>
      </w:r>
    </w:p>
    <w:p w:rsidR="00E965B4" w:rsidRDefault="00D0335B">
      <w:pPr>
        <w:pStyle w:val="Heading1"/>
      </w:pPr>
      <w:r>
        <w:t>Introduction</w:t>
      </w:r>
    </w:p>
    <w:p w:rsidR="00B13798" w:rsidRDefault="00B13798" w:rsidP="00B13798">
      <w:pPr>
        <w:rPr>
          <w:szCs w:val="22"/>
        </w:rPr>
      </w:pPr>
      <w:r>
        <w:rPr>
          <w:szCs w:val="22"/>
        </w:rPr>
        <w:t xml:space="preserve">Each race conducted at a New York Thoroughbred racetrack is observed by three stewards: one employed by the Racing and Wagering Board, one employed by the racing association and one employed by the Jockey Club. At the harness tracks, each race is observed by three judges who all serve as employees of the Racing and Wagering Board. The stewards’ and judges’ viewing stand is located near the finish line of each racetrack and is equipped with several television monitors to permit the viewing of multiple angles of each race. The stewards and judges observe the races </w:t>
      </w:r>
      <w:r w:rsidR="003F18F8">
        <w:rPr>
          <w:szCs w:val="22"/>
        </w:rPr>
        <w:t xml:space="preserve">and the race grounds </w:t>
      </w:r>
      <w:r>
        <w:rPr>
          <w:szCs w:val="22"/>
        </w:rPr>
        <w:t>to ensure that all conduct is in accordance with rules and regulations.</w:t>
      </w:r>
    </w:p>
    <w:p w:rsidR="00B13798" w:rsidRDefault="00B13798" w:rsidP="007316CF">
      <w:pPr>
        <w:rPr>
          <w:szCs w:val="22"/>
        </w:rPr>
      </w:pPr>
      <w:r>
        <w:rPr>
          <w:szCs w:val="22"/>
        </w:rPr>
        <w:t xml:space="preserve">The hopes are that with citing individuals breaking the rules will help mitigate risk as well as encourage compliance with rules in the future. Since the </w:t>
      </w:r>
      <w:r w:rsidR="00333E81">
        <w:rPr>
          <w:szCs w:val="22"/>
        </w:rPr>
        <w:t>horse racing industry is plagued with accidents resulting in equine injur</w:t>
      </w:r>
      <w:r>
        <w:rPr>
          <w:szCs w:val="22"/>
        </w:rPr>
        <w:t xml:space="preserve">y, rules exist to attempt to minimize these incidents. </w:t>
      </w:r>
      <w:r w:rsidR="00333E81">
        <w:rPr>
          <w:szCs w:val="22"/>
        </w:rPr>
        <w:t xml:space="preserve">Further investigation can shed light on contributing factors and provide insight into what leads to the high number of </w:t>
      </w:r>
      <w:r>
        <w:rPr>
          <w:szCs w:val="22"/>
        </w:rPr>
        <w:t>infractions</w:t>
      </w:r>
      <w:r w:rsidR="00333E81">
        <w:rPr>
          <w:szCs w:val="22"/>
        </w:rPr>
        <w:t xml:space="preserve">. Armed with this information, tracks can put the proper constraints in place in the future to minimize </w:t>
      </w:r>
      <w:r>
        <w:rPr>
          <w:szCs w:val="22"/>
        </w:rPr>
        <w:t xml:space="preserve">infractions that could also minimize </w:t>
      </w:r>
      <w:r w:rsidR="00333E81">
        <w:rPr>
          <w:szCs w:val="22"/>
        </w:rPr>
        <w:t xml:space="preserve">incidents. </w:t>
      </w:r>
    </w:p>
    <w:p w:rsidR="00D0335B" w:rsidRPr="007316CF" w:rsidRDefault="00D91A25" w:rsidP="007316CF">
      <w:pPr>
        <w:pStyle w:val="Heading1"/>
      </w:pPr>
      <w:r w:rsidRPr="007316CF">
        <w:t>Data</w:t>
      </w:r>
    </w:p>
    <w:p w:rsidR="00B13798" w:rsidRDefault="00B13798" w:rsidP="00B13798">
      <w:pPr>
        <w:rPr>
          <w:szCs w:val="22"/>
        </w:rPr>
      </w:pPr>
      <w:r>
        <w:rPr>
          <w:szCs w:val="22"/>
        </w:rPr>
        <w:t xml:space="preserve">To </w:t>
      </w:r>
      <w:r w:rsidR="003F18F8">
        <w:rPr>
          <w:szCs w:val="22"/>
        </w:rPr>
        <w:t>begin</w:t>
      </w:r>
      <w:r>
        <w:rPr>
          <w:szCs w:val="22"/>
        </w:rPr>
        <w:t xml:space="preserve"> such an investigation, a subset of both harness and thoroughbred racetracks within New York State (NYS) has been studied.</w:t>
      </w:r>
      <w:r w:rsidR="00D81D78">
        <w:rPr>
          <w:szCs w:val="22"/>
        </w:rPr>
        <w:t xml:space="preserve"> Although three datasets are available and will be used for my final project</w:t>
      </w:r>
      <w:r w:rsidR="003F18F8">
        <w:rPr>
          <w:szCs w:val="22"/>
        </w:rPr>
        <w:t xml:space="preserve"> in the course</w:t>
      </w:r>
      <w:r w:rsidR="00D81D78">
        <w:rPr>
          <w:szCs w:val="22"/>
        </w:rPr>
        <w:t xml:space="preserve">, for this homework assignment, </w:t>
      </w:r>
      <w:r w:rsidR="003F18F8">
        <w:rPr>
          <w:szCs w:val="22"/>
        </w:rPr>
        <w:t xml:space="preserve">only </w:t>
      </w:r>
      <w:r w:rsidR="00D81D78">
        <w:rPr>
          <w:szCs w:val="22"/>
        </w:rPr>
        <w:t xml:space="preserve">the </w:t>
      </w:r>
      <w:r w:rsidR="003F18F8">
        <w:rPr>
          <w:szCs w:val="22"/>
        </w:rPr>
        <w:t xml:space="preserve">rulings data set </w:t>
      </w:r>
      <w:r w:rsidR="00D81D78">
        <w:rPr>
          <w:szCs w:val="22"/>
        </w:rPr>
        <w:t>was used for analysis.</w:t>
      </w:r>
    </w:p>
    <w:p w:rsidR="00D91A25" w:rsidRPr="007316CF" w:rsidRDefault="003F18F8" w:rsidP="007316CF">
      <w:pPr>
        <w:pStyle w:val="Heading2"/>
      </w:pPr>
      <w:r>
        <w:t>Rulings (Infractions)</w:t>
      </w:r>
      <w:r w:rsidR="00D91A25" w:rsidRPr="007316CF">
        <w:t xml:space="preserve"> Data</w:t>
      </w:r>
    </w:p>
    <w:p w:rsidR="00D91A25" w:rsidRPr="00D91A25" w:rsidRDefault="00D91A25" w:rsidP="00D91A25">
      <w:r>
        <w:rPr>
          <w:szCs w:val="22"/>
        </w:rPr>
        <w:t>There are few racing jurisdictions that have equaled New York’s strong stand on integrity in horse racing. Over the past decade, the Board has enabled more capable and qualified people to become stewards and presiding judges and now have a cadre of qualified individuals who have passed newly instituted coursework</w:t>
      </w:r>
      <w:r w:rsidR="00D81D78">
        <w:rPr>
          <w:szCs w:val="22"/>
        </w:rPr>
        <w:t xml:space="preserve"> are monitoring horse racing events.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78"/>
        <w:gridCol w:w="1620"/>
        <w:gridCol w:w="5850"/>
      </w:tblGrid>
      <w:tr w:rsidR="00D91A25" w:rsidRPr="00D81D78" w:rsidTr="00266F42">
        <w:trPr>
          <w:trHeight w:val="118"/>
        </w:trPr>
        <w:tc>
          <w:tcPr>
            <w:tcW w:w="2178" w:type="dxa"/>
          </w:tcPr>
          <w:p w:rsidR="00D91A25" w:rsidRPr="00D81D78" w:rsidRDefault="00D91A25" w:rsidP="00D81D78">
            <w:pPr>
              <w:pStyle w:val="tNormal"/>
              <w:rPr>
                <w:b/>
                <w:bCs/>
              </w:rPr>
            </w:pPr>
            <w:r w:rsidRPr="00D81D78">
              <w:rPr>
                <w:b/>
                <w:bCs/>
              </w:rPr>
              <w:t xml:space="preserve">Data Label </w:t>
            </w:r>
          </w:p>
        </w:tc>
        <w:tc>
          <w:tcPr>
            <w:tcW w:w="1620" w:type="dxa"/>
          </w:tcPr>
          <w:p w:rsidR="00D91A25" w:rsidRPr="00D81D78" w:rsidRDefault="00D91A25" w:rsidP="00D81D78">
            <w:pPr>
              <w:pStyle w:val="tNormal"/>
              <w:rPr>
                <w:b/>
                <w:bCs/>
              </w:rPr>
            </w:pPr>
            <w:r w:rsidRPr="00D81D78">
              <w:rPr>
                <w:b/>
                <w:bCs/>
              </w:rPr>
              <w:t xml:space="preserve">Data Type </w:t>
            </w:r>
          </w:p>
        </w:tc>
        <w:tc>
          <w:tcPr>
            <w:tcW w:w="5850" w:type="dxa"/>
          </w:tcPr>
          <w:p w:rsidR="00D91A25" w:rsidRPr="00D81D78" w:rsidRDefault="00D91A25" w:rsidP="00D81D78">
            <w:pPr>
              <w:pStyle w:val="tNormal"/>
              <w:rPr>
                <w:b/>
                <w:bCs/>
              </w:rPr>
            </w:pPr>
            <w:r w:rsidRPr="00D81D78">
              <w:rPr>
                <w:b/>
                <w:bCs/>
              </w:rPr>
              <w:t xml:space="preserve">Data Description </w:t>
            </w:r>
          </w:p>
        </w:tc>
      </w:tr>
      <w:tr w:rsidR="00D91A25" w:rsidRPr="00D81D78" w:rsidTr="00266F42">
        <w:trPr>
          <w:trHeight w:val="111"/>
        </w:trPr>
        <w:tc>
          <w:tcPr>
            <w:tcW w:w="2178" w:type="dxa"/>
          </w:tcPr>
          <w:p w:rsidR="00D91A25" w:rsidRPr="00D81D78" w:rsidRDefault="00D91A25" w:rsidP="00D81D78">
            <w:pPr>
              <w:pStyle w:val="tNormal"/>
            </w:pPr>
            <w:r w:rsidRPr="00D81D78">
              <w:t xml:space="preserve">Fine Year </w:t>
            </w:r>
          </w:p>
        </w:tc>
        <w:tc>
          <w:tcPr>
            <w:tcW w:w="1620" w:type="dxa"/>
          </w:tcPr>
          <w:p w:rsidR="00D91A25" w:rsidRPr="00D81D78" w:rsidRDefault="00D91A25" w:rsidP="00D81D78">
            <w:pPr>
              <w:pStyle w:val="tNormal"/>
            </w:pPr>
            <w:r w:rsidRPr="00D81D78">
              <w:t xml:space="preserve">Numeric </w:t>
            </w:r>
          </w:p>
        </w:tc>
        <w:tc>
          <w:tcPr>
            <w:tcW w:w="5850" w:type="dxa"/>
          </w:tcPr>
          <w:p w:rsidR="00D91A25" w:rsidRPr="00D81D78" w:rsidRDefault="00D91A25" w:rsidP="00D81D78">
            <w:pPr>
              <w:pStyle w:val="tNormal"/>
            </w:pPr>
            <w:r w:rsidRPr="00D81D78">
              <w:t xml:space="preserve">Year of ruling </w:t>
            </w:r>
          </w:p>
        </w:tc>
      </w:tr>
      <w:tr w:rsidR="00D91A25" w:rsidRPr="00D81D78" w:rsidTr="00266F42">
        <w:trPr>
          <w:trHeight w:val="111"/>
        </w:trPr>
        <w:tc>
          <w:tcPr>
            <w:tcW w:w="2178" w:type="dxa"/>
          </w:tcPr>
          <w:p w:rsidR="00D91A25" w:rsidRPr="00D81D78" w:rsidRDefault="00D91A25" w:rsidP="00D81D78">
            <w:pPr>
              <w:pStyle w:val="tNormal"/>
            </w:pPr>
            <w:r w:rsidRPr="00D81D78">
              <w:t xml:space="preserve">Notice </w:t>
            </w:r>
          </w:p>
        </w:tc>
        <w:tc>
          <w:tcPr>
            <w:tcW w:w="1620" w:type="dxa"/>
          </w:tcPr>
          <w:p w:rsidR="00D91A25" w:rsidRPr="00D81D78" w:rsidRDefault="00D91A25" w:rsidP="00D81D78">
            <w:pPr>
              <w:pStyle w:val="tNormal"/>
            </w:pPr>
            <w:r w:rsidRPr="00D81D78">
              <w:t xml:space="preserve">Text </w:t>
            </w:r>
          </w:p>
        </w:tc>
        <w:tc>
          <w:tcPr>
            <w:tcW w:w="5850" w:type="dxa"/>
          </w:tcPr>
          <w:p w:rsidR="00D91A25" w:rsidRPr="00D81D78" w:rsidRDefault="00D91A25" w:rsidP="00D81D78">
            <w:pPr>
              <w:pStyle w:val="tNormal"/>
            </w:pPr>
            <w:r w:rsidRPr="00D81D78">
              <w:t xml:space="preserve">Notice ID number </w:t>
            </w:r>
          </w:p>
        </w:tc>
      </w:tr>
      <w:tr w:rsidR="00D91A25" w:rsidRPr="00D81D78" w:rsidTr="00266F42">
        <w:trPr>
          <w:trHeight w:val="111"/>
        </w:trPr>
        <w:tc>
          <w:tcPr>
            <w:tcW w:w="2178" w:type="dxa"/>
          </w:tcPr>
          <w:p w:rsidR="00D91A25" w:rsidRPr="00D81D78" w:rsidRDefault="00D91A25" w:rsidP="00D81D78">
            <w:pPr>
              <w:pStyle w:val="tNormal"/>
            </w:pPr>
            <w:r w:rsidRPr="00D81D78">
              <w:t xml:space="preserve">Full Name </w:t>
            </w:r>
          </w:p>
        </w:tc>
        <w:tc>
          <w:tcPr>
            <w:tcW w:w="1620" w:type="dxa"/>
          </w:tcPr>
          <w:p w:rsidR="00D91A25" w:rsidRPr="00D81D78" w:rsidRDefault="00D91A25" w:rsidP="00D81D78">
            <w:pPr>
              <w:pStyle w:val="tNormal"/>
            </w:pPr>
            <w:r w:rsidRPr="00D81D78">
              <w:t xml:space="preserve">Text </w:t>
            </w:r>
          </w:p>
        </w:tc>
        <w:tc>
          <w:tcPr>
            <w:tcW w:w="5850" w:type="dxa"/>
          </w:tcPr>
          <w:p w:rsidR="00D91A25" w:rsidRPr="00D81D78" w:rsidRDefault="00D91A25" w:rsidP="00D81D78">
            <w:pPr>
              <w:pStyle w:val="tNormal"/>
            </w:pPr>
            <w:r w:rsidRPr="00D81D78">
              <w:t xml:space="preserve">Licensee’s full name </w:t>
            </w:r>
          </w:p>
        </w:tc>
      </w:tr>
      <w:tr w:rsidR="00D91A25" w:rsidRPr="00D81D78" w:rsidTr="00266F42">
        <w:trPr>
          <w:trHeight w:val="111"/>
        </w:trPr>
        <w:tc>
          <w:tcPr>
            <w:tcW w:w="2178" w:type="dxa"/>
          </w:tcPr>
          <w:p w:rsidR="00D91A25" w:rsidRPr="00D81D78" w:rsidRDefault="00D91A25" w:rsidP="00D81D78">
            <w:pPr>
              <w:pStyle w:val="tNormal"/>
            </w:pPr>
            <w:r w:rsidRPr="00D81D78">
              <w:t xml:space="preserve">Race Track </w:t>
            </w:r>
          </w:p>
        </w:tc>
        <w:tc>
          <w:tcPr>
            <w:tcW w:w="1620" w:type="dxa"/>
          </w:tcPr>
          <w:p w:rsidR="00D91A25" w:rsidRPr="00D81D78" w:rsidRDefault="00D91A25" w:rsidP="00D81D78">
            <w:pPr>
              <w:pStyle w:val="tNormal"/>
            </w:pPr>
            <w:r w:rsidRPr="00D81D78">
              <w:t xml:space="preserve">Text </w:t>
            </w:r>
          </w:p>
        </w:tc>
        <w:tc>
          <w:tcPr>
            <w:tcW w:w="5850" w:type="dxa"/>
          </w:tcPr>
          <w:p w:rsidR="00D91A25" w:rsidRPr="00D81D78" w:rsidRDefault="00D91A25" w:rsidP="00D81D78">
            <w:pPr>
              <w:pStyle w:val="tNormal"/>
            </w:pPr>
            <w:r w:rsidRPr="00D81D78">
              <w:t xml:space="preserve">Issuing location </w:t>
            </w:r>
          </w:p>
        </w:tc>
      </w:tr>
      <w:tr w:rsidR="00D91A25" w:rsidRPr="00D81D78" w:rsidTr="00266F42">
        <w:trPr>
          <w:trHeight w:val="237"/>
        </w:trPr>
        <w:tc>
          <w:tcPr>
            <w:tcW w:w="2178" w:type="dxa"/>
          </w:tcPr>
          <w:p w:rsidR="00D91A25" w:rsidRPr="00D81D78" w:rsidRDefault="00D91A25" w:rsidP="00D81D78">
            <w:pPr>
              <w:pStyle w:val="tNormal"/>
            </w:pPr>
            <w:r w:rsidRPr="00D81D78">
              <w:t xml:space="preserve">Race Type </w:t>
            </w:r>
          </w:p>
        </w:tc>
        <w:tc>
          <w:tcPr>
            <w:tcW w:w="1620" w:type="dxa"/>
          </w:tcPr>
          <w:p w:rsidR="00D91A25" w:rsidRPr="00D81D78" w:rsidRDefault="00D91A25" w:rsidP="00D81D78">
            <w:pPr>
              <w:pStyle w:val="tNormal"/>
            </w:pPr>
            <w:r w:rsidRPr="00D81D78">
              <w:t xml:space="preserve">Text </w:t>
            </w:r>
          </w:p>
        </w:tc>
        <w:tc>
          <w:tcPr>
            <w:tcW w:w="5850" w:type="dxa"/>
          </w:tcPr>
          <w:p w:rsidR="00D91A25" w:rsidRPr="00D81D78" w:rsidRDefault="00D91A25" w:rsidP="00D81D78">
            <w:pPr>
              <w:pStyle w:val="tNormal"/>
            </w:pPr>
            <w:r w:rsidRPr="00D81D78">
              <w:t xml:space="preserve">Racing division: Harness or Thoroughbred; “?” indicates unknown </w:t>
            </w:r>
          </w:p>
        </w:tc>
      </w:tr>
      <w:tr w:rsidR="00D91A25" w:rsidRPr="00D81D78" w:rsidTr="00266F42">
        <w:trPr>
          <w:trHeight w:val="111"/>
        </w:trPr>
        <w:tc>
          <w:tcPr>
            <w:tcW w:w="2178" w:type="dxa"/>
          </w:tcPr>
          <w:p w:rsidR="00D91A25" w:rsidRPr="00D81D78" w:rsidRDefault="00D91A25" w:rsidP="00D81D78">
            <w:pPr>
              <w:pStyle w:val="tNormal"/>
            </w:pPr>
            <w:r w:rsidRPr="00D81D78">
              <w:t xml:space="preserve">Type </w:t>
            </w:r>
          </w:p>
        </w:tc>
        <w:tc>
          <w:tcPr>
            <w:tcW w:w="1620" w:type="dxa"/>
          </w:tcPr>
          <w:p w:rsidR="00D91A25" w:rsidRPr="00D81D78" w:rsidRDefault="00D91A25" w:rsidP="00D81D78">
            <w:pPr>
              <w:pStyle w:val="tNormal"/>
            </w:pPr>
            <w:r w:rsidRPr="00D81D78">
              <w:t xml:space="preserve">Text </w:t>
            </w:r>
          </w:p>
        </w:tc>
        <w:tc>
          <w:tcPr>
            <w:tcW w:w="5850" w:type="dxa"/>
          </w:tcPr>
          <w:p w:rsidR="00D91A25" w:rsidRPr="00D81D78" w:rsidRDefault="00D91A25" w:rsidP="00D81D78">
            <w:pPr>
              <w:pStyle w:val="tNormal"/>
            </w:pPr>
            <w:r w:rsidRPr="00D81D78">
              <w:t xml:space="preserve">Type of ruling: Fine, Suspension, Denial </w:t>
            </w:r>
          </w:p>
        </w:tc>
      </w:tr>
      <w:tr w:rsidR="00D91A25" w:rsidRPr="00D81D78" w:rsidTr="00266F42">
        <w:trPr>
          <w:trHeight w:val="111"/>
        </w:trPr>
        <w:tc>
          <w:tcPr>
            <w:tcW w:w="2178" w:type="dxa"/>
          </w:tcPr>
          <w:p w:rsidR="00D91A25" w:rsidRPr="00D81D78" w:rsidRDefault="00D91A25" w:rsidP="00D81D78">
            <w:pPr>
              <w:pStyle w:val="tNormal"/>
            </w:pPr>
            <w:r w:rsidRPr="00D81D78">
              <w:t xml:space="preserve">Notice Date </w:t>
            </w:r>
          </w:p>
        </w:tc>
        <w:tc>
          <w:tcPr>
            <w:tcW w:w="1620" w:type="dxa"/>
          </w:tcPr>
          <w:p w:rsidR="00D91A25" w:rsidRPr="00D81D78" w:rsidRDefault="00D91A25" w:rsidP="00D81D78">
            <w:pPr>
              <w:pStyle w:val="tNormal"/>
            </w:pPr>
            <w:r w:rsidRPr="00D81D78">
              <w:t xml:space="preserve">Date </w:t>
            </w:r>
          </w:p>
        </w:tc>
        <w:tc>
          <w:tcPr>
            <w:tcW w:w="5850" w:type="dxa"/>
          </w:tcPr>
          <w:p w:rsidR="00D91A25" w:rsidRPr="00D81D78" w:rsidRDefault="00D91A25" w:rsidP="00D81D78">
            <w:pPr>
              <w:pStyle w:val="tNormal"/>
            </w:pPr>
            <w:r w:rsidRPr="00D81D78">
              <w:t xml:space="preserve">Date of Notice for ruling </w:t>
            </w:r>
          </w:p>
        </w:tc>
      </w:tr>
      <w:tr w:rsidR="00D91A25" w:rsidRPr="00D81D78" w:rsidTr="00266F42">
        <w:trPr>
          <w:trHeight w:val="241"/>
        </w:trPr>
        <w:tc>
          <w:tcPr>
            <w:tcW w:w="2178" w:type="dxa"/>
          </w:tcPr>
          <w:p w:rsidR="00D91A25" w:rsidRPr="00D81D78" w:rsidRDefault="00D91A25" w:rsidP="00D81D78">
            <w:pPr>
              <w:pStyle w:val="tNormal"/>
            </w:pPr>
            <w:r w:rsidRPr="00D81D78">
              <w:t xml:space="preserve">Rules </w:t>
            </w:r>
          </w:p>
        </w:tc>
        <w:tc>
          <w:tcPr>
            <w:tcW w:w="1620" w:type="dxa"/>
          </w:tcPr>
          <w:p w:rsidR="00D91A25" w:rsidRPr="00D81D78" w:rsidRDefault="00D91A25" w:rsidP="00D81D78">
            <w:pPr>
              <w:pStyle w:val="tNormal"/>
            </w:pPr>
            <w:r w:rsidRPr="00D81D78">
              <w:t xml:space="preserve">Text </w:t>
            </w:r>
          </w:p>
        </w:tc>
        <w:tc>
          <w:tcPr>
            <w:tcW w:w="5850" w:type="dxa"/>
          </w:tcPr>
          <w:p w:rsidR="00D91A25" w:rsidRPr="00D81D78" w:rsidRDefault="00D91A25" w:rsidP="00D81D78">
            <w:pPr>
              <w:pStyle w:val="tNormal"/>
            </w:pPr>
            <w:r w:rsidRPr="00D81D78">
              <w:t xml:space="preserve">Rules violated; public reference list of rules available at http://www.gaming.ny.gov/statutes.php </w:t>
            </w:r>
          </w:p>
        </w:tc>
      </w:tr>
      <w:tr w:rsidR="00D91A25" w:rsidRPr="00D81D78" w:rsidTr="00266F42">
        <w:trPr>
          <w:trHeight w:val="111"/>
        </w:trPr>
        <w:tc>
          <w:tcPr>
            <w:tcW w:w="2178" w:type="dxa"/>
          </w:tcPr>
          <w:p w:rsidR="00D91A25" w:rsidRPr="00D81D78" w:rsidRDefault="00D91A25" w:rsidP="00D81D78">
            <w:pPr>
              <w:pStyle w:val="tNormal"/>
            </w:pPr>
            <w:r w:rsidRPr="00D81D78">
              <w:t xml:space="preserve">Ruling Text </w:t>
            </w:r>
          </w:p>
        </w:tc>
        <w:tc>
          <w:tcPr>
            <w:tcW w:w="1620" w:type="dxa"/>
          </w:tcPr>
          <w:p w:rsidR="00D91A25" w:rsidRPr="00D81D78" w:rsidRDefault="00D91A25" w:rsidP="00D81D78">
            <w:pPr>
              <w:pStyle w:val="tNormal"/>
            </w:pPr>
            <w:r w:rsidRPr="00D81D78">
              <w:t xml:space="preserve">Text </w:t>
            </w:r>
          </w:p>
        </w:tc>
        <w:tc>
          <w:tcPr>
            <w:tcW w:w="5850" w:type="dxa"/>
          </w:tcPr>
          <w:p w:rsidR="00D91A25" w:rsidRPr="00D81D78" w:rsidRDefault="00D91A25" w:rsidP="00D81D78">
            <w:pPr>
              <w:pStyle w:val="tNormal"/>
            </w:pPr>
            <w:r w:rsidRPr="00D81D78">
              <w:t xml:space="preserve">Text description of the ruling </w:t>
            </w:r>
          </w:p>
        </w:tc>
      </w:tr>
      <w:tr w:rsidR="00D91A25" w:rsidRPr="00D81D78" w:rsidTr="00266F42">
        <w:trPr>
          <w:trHeight w:val="111"/>
        </w:trPr>
        <w:tc>
          <w:tcPr>
            <w:tcW w:w="2178" w:type="dxa"/>
          </w:tcPr>
          <w:p w:rsidR="00D91A25" w:rsidRPr="00D81D78" w:rsidRDefault="00D91A25" w:rsidP="00D81D78">
            <w:pPr>
              <w:pStyle w:val="tNormal"/>
            </w:pPr>
            <w:r w:rsidRPr="00D81D78">
              <w:t xml:space="preserve">Occupation </w:t>
            </w:r>
          </w:p>
        </w:tc>
        <w:tc>
          <w:tcPr>
            <w:tcW w:w="1620" w:type="dxa"/>
          </w:tcPr>
          <w:p w:rsidR="00D91A25" w:rsidRPr="00D81D78" w:rsidRDefault="00D91A25" w:rsidP="00D81D78">
            <w:pPr>
              <w:pStyle w:val="tNormal"/>
            </w:pPr>
            <w:r w:rsidRPr="00D81D78">
              <w:t xml:space="preserve">Text </w:t>
            </w:r>
          </w:p>
        </w:tc>
        <w:tc>
          <w:tcPr>
            <w:tcW w:w="5850" w:type="dxa"/>
          </w:tcPr>
          <w:p w:rsidR="00D91A25" w:rsidRPr="00D81D78" w:rsidRDefault="00D91A25" w:rsidP="00D81D78">
            <w:pPr>
              <w:pStyle w:val="tNormal"/>
            </w:pPr>
            <w:r w:rsidRPr="00D81D78">
              <w:t xml:space="preserve">Licensee’s occupation </w:t>
            </w:r>
          </w:p>
        </w:tc>
      </w:tr>
      <w:tr w:rsidR="00D91A25" w:rsidRPr="00D81D78" w:rsidTr="00266F42">
        <w:trPr>
          <w:trHeight w:val="111"/>
        </w:trPr>
        <w:tc>
          <w:tcPr>
            <w:tcW w:w="2178" w:type="dxa"/>
          </w:tcPr>
          <w:p w:rsidR="00D91A25" w:rsidRPr="00D81D78" w:rsidRDefault="00D91A25" w:rsidP="00D81D78">
            <w:pPr>
              <w:pStyle w:val="tNormal"/>
            </w:pPr>
            <w:r w:rsidRPr="00D81D78">
              <w:t xml:space="preserve">Fine Amount </w:t>
            </w:r>
          </w:p>
        </w:tc>
        <w:tc>
          <w:tcPr>
            <w:tcW w:w="1620" w:type="dxa"/>
          </w:tcPr>
          <w:p w:rsidR="00D91A25" w:rsidRPr="00D81D78" w:rsidRDefault="00D91A25" w:rsidP="00D81D78">
            <w:pPr>
              <w:pStyle w:val="tNormal"/>
            </w:pPr>
            <w:r w:rsidRPr="00D81D78">
              <w:t xml:space="preserve">Numeric </w:t>
            </w:r>
          </w:p>
        </w:tc>
        <w:tc>
          <w:tcPr>
            <w:tcW w:w="5850" w:type="dxa"/>
          </w:tcPr>
          <w:p w:rsidR="00D91A25" w:rsidRPr="00D81D78" w:rsidRDefault="00D91A25" w:rsidP="00D81D78">
            <w:pPr>
              <w:pStyle w:val="tNormal"/>
            </w:pPr>
            <w:r w:rsidRPr="00D81D78">
              <w:t xml:space="preserve">Fine amount in dollars </w:t>
            </w:r>
          </w:p>
        </w:tc>
      </w:tr>
      <w:tr w:rsidR="00D91A25" w:rsidRPr="00D81D78" w:rsidTr="00266F42">
        <w:trPr>
          <w:trHeight w:val="111"/>
        </w:trPr>
        <w:tc>
          <w:tcPr>
            <w:tcW w:w="2178" w:type="dxa"/>
          </w:tcPr>
          <w:p w:rsidR="00D91A25" w:rsidRPr="00D81D78" w:rsidRDefault="00D91A25" w:rsidP="00D81D78">
            <w:pPr>
              <w:pStyle w:val="tNormal"/>
            </w:pPr>
            <w:r w:rsidRPr="00D81D78">
              <w:t xml:space="preserve">Suspension Start Date </w:t>
            </w:r>
          </w:p>
        </w:tc>
        <w:tc>
          <w:tcPr>
            <w:tcW w:w="1620" w:type="dxa"/>
          </w:tcPr>
          <w:p w:rsidR="00D91A25" w:rsidRPr="00D81D78" w:rsidRDefault="00D91A25" w:rsidP="00D81D78">
            <w:pPr>
              <w:pStyle w:val="tNormal"/>
            </w:pPr>
            <w:r w:rsidRPr="00D81D78">
              <w:t xml:space="preserve">Date </w:t>
            </w:r>
          </w:p>
        </w:tc>
        <w:tc>
          <w:tcPr>
            <w:tcW w:w="5850" w:type="dxa"/>
          </w:tcPr>
          <w:p w:rsidR="00D91A25" w:rsidRPr="00D81D78" w:rsidRDefault="00D91A25" w:rsidP="00D81D78">
            <w:pPr>
              <w:pStyle w:val="tNormal"/>
            </w:pPr>
            <w:r w:rsidRPr="00D81D78">
              <w:t xml:space="preserve">Suspension starting date </w:t>
            </w:r>
          </w:p>
        </w:tc>
      </w:tr>
      <w:tr w:rsidR="00D91A25" w:rsidRPr="00D81D78" w:rsidTr="00266F42">
        <w:trPr>
          <w:trHeight w:val="111"/>
        </w:trPr>
        <w:tc>
          <w:tcPr>
            <w:tcW w:w="2178" w:type="dxa"/>
          </w:tcPr>
          <w:p w:rsidR="00D91A25" w:rsidRPr="00D81D78" w:rsidRDefault="00D91A25" w:rsidP="00D81D78">
            <w:pPr>
              <w:pStyle w:val="tNormal"/>
            </w:pPr>
            <w:r w:rsidRPr="00D81D78">
              <w:t xml:space="preserve">Suspension End Date </w:t>
            </w:r>
          </w:p>
        </w:tc>
        <w:tc>
          <w:tcPr>
            <w:tcW w:w="1620" w:type="dxa"/>
          </w:tcPr>
          <w:p w:rsidR="00D91A25" w:rsidRPr="00D81D78" w:rsidRDefault="00D91A25" w:rsidP="00D81D78">
            <w:pPr>
              <w:pStyle w:val="tNormal"/>
            </w:pPr>
            <w:r w:rsidRPr="00D81D78">
              <w:t xml:space="preserve">Date </w:t>
            </w:r>
          </w:p>
        </w:tc>
        <w:tc>
          <w:tcPr>
            <w:tcW w:w="5850" w:type="dxa"/>
          </w:tcPr>
          <w:p w:rsidR="00D91A25" w:rsidRPr="00D81D78" w:rsidRDefault="00D91A25" w:rsidP="00D81D78">
            <w:pPr>
              <w:pStyle w:val="tNormal"/>
            </w:pPr>
            <w:r w:rsidRPr="00D81D78">
              <w:t xml:space="preserve">Suspension ending date </w:t>
            </w:r>
          </w:p>
        </w:tc>
      </w:tr>
      <w:tr w:rsidR="00D91A25" w:rsidRPr="00D81D78" w:rsidTr="00266F42">
        <w:trPr>
          <w:trHeight w:val="111"/>
        </w:trPr>
        <w:tc>
          <w:tcPr>
            <w:tcW w:w="2178" w:type="dxa"/>
          </w:tcPr>
          <w:p w:rsidR="00D91A25" w:rsidRPr="00D81D78" w:rsidRDefault="00D91A25" w:rsidP="00D81D78">
            <w:pPr>
              <w:pStyle w:val="tNormal"/>
            </w:pPr>
            <w:r w:rsidRPr="00D81D78">
              <w:t xml:space="preserve">Days Suspended </w:t>
            </w:r>
          </w:p>
        </w:tc>
        <w:tc>
          <w:tcPr>
            <w:tcW w:w="1620" w:type="dxa"/>
          </w:tcPr>
          <w:p w:rsidR="00D91A25" w:rsidRPr="00D81D78" w:rsidRDefault="00D91A25" w:rsidP="00D81D78">
            <w:pPr>
              <w:pStyle w:val="tNormal"/>
            </w:pPr>
            <w:r w:rsidRPr="00D81D78">
              <w:t xml:space="preserve">Text </w:t>
            </w:r>
          </w:p>
        </w:tc>
        <w:tc>
          <w:tcPr>
            <w:tcW w:w="5850" w:type="dxa"/>
          </w:tcPr>
          <w:p w:rsidR="00D91A25" w:rsidRPr="00D81D78" w:rsidRDefault="00D91A25" w:rsidP="00D81D78">
            <w:pPr>
              <w:pStyle w:val="tNormal"/>
            </w:pPr>
            <w:r w:rsidRPr="00D81D78">
              <w:t>Number of days suspended  or description of period of suspension</w:t>
            </w:r>
          </w:p>
        </w:tc>
      </w:tr>
    </w:tbl>
    <w:p w:rsidR="00650A57" w:rsidRDefault="00650A57" w:rsidP="00650A57"/>
    <w:p w:rsidR="00192E8B" w:rsidRPr="00192E8B" w:rsidRDefault="0069045B" w:rsidP="00650A57">
      <w:pPr>
        <w:rPr>
          <w:rFonts w:eastAsia="Times New Roman"/>
          <w:color w:val="0000FF"/>
          <w:szCs w:val="22"/>
          <w:u w:val="single"/>
          <w:lang w:eastAsia="en-US"/>
        </w:rPr>
      </w:pPr>
      <w:r>
        <w:rPr>
          <w:szCs w:val="22"/>
        </w:rPr>
        <w:t xml:space="preserve">This data was obtained from the New York State government website: </w:t>
      </w:r>
      <w:r w:rsidR="00650A57" w:rsidRPr="00650A57">
        <w:rPr>
          <w:szCs w:val="22"/>
        </w:rPr>
        <w:t xml:space="preserve"> </w:t>
      </w:r>
      <w:hyperlink r:id="rId7" w:history="1">
        <w:r w:rsidR="00650A57" w:rsidRPr="00650A57">
          <w:rPr>
            <w:rFonts w:eastAsia="Times New Roman"/>
            <w:color w:val="0000FF"/>
            <w:szCs w:val="22"/>
            <w:u w:val="single"/>
            <w:lang w:eastAsia="en-US"/>
          </w:rPr>
          <w:t>https://data.ny.gov/Government-Finance/Horse-Racing-Rulings-Beginning-1985/igam-2tkj</w:t>
        </w:r>
      </w:hyperlink>
    </w:p>
    <w:p w:rsidR="00192E8B" w:rsidRDefault="00192E8B" w:rsidP="00192E8B">
      <w:r>
        <w:t xml:space="preserve">This data contains 36,790 rows and 14 columns. </w:t>
      </w:r>
    </w:p>
    <w:p w:rsidR="00B13798" w:rsidRDefault="00B13798" w:rsidP="00B13798">
      <w:pPr>
        <w:pStyle w:val="Heading2"/>
      </w:pPr>
      <w:r>
        <w:t xml:space="preserve">Overall </w:t>
      </w:r>
      <w:r w:rsidR="000D49F7">
        <w:t xml:space="preserve">Data </w:t>
      </w:r>
      <w:r>
        <w:t>Approach</w:t>
      </w:r>
    </w:p>
    <w:p w:rsidR="000D49F7" w:rsidRDefault="00192E8B" w:rsidP="00B13798">
      <w:r>
        <w:t xml:space="preserve">A subset of the data was used for this assignment to only </w:t>
      </w:r>
      <w:r w:rsidR="00B13798">
        <w:t xml:space="preserve">contain data from the years of 2009 – 2019 so that </w:t>
      </w:r>
      <w:r>
        <w:t>this dataset could be used in conjunction with the other data sets</w:t>
      </w:r>
      <w:r w:rsidR="00B13798">
        <w:t xml:space="preserve"> which only has data </w:t>
      </w:r>
      <w:r>
        <w:t>from the year starting in</w:t>
      </w:r>
      <w:r w:rsidR="00B13798">
        <w:t xml:space="preserve"> 2009. </w:t>
      </w:r>
      <w:r>
        <w:t>This reduced the overall dataset to 11,516 rows and 14 columns.</w:t>
      </w:r>
    </w:p>
    <w:p w:rsidR="00B13798" w:rsidRDefault="000D49F7" w:rsidP="00B13798">
      <w:r>
        <w:t xml:space="preserve">No data was removed because when evaluated, the missing data was not required and therefore would not </w:t>
      </w:r>
      <w:r w:rsidR="00B13798">
        <w:t>affect the data results.</w:t>
      </w:r>
    </w:p>
    <w:p w:rsidR="000D49F7" w:rsidRPr="000D49F7" w:rsidRDefault="000D49F7" w:rsidP="00B13798">
      <w:r>
        <w:t xml:space="preserve">All data was read into a </w:t>
      </w:r>
      <w:r>
        <w:rPr>
          <w:i/>
          <w:iCs/>
        </w:rPr>
        <w:t>pandas</w:t>
      </w:r>
      <w:r>
        <w:t xml:space="preserve"> </w:t>
      </w:r>
      <w:proofErr w:type="spellStart"/>
      <w:r>
        <w:t>dataframe</w:t>
      </w:r>
      <w:proofErr w:type="spellEnd"/>
      <w:r>
        <w:t xml:space="preserve"> for manipulation. Outputs with summarized or gathered information from the source data was also placed into a </w:t>
      </w:r>
      <w:proofErr w:type="spellStart"/>
      <w:r>
        <w:t>dataframe</w:t>
      </w:r>
      <w:proofErr w:type="spellEnd"/>
      <w:r>
        <w:t xml:space="preserve"> before output into file formats.</w:t>
      </w:r>
    </w:p>
    <w:p w:rsidR="00E965B4" w:rsidRDefault="00EA778C" w:rsidP="00EA778C">
      <w:pPr>
        <w:pStyle w:val="Heading1"/>
      </w:pPr>
      <w:r>
        <w:t>Analysis</w:t>
      </w:r>
    </w:p>
    <w:p w:rsidR="00EA778C" w:rsidRDefault="00EA778C" w:rsidP="00EA778C">
      <w:r>
        <w:t xml:space="preserve">As part of reviewing this data set, the following </w:t>
      </w:r>
      <w:r w:rsidR="0093527B">
        <w:t xml:space="preserve">questions could be </w:t>
      </w:r>
      <w:r w:rsidR="000D49F7">
        <w:t>explored and</w:t>
      </w:r>
      <w:r>
        <w:t xml:space="preserve"> analyzed:</w:t>
      </w:r>
    </w:p>
    <w:p w:rsidR="00FB56C7" w:rsidRDefault="00FB56C7" w:rsidP="00FB56C7">
      <w:pPr>
        <w:pStyle w:val="Heading3"/>
      </w:pPr>
      <w:r>
        <w:t>Overall Infractions</w:t>
      </w:r>
    </w:p>
    <w:p w:rsidR="00FB56C7" w:rsidRPr="00FB56C7" w:rsidRDefault="00FB56C7" w:rsidP="00FB56C7">
      <w:pPr>
        <w:pStyle w:val="Heading4"/>
      </w:pPr>
      <w:r w:rsidRPr="00FB56C7">
        <w:t>Infractions by Race Track</w:t>
      </w:r>
    </w:p>
    <w:p w:rsidR="00FB56C7" w:rsidRDefault="00FB56C7" w:rsidP="007A42FF">
      <w:pPr>
        <w:pStyle w:val="Question"/>
      </w:pPr>
      <w:r>
        <w:t>Question 1: Which tracks have the most infractions?</w:t>
      </w:r>
    </w:p>
    <w:p w:rsidR="007A42FF" w:rsidRDefault="00BF663C" w:rsidP="00BF663C">
      <w:r>
        <w:t xml:space="preserve">In order to review which tracks have had the most infractions, the rulings data set is grouped by “Race Track” and then the number of matching observations for each track is counted to provide a new smaller data frame which I called </w:t>
      </w:r>
      <w:proofErr w:type="spellStart"/>
      <w:r>
        <w:rPr>
          <w:i/>
          <w:iCs/>
        </w:rPr>
        <w:t>rulingsDFbyTrack</w:t>
      </w:r>
      <w:proofErr w:type="spellEnd"/>
      <w:r>
        <w:t xml:space="preserve"> which I then reflected in a bar graph of number of infractions by race track shown below.</w:t>
      </w:r>
    </w:p>
    <w:p w:rsidR="00BF663C" w:rsidRPr="00170983" w:rsidRDefault="00BF663C" w:rsidP="00BF663C">
      <w:pPr>
        <w:rPr>
          <w:color w:val="FF0000"/>
        </w:rPr>
      </w:pPr>
      <w:r w:rsidRPr="00170983">
        <w:rPr>
          <w:color w:val="FF0000"/>
        </w:rPr>
        <w:t>GRAPH HERE</w:t>
      </w:r>
    </w:p>
    <w:p w:rsidR="00FB56C7" w:rsidRPr="00FB56C7" w:rsidRDefault="00FB56C7" w:rsidP="00FB56C7">
      <w:pPr>
        <w:pStyle w:val="Heading4"/>
      </w:pPr>
      <w:r w:rsidRPr="00FB56C7">
        <w:t>Infractions by Race Type</w:t>
      </w:r>
    </w:p>
    <w:p w:rsidR="00FB56C7" w:rsidRDefault="00FB56C7" w:rsidP="007A42FF">
      <w:pPr>
        <w:pStyle w:val="Question"/>
      </w:pPr>
      <w:r>
        <w:t>Question 2: Are there more infractions in Harness or Thoroughbred Racing?</w:t>
      </w:r>
    </w:p>
    <w:p w:rsidR="007A42FF" w:rsidRDefault="007A42FF" w:rsidP="007A42FF">
      <w:pPr>
        <w:pStyle w:val="Question"/>
      </w:pPr>
    </w:p>
    <w:p w:rsidR="000D49F7" w:rsidRPr="00FB56C7" w:rsidRDefault="000D49F7" w:rsidP="00FB56C7">
      <w:pPr>
        <w:pStyle w:val="Heading4"/>
      </w:pPr>
      <w:r w:rsidRPr="00FB56C7">
        <w:t>Infractions by Individual</w:t>
      </w:r>
    </w:p>
    <w:p w:rsidR="00EA778C" w:rsidRDefault="00EA778C" w:rsidP="007A42FF">
      <w:pPr>
        <w:pStyle w:val="Question"/>
      </w:pPr>
      <w:r>
        <w:t xml:space="preserve">Question </w:t>
      </w:r>
      <w:r w:rsidR="00FB56C7">
        <w:t>3</w:t>
      </w:r>
      <w:r>
        <w:t>: Are certain individuals receiving higher numbers of infractions that others?</w:t>
      </w:r>
    </w:p>
    <w:p w:rsidR="007A42FF" w:rsidRDefault="007A42FF" w:rsidP="007A42FF">
      <w:pPr>
        <w:pStyle w:val="Question"/>
      </w:pPr>
    </w:p>
    <w:p w:rsidR="007543F6" w:rsidRPr="00FB56C7" w:rsidRDefault="007543F6" w:rsidP="00FB56C7">
      <w:pPr>
        <w:pStyle w:val="Heading4"/>
      </w:pPr>
      <w:r w:rsidRPr="00FB56C7">
        <w:t>Infractions by Occupations</w:t>
      </w:r>
    </w:p>
    <w:p w:rsidR="00EA778C" w:rsidRDefault="00EA778C" w:rsidP="007A42FF">
      <w:pPr>
        <w:pStyle w:val="Question"/>
      </w:pPr>
      <w:r>
        <w:t>Question 4: What occupation has the most infractions?</w:t>
      </w:r>
    </w:p>
    <w:p w:rsidR="007A42FF" w:rsidRDefault="007A42FF" w:rsidP="007A42FF">
      <w:pPr>
        <w:pStyle w:val="Question"/>
      </w:pPr>
    </w:p>
    <w:p w:rsidR="007543F6" w:rsidRPr="00FB56C7" w:rsidRDefault="007543F6" w:rsidP="00FB56C7">
      <w:pPr>
        <w:pStyle w:val="Heading4"/>
      </w:pPr>
      <w:r w:rsidRPr="00FB56C7">
        <w:t>Infractions over Years by Track</w:t>
      </w:r>
    </w:p>
    <w:p w:rsidR="00EA778C" w:rsidRDefault="00EA778C" w:rsidP="007A42FF">
      <w:pPr>
        <w:pStyle w:val="Question"/>
      </w:pPr>
      <w:r>
        <w:t>Question 5: What are the number infractions over the years by track?</w:t>
      </w:r>
    </w:p>
    <w:p w:rsidR="007A42FF" w:rsidRDefault="007A42FF" w:rsidP="007A42FF">
      <w:pPr>
        <w:pStyle w:val="Question"/>
      </w:pPr>
    </w:p>
    <w:p w:rsidR="007543F6" w:rsidRDefault="00FB56C7" w:rsidP="007543F6">
      <w:pPr>
        <w:pStyle w:val="Heading3"/>
      </w:pPr>
      <w:r>
        <w:t xml:space="preserve">Overall </w:t>
      </w:r>
      <w:r w:rsidR="007543F6">
        <w:t>Fines</w:t>
      </w:r>
    </w:p>
    <w:p w:rsidR="007543F6" w:rsidRDefault="007543F6" w:rsidP="007543F6">
      <w:pPr>
        <w:pStyle w:val="Heading4"/>
      </w:pPr>
      <w:r>
        <w:t>Average Fine by Occupation</w:t>
      </w:r>
    </w:p>
    <w:p w:rsidR="00350B87" w:rsidRDefault="00350B87" w:rsidP="007A42FF">
      <w:pPr>
        <w:pStyle w:val="Question"/>
      </w:pPr>
      <w:r>
        <w:t xml:space="preserve">Question 1: </w:t>
      </w:r>
      <w:r w:rsidR="007E7D57">
        <w:t>What is the average fine amount by occupation</w:t>
      </w:r>
      <w:r>
        <w:t>?</w:t>
      </w:r>
    </w:p>
    <w:p w:rsidR="007A42FF" w:rsidRDefault="007A42FF" w:rsidP="007A42FF">
      <w:pPr>
        <w:pStyle w:val="Question"/>
      </w:pPr>
    </w:p>
    <w:p w:rsidR="007543F6" w:rsidRDefault="007543F6" w:rsidP="007543F6">
      <w:pPr>
        <w:pStyle w:val="Heading4"/>
      </w:pPr>
      <w:r>
        <w:t>Average Fine by Year</w:t>
      </w:r>
    </w:p>
    <w:p w:rsidR="00350B87" w:rsidRDefault="00350B87" w:rsidP="007A42FF">
      <w:pPr>
        <w:pStyle w:val="Question"/>
      </w:pPr>
      <w:r>
        <w:t xml:space="preserve">Question </w:t>
      </w:r>
      <w:r w:rsidR="007E7D57">
        <w:t>2:</w:t>
      </w:r>
      <w:r>
        <w:t xml:space="preserve"> </w:t>
      </w:r>
      <w:r w:rsidR="007E7D57">
        <w:t>What is the average fine by year (2009 – 2019)</w:t>
      </w:r>
      <w:r>
        <w:t>?</w:t>
      </w:r>
    </w:p>
    <w:p w:rsidR="007A42FF" w:rsidRDefault="007A42FF" w:rsidP="007A42FF">
      <w:pPr>
        <w:pStyle w:val="Question"/>
      </w:pPr>
    </w:p>
    <w:p w:rsidR="007543F6" w:rsidRDefault="007543F6" w:rsidP="007543F6">
      <w:pPr>
        <w:pStyle w:val="Heading4"/>
      </w:pPr>
      <w:r>
        <w:lastRenderedPageBreak/>
        <w:t>Fines by Year by Occupation</w:t>
      </w:r>
    </w:p>
    <w:p w:rsidR="00350B87" w:rsidRDefault="00350B87" w:rsidP="007A42FF">
      <w:pPr>
        <w:pStyle w:val="Question"/>
      </w:pPr>
      <w:r>
        <w:t xml:space="preserve">Question </w:t>
      </w:r>
      <w:r w:rsidR="007E7D57">
        <w:t>3</w:t>
      </w:r>
      <w:r>
        <w:t xml:space="preserve">: </w:t>
      </w:r>
      <w:r w:rsidR="007E7D57">
        <w:t>What are the total fines per year by Occupation</w:t>
      </w:r>
      <w:r>
        <w:t>?</w:t>
      </w:r>
    </w:p>
    <w:p w:rsidR="007A42FF" w:rsidRDefault="007A42FF" w:rsidP="007A42FF">
      <w:pPr>
        <w:pStyle w:val="Question"/>
      </w:pPr>
    </w:p>
    <w:p w:rsidR="007543F6" w:rsidRDefault="007543F6" w:rsidP="007543F6">
      <w:pPr>
        <w:pStyle w:val="Heading4"/>
      </w:pPr>
      <w:r>
        <w:t>Fines by Year by Track</w:t>
      </w:r>
    </w:p>
    <w:p w:rsidR="00350B87" w:rsidRDefault="00350B87" w:rsidP="007A42FF">
      <w:pPr>
        <w:pStyle w:val="Question"/>
      </w:pPr>
      <w:r>
        <w:t xml:space="preserve">Question </w:t>
      </w:r>
      <w:r w:rsidR="007E7D57">
        <w:t>4</w:t>
      </w:r>
      <w:r>
        <w:t>:</w:t>
      </w:r>
      <w:r w:rsidR="007E7D57">
        <w:t xml:space="preserve"> Are there tracks that have significantly higher overall fines that others by year</w:t>
      </w:r>
      <w:r>
        <w:t>?</w:t>
      </w:r>
    </w:p>
    <w:p w:rsidR="007A42FF" w:rsidRDefault="007A42FF" w:rsidP="007A42FF">
      <w:pPr>
        <w:pStyle w:val="Question"/>
      </w:pPr>
    </w:p>
    <w:p w:rsidR="007543F6" w:rsidRDefault="00FB56C7" w:rsidP="007543F6">
      <w:pPr>
        <w:pStyle w:val="Heading3"/>
      </w:pPr>
      <w:r>
        <w:t>Common Infraction</w:t>
      </w:r>
    </w:p>
    <w:p w:rsidR="00EA778C" w:rsidRDefault="00EA778C" w:rsidP="007A42FF">
      <w:pPr>
        <w:pStyle w:val="Question"/>
      </w:pPr>
      <w:r>
        <w:t xml:space="preserve">Question </w:t>
      </w:r>
      <w:r w:rsidR="007E7D57">
        <w:t>1</w:t>
      </w:r>
      <w:r>
        <w:t>: Are their common threads or words in the descriptions of the infraction?</w:t>
      </w:r>
    </w:p>
    <w:p w:rsidR="007A42FF" w:rsidRDefault="007A42FF" w:rsidP="007A42FF">
      <w:pPr>
        <w:pStyle w:val="Question"/>
      </w:pPr>
    </w:p>
    <w:p w:rsidR="00AF0CEB" w:rsidRPr="00AF0CEB" w:rsidRDefault="00AF0CEB" w:rsidP="00AF0CEB">
      <w:pPr>
        <w:pStyle w:val="Heading1"/>
      </w:pPr>
      <w:r>
        <w:t>Conclusion</w:t>
      </w:r>
    </w:p>
    <w:sectPr w:rsidR="00AF0CEB" w:rsidRPr="00AF0CEB">
      <w:footerReference w:type="default" r:id="rId8"/>
      <w:headerReference w:type="first" r:id="rId9"/>
      <w:footerReference w:type="firs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3720" w:rsidRDefault="004C3720">
      <w:pPr>
        <w:spacing w:after="0" w:line="240" w:lineRule="auto"/>
      </w:pPr>
      <w:r>
        <w:separator/>
      </w:r>
    </w:p>
    <w:p w:rsidR="004C3720" w:rsidRDefault="004C3720"/>
    <w:p w:rsidR="004C3720" w:rsidRDefault="004C3720"/>
  </w:endnote>
  <w:endnote w:type="continuationSeparator" w:id="0">
    <w:p w:rsidR="004C3720" w:rsidRDefault="004C3720">
      <w:pPr>
        <w:spacing w:after="0" w:line="240" w:lineRule="auto"/>
      </w:pPr>
      <w:r>
        <w:continuationSeparator/>
      </w:r>
    </w:p>
    <w:p w:rsidR="004C3720" w:rsidRDefault="004C3720"/>
    <w:p w:rsidR="004C3720" w:rsidRDefault="004C3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rsidR="00E965B4" w:rsidRDefault="002C0D8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1338178"/>
      <w:docPartObj>
        <w:docPartGallery w:val="Page Numbers (Bottom of Page)"/>
        <w:docPartUnique/>
      </w:docPartObj>
    </w:sdtPr>
    <w:sdtEndPr>
      <w:rPr>
        <w:rStyle w:val="PageNumber"/>
      </w:rPr>
    </w:sdtEndPr>
    <w:sdtContent>
      <w:p w:rsidR="00747813" w:rsidRDefault="00747813" w:rsidP="009926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47813" w:rsidRDefault="00747813" w:rsidP="007478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3720" w:rsidRDefault="004C3720">
      <w:pPr>
        <w:spacing w:after="0" w:line="240" w:lineRule="auto"/>
      </w:pPr>
      <w:r>
        <w:separator/>
      </w:r>
    </w:p>
    <w:p w:rsidR="004C3720" w:rsidRDefault="004C3720"/>
    <w:p w:rsidR="004C3720" w:rsidRDefault="004C3720"/>
  </w:footnote>
  <w:footnote w:type="continuationSeparator" w:id="0">
    <w:p w:rsidR="004C3720" w:rsidRDefault="004C3720">
      <w:pPr>
        <w:spacing w:after="0" w:line="240" w:lineRule="auto"/>
      </w:pPr>
      <w:r>
        <w:continuationSeparator/>
      </w:r>
    </w:p>
    <w:p w:rsidR="004C3720" w:rsidRDefault="004C3720"/>
    <w:p w:rsidR="004C3720" w:rsidRDefault="004C37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7813" w:rsidRPr="00747813" w:rsidRDefault="00747813" w:rsidP="00747813">
    <w:pPr>
      <w:pStyle w:val="Subtitle"/>
      <w:rPr>
        <w:sz w:val="24"/>
        <w:szCs w:val="21"/>
      </w:rPr>
    </w:pPr>
    <w:r w:rsidRPr="00747813">
      <w:rPr>
        <w:sz w:val="24"/>
        <w:szCs w:val="21"/>
      </w:rPr>
      <w:t>IST 652 Thursdays 7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A30AB"/>
    <w:multiLevelType w:val="hybridMultilevel"/>
    <w:tmpl w:val="96164A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5B"/>
    <w:rsid w:val="000225F1"/>
    <w:rsid w:val="000D49F7"/>
    <w:rsid w:val="00170983"/>
    <w:rsid w:val="00192E8B"/>
    <w:rsid w:val="00266F42"/>
    <w:rsid w:val="002979EB"/>
    <w:rsid w:val="002C0D81"/>
    <w:rsid w:val="00333E81"/>
    <w:rsid w:val="00350B87"/>
    <w:rsid w:val="003F18F8"/>
    <w:rsid w:val="004C3720"/>
    <w:rsid w:val="00650A57"/>
    <w:rsid w:val="0069045B"/>
    <w:rsid w:val="007316CF"/>
    <w:rsid w:val="00747813"/>
    <w:rsid w:val="007543F6"/>
    <w:rsid w:val="007A42FF"/>
    <w:rsid w:val="007E7D57"/>
    <w:rsid w:val="008535D0"/>
    <w:rsid w:val="0093527B"/>
    <w:rsid w:val="00A167DE"/>
    <w:rsid w:val="00A75B4E"/>
    <w:rsid w:val="00AF0CEB"/>
    <w:rsid w:val="00B13798"/>
    <w:rsid w:val="00B6184D"/>
    <w:rsid w:val="00BF17F7"/>
    <w:rsid w:val="00BF663C"/>
    <w:rsid w:val="00CB23EC"/>
    <w:rsid w:val="00D0335B"/>
    <w:rsid w:val="00D707AB"/>
    <w:rsid w:val="00D81D78"/>
    <w:rsid w:val="00D91A25"/>
    <w:rsid w:val="00E53B8C"/>
    <w:rsid w:val="00E965B4"/>
    <w:rsid w:val="00EA778C"/>
    <w:rsid w:val="00FB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2479F"/>
  <w15:chartTrackingRefBased/>
  <w15:docId w15:val="{72EE59AA-5B3D-534A-AB85-4948F759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798"/>
    <w:pPr>
      <w:spacing w:after="40" w:line="264" w:lineRule="auto"/>
    </w:pPr>
    <w:rPr>
      <w:rFonts w:ascii="Cambria" w:hAnsi="Cambria"/>
      <w:sz w:val="22"/>
    </w:rPr>
  </w:style>
  <w:style w:type="paragraph" w:styleId="Heading1">
    <w:name w:val="heading 1"/>
    <w:basedOn w:val="Normal"/>
    <w:next w:val="Normal"/>
    <w:link w:val="Heading1Char"/>
    <w:uiPriority w:val="9"/>
    <w:qFormat/>
    <w:rsid w:val="00B13798"/>
    <w:pPr>
      <w:keepNext/>
      <w:keepLines/>
      <w:spacing w:before="160" w:after="80" w:line="240" w:lineRule="auto"/>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A42FF"/>
    <w:pPr>
      <w:keepNext/>
      <w:keepLines/>
      <w:spacing w:before="120" w:after="80" w:line="240" w:lineRule="auto"/>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7A42FF"/>
    <w:pPr>
      <w:keepNext/>
      <w:keepLines/>
      <w:spacing w:before="80" w:line="240" w:lineRule="auto"/>
      <w:outlineLvl w:val="2"/>
    </w:pPr>
    <w:rPr>
      <w:rFonts w:eastAsiaTheme="majorEastAsia" w:cstheme="majorBidi"/>
      <w:i/>
      <w:sz w:val="24"/>
    </w:rPr>
  </w:style>
  <w:style w:type="paragraph" w:styleId="Heading4">
    <w:name w:val="heading 4"/>
    <w:basedOn w:val="Normal"/>
    <w:next w:val="Normal"/>
    <w:link w:val="Heading4Char"/>
    <w:uiPriority w:val="9"/>
    <w:unhideWhenUsed/>
    <w:qFormat/>
    <w:rsid w:val="007543F6"/>
    <w:pPr>
      <w:keepNext/>
      <w:keepLines/>
      <w:spacing w:before="40" w:after="20" w:line="240"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rsid w:val="00B13798"/>
    <w:pPr>
      <w:spacing w:after="160" w:line="240" w:lineRule="auto"/>
      <w:contextualSpacing/>
    </w:pPr>
    <w:rPr>
      <w:rFonts w:asciiTheme="majorHAnsi" w:eastAsiaTheme="majorEastAsia" w:hAnsiTheme="majorHAnsi" w:cstheme="majorBidi"/>
      <w:kern w:val="28"/>
      <w:sz w:val="40"/>
      <w:szCs w:val="56"/>
    </w:rPr>
  </w:style>
  <w:style w:type="character" w:customStyle="1" w:styleId="TitleChar">
    <w:name w:val="Title Char"/>
    <w:basedOn w:val="DefaultParagraphFont"/>
    <w:link w:val="Title"/>
    <w:uiPriority w:val="1"/>
    <w:rsid w:val="00B13798"/>
    <w:rPr>
      <w:rFonts w:asciiTheme="majorHAnsi" w:eastAsiaTheme="majorEastAsia" w:hAnsiTheme="majorHAnsi" w:cstheme="majorBidi"/>
      <w:kern w:val="28"/>
      <w:sz w:val="40"/>
      <w:szCs w:val="56"/>
    </w:rPr>
  </w:style>
  <w:style w:type="character" w:customStyle="1" w:styleId="Heading1Char">
    <w:name w:val="Heading 1 Char"/>
    <w:basedOn w:val="DefaultParagraphFont"/>
    <w:link w:val="Heading1"/>
    <w:uiPriority w:val="9"/>
    <w:rsid w:val="00B13798"/>
    <w:rPr>
      <w:rFonts w:ascii="Cambria" w:eastAsiaTheme="majorEastAsia" w:hAnsi="Cambria" w:cstheme="majorBidi"/>
      <w:b/>
      <w:sz w:val="3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7A42FF"/>
    <w:rPr>
      <w:rFonts w:asciiTheme="majorHAnsi" w:eastAsiaTheme="majorEastAsia" w:hAnsiTheme="majorHAnsi" w:cstheme="majorBidi"/>
      <w:b/>
      <w:i/>
      <w:sz w:val="28"/>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sid w:val="007A42FF"/>
    <w:rPr>
      <w:rFonts w:ascii="Cambria" w:eastAsiaTheme="majorEastAsia" w:hAnsi="Cambria" w:cstheme="majorBidi"/>
      <w:i/>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sid w:val="007543F6"/>
    <w:rPr>
      <w:rFonts w:ascii="Cambria" w:eastAsiaTheme="majorEastAsia" w:hAnsi="Cambria" w:cstheme="majorBidi"/>
      <w:b/>
      <w:iCs/>
      <w:sz w:val="22"/>
    </w:rPr>
  </w:style>
  <w:style w:type="paragraph" w:styleId="NormalWeb">
    <w:name w:val="Normal (Web)"/>
    <w:basedOn w:val="Normal"/>
    <w:uiPriority w:val="99"/>
    <w:unhideWhenUsed/>
    <w:rsid w:val="00D0335B"/>
    <w:pPr>
      <w:spacing w:before="100" w:beforeAutospacing="1" w:after="100" w:afterAutospacing="1" w:line="240" w:lineRule="auto"/>
    </w:pPr>
    <w:rPr>
      <w:rFonts w:ascii="Times New Roman" w:eastAsia="Times New Roman" w:hAnsi="Times New Roman" w:cs="Times New Roman"/>
      <w:color w:val="auto"/>
      <w:lang w:eastAsia="en-US"/>
    </w:rPr>
  </w:style>
  <w:style w:type="paragraph" w:customStyle="1" w:styleId="Default">
    <w:name w:val="Default"/>
    <w:rsid w:val="00D91A25"/>
    <w:pPr>
      <w:autoSpaceDE w:val="0"/>
      <w:autoSpaceDN w:val="0"/>
      <w:adjustRightInd w:val="0"/>
      <w:spacing w:after="0" w:line="240" w:lineRule="auto"/>
    </w:pPr>
    <w:rPr>
      <w:rFonts w:ascii="Calibri" w:hAnsi="Calibri" w:cs="Calibri"/>
      <w:color w:val="000000"/>
    </w:rPr>
  </w:style>
  <w:style w:type="paragraph" w:styleId="ListParagraph">
    <w:name w:val="List Paragraph"/>
    <w:basedOn w:val="Normal"/>
    <w:uiPriority w:val="34"/>
    <w:unhideWhenUsed/>
    <w:qFormat/>
    <w:rsid w:val="00EA778C"/>
    <w:pPr>
      <w:ind w:left="720"/>
      <w:contextualSpacing/>
    </w:pPr>
  </w:style>
  <w:style w:type="character" w:styleId="Hyperlink">
    <w:name w:val="Hyperlink"/>
    <w:basedOn w:val="DefaultParagraphFont"/>
    <w:uiPriority w:val="99"/>
    <w:semiHidden/>
    <w:unhideWhenUsed/>
    <w:rsid w:val="00A167DE"/>
    <w:rPr>
      <w:color w:val="0000FF"/>
      <w:u w:val="single"/>
    </w:rPr>
  </w:style>
  <w:style w:type="character" w:styleId="PageNumber">
    <w:name w:val="page number"/>
    <w:basedOn w:val="DefaultParagraphFont"/>
    <w:uiPriority w:val="99"/>
    <w:semiHidden/>
    <w:unhideWhenUsed/>
    <w:rsid w:val="00747813"/>
  </w:style>
  <w:style w:type="paragraph" w:customStyle="1" w:styleId="tNormal">
    <w:name w:val="tNormal"/>
    <w:basedOn w:val="Default"/>
    <w:qFormat/>
    <w:rsid w:val="00D81D78"/>
    <w:pPr>
      <w:spacing w:before="20" w:after="20"/>
    </w:pPr>
    <w:rPr>
      <w:rFonts w:ascii="Cambria" w:hAnsi="Cambria" w:cstheme="minorHAnsi"/>
      <w:sz w:val="19"/>
      <w:szCs w:val="18"/>
    </w:rPr>
  </w:style>
  <w:style w:type="paragraph" w:customStyle="1" w:styleId="Question">
    <w:name w:val="Question"/>
    <w:basedOn w:val="Quote"/>
    <w:qFormat/>
    <w:rsid w:val="007A42FF"/>
    <w:pPr>
      <w:spacing w:before="40" w:after="0" w:line="240" w:lineRule="auto"/>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101534">
      <w:bodyDiv w:val="1"/>
      <w:marLeft w:val="0"/>
      <w:marRight w:val="0"/>
      <w:marTop w:val="0"/>
      <w:marBottom w:val="0"/>
      <w:divBdr>
        <w:top w:val="none" w:sz="0" w:space="0" w:color="auto"/>
        <w:left w:val="none" w:sz="0" w:space="0" w:color="auto"/>
        <w:bottom w:val="none" w:sz="0" w:space="0" w:color="auto"/>
        <w:right w:val="none" w:sz="0" w:space="0" w:color="auto"/>
      </w:divBdr>
    </w:div>
    <w:div w:id="739592966">
      <w:bodyDiv w:val="1"/>
      <w:marLeft w:val="0"/>
      <w:marRight w:val="0"/>
      <w:marTop w:val="0"/>
      <w:marBottom w:val="0"/>
      <w:divBdr>
        <w:top w:val="none" w:sz="0" w:space="0" w:color="auto"/>
        <w:left w:val="none" w:sz="0" w:space="0" w:color="auto"/>
        <w:bottom w:val="none" w:sz="0" w:space="0" w:color="auto"/>
        <w:right w:val="none" w:sz="0" w:space="0" w:color="auto"/>
      </w:divBdr>
    </w:div>
    <w:div w:id="1920553566">
      <w:bodyDiv w:val="1"/>
      <w:marLeft w:val="0"/>
      <w:marRight w:val="0"/>
      <w:marTop w:val="0"/>
      <w:marBottom w:val="0"/>
      <w:divBdr>
        <w:top w:val="none" w:sz="0" w:space="0" w:color="auto"/>
        <w:left w:val="none" w:sz="0" w:space="0" w:color="auto"/>
        <w:bottom w:val="none" w:sz="0" w:space="0" w:color="auto"/>
        <w:right w:val="none" w:sz="0" w:space="0" w:color="auto"/>
      </w:divBdr>
    </w:div>
    <w:div w:id="207338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ny.gov/Government-Finance/Horse-Racing-Rulings-Beginning-1985/igam-2tk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ycewoznica/Library/Containers/com.microsoft.Word/Data/Library/Application%20Support/Microsoft/Office/16.0/DTS/Search/%7b60335ED2-29AC-A040-AB2C-1EC8FBD112EF%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{60335ED2-29AC-A040-AB2C-1EC8FBD112EF}tf10002081.dotx</Template>
  <TotalTime>2</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Woznica</dc:creator>
  <cp:keywords/>
  <dc:description/>
  <cp:lastModifiedBy>Joyce Woznica</cp:lastModifiedBy>
  <cp:revision>2</cp:revision>
  <dcterms:created xsi:type="dcterms:W3CDTF">2020-04-26T16:15:00Z</dcterms:created>
  <dcterms:modified xsi:type="dcterms:W3CDTF">2020-04-26T16:15:00Z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