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3D2F7" w14:textId="3B5A65D6" w:rsidR="00A249FA" w:rsidRDefault="00A249FA" w:rsidP="00A249FA">
      <w:pPr>
        <w:pStyle w:val="Heading1"/>
      </w:pPr>
      <w:r>
        <w:t>Week 8 – Homework</w:t>
      </w:r>
    </w:p>
    <w:p w14:paraId="54DE74B1" w14:textId="7CD58817" w:rsidR="00A249FA" w:rsidRDefault="00A249FA" w:rsidP="00A249FA">
      <w:r>
        <w:t>Pages 114 – 116 problems #1 - #10</w:t>
      </w:r>
    </w:p>
    <w:p w14:paraId="3244E736" w14:textId="7E1C987E" w:rsidR="00A249FA" w:rsidRDefault="00A249FA" w:rsidP="00A249FA">
      <w:pPr>
        <w:pStyle w:val="ListParagraph"/>
        <w:numPr>
          <w:ilvl w:val="0"/>
          <w:numId w:val="1"/>
        </w:numPr>
      </w:pPr>
      <w:r>
        <w:t>The U.S. Trade Deficits for the last half of 1988 are shown in Figure 6.7. Use the data of Figure 6.7, and the blank form in Figure 6.8 to plot the time series graph for the US. Trade Deficits for the last half of 1988.</w:t>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1"/>
        <w:gridCol w:w="1233"/>
        <w:gridCol w:w="1235"/>
        <w:gridCol w:w="1226"/>
        <w:gridCol w:w="1235"/>
        <w:gridCol w:w="1235"/>
        <w:gridCol w:w="1235"/>
      </w:tblGrid>
      <w:tr w:rsidR="00A249FA" w14:paraId="221AB4B4" w14:textId="77777777" w:rsidTr="006A03CD">
        <w:tc>
          <w:tcPr>
            <w:tcW w:w="1335" w:type="dxa"/>
          </w:tcPr>
          <w:p w14:paraId="0C4B97F3" w14:textId="77777777" w:rsidR="00A249FA" w:rsidRDefault="00A249FA" w:rsidP="00A249FA">
            <w:pPr>
              <w:jc w:val="both"/>
            </w:pPr>
          </w:p>
        </w:tc>
        <w:tc>
          <w:tcPr>
            <w:tcW w:w="1335" w:type="dxa"/>
          </w:tcPr>
          <w:p w14:paraId="4B11014B" w14:textId="42001B21" w:rsidR="00A249FA" w:rsidRDefault="00A249FA" w:rsidP="00A249FA">
            <w:pPr>
              <w:jc w:val="center"/>
            </w:pPr>
            <w:r>
              <w:t>Jul</w:t>
            </w:r>
          </w:p>
        </w:tc>
        <w:tc>
          <w:tcPr>
            <w:tcW w:w="1336" w:type="dxa"/>
          </w:tcPr>
          <w:p w14:paraId="666B870A" w14:textId="779CE96D" w:rsidR="00A249FA" w:rsidRDefault="00A249FA" w:rsidP="00A249FA">
            <w:pPr>
              <w:jc w:val="center"/>
            </w:pPr>
            <w:r>
              <w:t>Aug</w:t>
            </w:r>
          </w:p>
        </w:tc>
        <w:tc>
          <w:tcPr>
            <w:tcW w:w="1336" w:type="dxa"/>
          </w:tcPr>
          <w:p w14:paraId="462880F2" w14:textId="64494BFB" w:rsidR="00A249FA" w:rsidRDefault="00A249FA" w:rsidP="00A249FA">
            <w:pPr>
              <w:jc w:val="center"/>
            </w:pPr>
            <w:r>
              <w:t>Sep</w:t>
            </w:r>
          </w:p>
        </w:tc>
        <w:tc>
          <w:tcPr>
            <w:tcW w:w="1336" w:type="dxa"/>
          </w:tcPr>
          <w:p w14:paraId="1AE7967D" w14:textId="134D11B3" w:rsidR="00A249FA" w:rsidRDefault="00A249FA" w:rsidP="00A249FA">
            <w:pPr>
              <w:jc w:val="center"/>
            </w:pPr>
            <w:r>
              <w:t>Oct</w:t>
            </w:r>
          </w:p>
        </w:tc>
        <w:tc>
          <w:tcPr>
            <w:tcW w:w="1336" w:type="dxa"/>
          </w:tcPr>
          <w:p w14:paraId="4184F354" w14:textId="349F5995" w:rsidR="00A249FA" w:rsidRDefault="00A249FA" w:rsidP="00A249FA">
            <w:pPr>
              <w:jc w:val="center"/>
            </w:pPr>
            <w:r>
              <w:t>Nov</w:t>
            </w:r>
          </w:p>
        </w:tc>
        <w:tc>
          <w:tcPr>
            <w:tcW w:w="1336" w:type="dxa"/>
          </w:tcPr>
          <w:p w14:paraId="2477C704" w14:textId="2E279BF2" w:rsidR="00A249FA" w:rsidRDefault="00A249FA" w:rsidP="00A249FA">
            <w:pPr>
              <w:jc w:val="center"/>
            </w:pPr>
            <w:r>
              <w:t>Dec</w:t>
            </w:r>
          </w:p>
        </w:tc>
      </w:tr>
      <w:tr w:rsidR="00A249FA" w14:paraId="48721660" w14:textId="77777777" w:rsidTr="006A03CD">
        <w:tc>
          <w:tcPr>
            <w:tcW w:w="1335" w:type="dxa"/>
          </w:tcPr>
          <w:p w14:paraId="75932578" w14:textId="60A73E01" w:rsidR="00A249FA" w:rsidRDefault="00A249FA" w:rsidP="00A249FA">
            <w:pPr>
              <w:jc w:val="center"/>
            </w:pPr>
            <w:r>
              <w:t>1988</w:t>
            </w:r>
          </w:p>
        </w:tc>
        <w:tc>
          <w:tcPr>
            <w:tcW w:w="1335" w:type="dxa"/>
          </w:tcPr>
          <w:p w14:paraId="291162C2" w14:textId="6A8F479C" w:rsidR="00A249FA" w:rsidRDefault="00A249FA" w:rsidP="00A249FA">
            <w:pPr>
              <w:jc w:val="center"/>
            </w:pPr>
            <w:r>
              <w:t>10.5</w:t>
            </w:r>
          </w:p>
        </w:tc>
        <w:tc>
          <w:tcPr>
            <w:tcW w:w="1336" w:type="dxa"/>
          </w:tcPr>
          <w:p w14:paraId="1B067130" w14:textId="6450D3AC" w:rsidR="00A249FA" w:rsidRDefault="00A249FA" w:rsidP="00A249FA">
            <w:pPr>
              <w:jc w:val="center"/>
            </w:pPr>
            <w:r>
              <w:t>11.2</w:t>
            </w:r>
          </w:p>
        </w:tc>
        <w:tc>
          <w:tcPr>
            <w:tcW w:w="1336" w:type="dxa"/>
          </w:tcPr>
          <w:p w14:paraId="61310791" w14:textId="069E6A0C" w:rsidR="00A249FA" w:rsidRDefault="00A249FA" w:rsidP="00A249FA">
            <w:pPr>
              <w:jc w:val="center"/>
            </w:pPr>
            <w:r>
              <w:t>9.2</w:t>
            </w:r>
          </w:p>
        </w:tc>
        <w:tc>
          <w:tcPr>
            <w:tcW w:w="1336" w:type="dxa"/>
          </w:tcPr>
          <w:p w14:paraId="30FC2A4E" w14:textId="604EF328" w:rsidR="00A249FA" w:rsidRDefault="00A249FA" w:rsidP="00A249FA">
            <w:pPr>
              <w:jc w:val="center"/>
            </w:pPr>
            <w:r>
              <w:t>10.1</w:t>
            </w:r>
          </w:p>
        </w:tc>
        <w:tc>
          <w:tcPr>
            <w:tcW w:w="1336" w:type="dxa"/>
          </w:tcPr>
          <w:p w14:paraId="54EFCA00" w14:textId="1126F6A7" w:rsidR="00A249FA" w:rsidRDefault="00A249FA" w:rsidP="00A249FA">
            <w:pPr>
              <w:jc w:val="center"/>
            </w:pPr>
            <w:r>
              <w:t>10.4</w:t>
            </w:r>
          </w:p>
        </w:tc>
        <w:tc>
          <w:tcPr>
            <w:tcW w:w="1336" w:type="dxa"/>
          </w:tcPr>
          <w:p w14:paraId="0E254FC6" w14:textId="1993E61D" w:rsidR="00A249FA" w:rsidRDefault="00A249FA" w:rsidP="00A249FA">
            <w:pPr>
              <w:jc w:val="center"/>
            </w:pPr>
            <w:r>
              <w:t>10.5</w:t>
            </w:r>
          </w:p>
        </w:tc>
      </w:tr>
    </w:tbl>
    <w:p w14:paraId="6AB093BA" w14:textId="1B1C6DCC" w:rsidR="00A60063" w:rsidRPr="00A60063" w:rsidRDefault="00A60063" w:rsidP="00A60063">
      <w:pPr>
        <w:ind w:left="720"/>
        <w:jc w:val="center"/>
        <w:rPr>
          <w:rStyle w:val="SubtleEmphasis"/>
        </w:rPr>
      </w:pPr>
    </w:p>
    <w:p w14:paraId="2B359592" w14:textId="097C86CA" w:rsidR="00AD66C1" w:rsidRDefault="000273F7" w:rsidP="00DC275C">
      <w:pPr>
        <w:ind w:left="720"/>
      </w:pPr>
      <w:r w:rsidRPr="000273F7">
        <w:rPr>
          <w:color w:val="2F5496" w:themeColor="accent1" w:themeShade="BF"/>
        </w:rPr>
        <w:t>** I rounded to 3 decimal places</w:t>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4"/>
        <w:gridCol w:w="1096"/>
        <w:gridCol w:w="1098"/>
        <w:gridCol w:w="1076"/>
        <w:gridCol w:w="1098"/>
        <w:gridCol w:w="1098"/>
        <w:gridCol w:w="1098"/>
        <w:gridCol w:w="1012"/>
      </w:tblGrid>
      <w:tr w:rsidR="008F6244" w14:paraId="40DD0965" w14:textId="2EAF2005" w:rsidTr="008F6244">
        <w:tc>
          <w:tcPr>
            <w:tcW w:w="1064" w:type="dxa"/>
            <w:tcBorders>
              <w:top w:val="nil"/>
              <w:bottom w:val="nil"/>
              <w:right w:val="nil"/>
            </w:tcBorders>
          </w:tcPr>
          <w:p w14:paraId="41B7C181" w14:textId="77777777" w:rsidR="008F6244" w:rsidRDefault="008F6244" w:rsidP="006F2688">
            <w:pPr>
              <w:jc w:val="both"/>
            </w:pPr>
          </w:p>
        </w:tc>
        <w:tc>
          <w:tcPr>
            <w:tcW w:w="1096" w:type="dxa"/>
            <w:tcBorders>
              <w:top w:val="nil"/>
              <w:left w:val="nil"/>
              <w:bottom w:val="single" w:sz="4" w:space="0" w:color="auto"/>
              <w:right w:val="nil"/>
            </w:tcBorders>
          </w:tcPr>
          <w:p w14:paraId="418745EF" w14:textId="77777777" w:rsidR="008F6244" w:rsidRDefault="008F6244" w:rsidP="006F2688">
            <w:pPr>
              <w:jc w:val="center"/>
            </w:pPr>
            <w:r>
              <w:t>Jul</w:t>
            </w:r>
          </w:p>
        </w:tc>
        <w:tc>
          <w:tcPr>
            <w:tcW w:w="1098" w:type="dxa"/>
            <w:tcBorders>
              <w:top w:val="nil"/>
              <w:left w:val="nil"/>
              <w:bottom w:val="single" w:sz="4" w:space="0" w:color="auto"/>
            </w:tcBorders>
          </w:tcPr>
          <w:p w14:paraId="7D92B404" w14:textId="77777777" w:rsidR="008F6244" w:rsidRDefault="008F6244" w:rsidP="006F2688">
            <w:pPr>
              <w:jc w:val="center"/>
            </w:pPr>
            <w:r>
              <w:t>Aug</w:t>
            </w:r>
          </w:p>
        </w:tc>
        <w:tc>
          <w:tcPr>
            <w:tcW w:w="1076" w:type="dxa"/>
            <w:tcBorders>
              <w:top w:val="nil"/>
              <w:bottom w:val="single" w:sz="4" w:space="0" w:color="auto"/>
            </w:tcBorders>
          </w:tcPr>
          <w:p w14:paraId="001107A0" w14:textId="77777777" w:rsidR="008F6244" w:rsidRDefault="008F6244" w:rsidP="006F2688">
            <w:pPr>
              <w:jc w:val="center"/>
            </w:pPr>
            <w:r>
              <w:t>Sep</w:t>
            </w:r>
          </w:p>
        </w:tc>
        <w:tc>
          <w:tcPr>
            <w:tcW w:w="1098" w:type="dxa"/>
            <w:tcBorders>
              <w:top w:val="nil"/>
              <w:bottom w:val="single" w:sz="4" w:space="0" w:color="auto"/>
            </w:tcBorders>
          </w:tcPr>
          <w:p w14:paraId="285E3681" w14:textId="77777777" w:rsidR="008F6244" w:rsidRDefault="008F6244" w:rsidP="006F2688">
            <w:pPr>
              <w:jc w:val="center"/>
            </w:pPr>
            <w:r>
              <w:t>Oct</w:t>
            </w:r>
          </w:p>
        </w:tc>
        <w:tc>
          <w:tcPr>
            <w:tcW w:w="1098" w:type="dxa"/>
            <w:tcBorders>
              <w:top w:val="nil"/>
              <w:bottom w:val="single" w:sz="4" w:space="0" w:color="auto"/>
            </w:tcBorders>
          </w:tcPr>
          <w:p w14:paraId="415DC13D" w14:textId="77777777" w:rsidR="008F6244" w:rsidRDefault="008F6244" w:rsidP="006F2688">
            <w:pPr>
              <w:jc w:val="center"/>
            </w:pPr>
            <w:r>
              <w:t>Nov</w:t>
            </w:r>
          </w:p>
        </w:tc>
        <w:tc>
          <w:tcPr>
            <w:tcW w:w="1098" w:type="dxa"/>
            <w:tcBorders>
              <w:top w:val="nil"/>
              <w:bottom w:val="single" w:sz="4" w:space="0" w:color="auto"/>
            </w:tcBorders>
          </w:tcPr>
          <w:p w14:paraId="44CB287C" w14:textId="77777777" w:rsidR="008F6244" w:rsidRDefault="008F6244" w:rsidP="006F2688">
            <w:pPr>
              <w:jc w:val="center"/>
            </w:pPr>
            <w:r>
              <w:t>Dec</w:t>
            </w:r>
          </w:p>
        </w:tc>
        <w:tc>
          <w:tcPr>
            <w:tcW w:w="1012" w:type="dxa"/>
            <w:tcBorders>
              <w:top w:val="nil"/>
              <w:bottom w:val="single" w:sz="4" w:space="0" w:color="auto"/>
            </w:tcBorders>
          </w:tcPr>
          <w:p w14:paraId="0F6C3DA1" w14:textId="76AAEE1B" w:rsidR="008F6244" w:rsidRDefault="00C72142" w:rsidP="006F2688">
            <w:pPr>
              <w:jc w:val="center"/>
            </w:pPr>
            <w:r w:rsidRPr="00C72142">
              <w:rPr>
                <w:color w:val="2F5496" w:themeColor="accent1" w:themeShade="BF"/>
              </w:rPr>
              <w:t>Mean</w:t>
            </w:r>
          </w:p>
        </w:tc>
      </w:tr>
      <w:tr w:rsidR="008F6244" w14:paraId="600ED445" w14:textId="46850CD9" w:rsidTr="008F6244">
        <w:tc>
          <w:tcPr>
            <w:tcW w:w="1064" w:type="dxa"/>
            <w:tcBorders>
              <w:top w:val="nil"/>
              <w:bottom w:val="nil"/>
              <w:right w:val="single" w:sz="4" w:space="0" w:color="auto"/>
            </w:tcBorders>
          </w:tcPr>
          <w:p w14:paraId="7ABE3431" w14:textId="5B88433A" w:rsidR="008F6244" w:rsidRPr="00AD66C1" w:rsidRDefault="008F6244" w:rsidP="006F2688">
            <w:pPr>
              <w:jc w:val="center"/>
              <w:rPr>
                <w:i/>
              </w:rPr>
            </w:pPr>
            <w:r w:rsidRPr="00AD66C1">
              <w:rPr>
                <w:i/>
              </w:rPr>
              <w:t>X</w:t>
            </w:r>
          </w:p>
        </w:tc>
        <w:tc>
          <w:tcPr>
            <w:tcW w:w="1096" w:type="dxa"/>
            <w:tcBorders>
              <w:top w:val="single" w:sz="4" w:space="0" w:color="auto"/>
              <w:left w:val="single" w:sz="4" w:space="0" w:color="auto"/>
              <w:bottom w:val="single" w:sz="4" w:space="0" w:color="auto"/>
              <w:right w:val="single" w:sz="4" w:space="0" w:color="auto"/>
            </w:tcBorders>
          </w:tcPr>
          <w:p w14:paraId="6DE52718" w14:textId="77777777" w:rsidR="008F6244" w:rsidRDefault="008F6244" w:rsidP="006F2688">
            <w:pPr>
              <w:jc w:val="center"/>
            </w:pPr>
            <w:r>
              <w:t>10.5</w:t>
            </w:r>
          </w:p>
        </w:tc>
        <w:tc>
          <w:tcPr>
            <w:tcW w:w="1098" w:type="dxa"/>
            <w:tcBorders>
              <w:top w:val="single" w:sz="4" w:space="0" w:color="auto"/>
              <w:left w:val="single" w:sz="4" w:space="0" w:color="auto"/>
              <w:bottom w:val="single" w:sz="4" w:space="0" w:color="auto"/>
              <w:right w:val="single" w:sz="4" w:space="0" w:color="auto"/>
            </w:tcBorders>
          </w:tcPr>
          <w:p w14:paraId="0B19C81F" w14:textId="77777777" w:rsidR="008F6244" w:rsidRDefault="008F6244" w:rsidP="006F2688">
            <w:pPr>
              <w:jc w:val="center"/>
            </w:pPr>
            <w:r>
              <w:t>11.2</w:t>
            </w:r>
          </w:p>
        </w:tc>
        <w:tc>
          <w:tcPr>
            <w:tcW w:w="1076" w:type="dxa"/>
            <w:tcBorders>
              <w:top w:val="single" w:sz="4" w:space="0" w:color="auto"/>
              <w:left w:val="single" w:sz="4" w:space="0" w:color="auto"/>
              <w:bottom w:val="single" w:sz="4" w:space="0" w:color="auto"/>
              <w:right w:val="single" w:sz="4" w:space="0" w:color="auto"/>
            </w:tcBorders>
          </w:tcPr>
          <w:p w14:paraId="771EFF3C" w14:textId="77777777" w:rsidR="008F6244" w:rsidRDefault="008F6244" w:rsidP="006F2688">
            <w:pPr>
              <w:jc w:val="center"/>
            </w:pPr>
            <w:r>
              <w:t>9.2</w:t>
            </w:r>
          </w:p>
        </w:tc>
        <w:tc>
          <w:tcPr>
            <w:tcW w:w="1098" w:type="dxa"/>
            <w:tcBorders>
              <w:top w:val="single" w:sz="4" w:space="0" w:color="auto"/>
              <w:left w:val="single" w:sz="4" w:space="0" w:color="auto"/>
              <w:bottom w:val="single" w:sz="4" w:space="0" w:color="auto"/>
              <w:right w:val="single" w:sz="4" w:space="0" w:color="auto"/>
            </w:tcBorders>
          </w:tcPr>
          <w:p w14:paraId="7B32A6EA" w14:textId="77777777" w:rsidR="008F6244" w:rsidRDefault="008F6244" w:rsidP="006F2688">
            <w:pPr>
              <w:jc w:val="center"/>
            </w:pPr>
            <w:r>
              <w:t>10.1</w:t>
            </w:r>
          </w:p>
        </w:tc>
        <w:tc>
          <w:tcPr>
            <w:tcW w:w="1098" w:type="dxa"/>
            <w:tcBorders>
              <w:top w:val="single" w:sz="4" w:space="0" w:color="auto"/>
              <w:left w:val="single" w:sz="4" w:space="0" w:color="auto"/>
              <w:bottom w:val="single" w:sz="4" w:space="0" w:color="auto"/>
              <w:right w:val="single" w:sz="4" w:space="0" w:color="auto"/>
            </w:tcBorders>
          </w:tcPr>
          <w:p w14:paraId="613A649A" w14:textId="77777777" w:rsidR="008F6244" w:rsidRDefault="008F6244" w:rsidP="006F2688">
            <w:pPr>
              <w:jc w:val="center"/>
            </w:pPr>
            <w:r>
              <w:t>10.4</w:t>
            </w:r>
          </w:p>
        </w:tc>
        <w:tc>
          <w:tcPr>
            <w:tcW w:w="1098" w:type="dxa"/>
            <w:tcBorders>
              <w:top w:val="single" w:sz="4" w:space="0" w:color="auto"/>
              <w:left w:val="single" w:sz="4" w:space="0" w:color="auto"/>
              <w:bottom w:val="single" w:sz="4" w:space="0" w:color="auto"/>
              <w:right w:val="single" w:sz="4" w:space="0" w:color="auto"/>
            </w:tcBorders>
          </w:tcPr>
          <w:p w14:paraId="1832630E" w14:textId="77777777" w:rsidR="008F6244" w:rsidRDefault="008F6244" w:rsidP="006F2688">
            <w:pPr>
              <w:jc w:val="center"/>
            </w:pPr>
            <w:r>
              <w:t>10.5</w:t>
            </w:r>
          </w:p>
        </w:tc>
        <w:tc>
          <w:tcPr>
            <w:tcW w:w="1012" w:type="dxa"/>
            <w:tcBorders>
              <w:top w:val="single" w:sz="4" w:space="0" w:color="auto"/>
              <w:left w:val="single" w:sz="4" w:space="0" w:color="auto"/>
              <w:bottom w:val="single" w:sz="4" w:space="0" w:color="auto"/>
              <w:right w:val="single" w:sz="4" w:space="0" w:color="auto"/>
            </w:tcBorders>
          </w:tcPr>
          <w:p w14:paraId="794AC5FB" w14:textId="4D510776" w:rsidR="008F6244" w:rsidRPr="00C72142" w:rsidRDefault="00C72142" w:rsidP="006F2688">
            <w:pPr>
              <w:jc w:val="center"/>
              <w:rPr>
                <w:color w:val="2F5496" w:themeColor="accent1" w:themeShade="BF"/>
              </w:rPr>
            </w:pPr>
            <w:r w:rsidRPr="00C72142">
              <w:rPr>
                <w:color w:val="2F5496" w:themeColor="accent1" w:themeShade="BF"/>
              </w:rPr>
              <w:t>10.31</w:t>
            </w:r>
            <w:r w:rsidR="000273F7">
              <w:rPr>
                <w:color w:val="2F5496" w:themeColor="accent1" w:themeShade="BF"/>
              </w:rPr>
              <w:t>7</w:t>
            </w:r>
          </w:p>
        </w:tc>
      </w:tr>
      <w:tr w:rsidR="008F6244" w14:paraId="503D2A70" w14:textId="449A36A1" w:rsidTr="008F6244">
        <w:tc>
          <w:tcPr>
            <w:tcW w:w="1064" w:type="dxa"/>
            <w:tcBorders>
              <w:top w:val="nil"/>
              <w:bottom w:val="nil"/>
              <w:right w:val="nil"/>
            </w:tcBorders>
          </w:tcPr>
          <w:p w14:paraId="5B837279" w14:textId="4F1540A7" w:rsidR="008F6244" w:rsidRPr="00AD66C1" w:rsidRDefault="008F6244" w:rsidP="006F2688">
            <w:pPr>
              <w:jc w:val="center"/>
              <w:rPr>
                <w:i/>
              </w:rPr>
            </w:pPr>
            <w:proofErr w:type="spellStart"/>
            <w:r w:rsidRPr="00AD66C1">
              <w:rPr>
                <w:i/>
              </w:rPr>
              <w:t>mR</w:t>
            </w:r>
            <w:proofErr w:type="spellEnd"/>
          </w:p>
        </w:tc>
        <w:tc>
          <w:tcPr>
            <w:tcW w:w="1096" w:type="dxa"/>
            <w:tcBorders>
              <w:top w:val="single" w:sz="4" w:space="0" w:color="auto"/>
              <w:left w:val="nil"/>
              <w:bottom w:val="nil"/>
              <w:right w:val="single" w:sz="4" w:space="0" w:color="auto"/>
            </w:tcBorders>
          </w:tcPr>
          <w:p w14:paraId="5CCB7DB2" w14:textId="77777777" w:rsidR="008F6244" w:rsidRDefault="008F6244" w:rsidP="006F2688">
            <w:pPr>
              <w:jc w:val="center"/>
            </w:pPr>
          </w:p>
        </w:tc>
        <w:tc>
          <w:tcPr>
            <w:tcW w:w="1098" w:type="dxa"/>
            <w:tcBorders>
              <w:top w:val="single" w:sz="4" w:space="0" w:color="auto"/>
              <w:left w:val="single" w:sz="4" w:space="0" w:color="auto"/>
              <w:bottom w:val="single" w:sz="4" w:space="0" w:color="auto"/>
              <w:right w:val="single" w:sz="4" w:space="0" w:color="auto"/>
            </w:tcBorders>
          </w:tcPr>
          <w:p w14:paraId="05A20B88" w14:textId="383E82CD" w:rsidR="008F6244" w:rsidRPr="008F6244" w:rsidRDefault="008F6244" w:rsidP="006F2688">
            <w:pPr>
              <w:jc w:val="center"/>
              <w:rPr>
                <w:color w:val="2F5496" w:themeColor="accent1" w:themeShade="BF"/>
              </w:rPr>
            </w:pPr>
            <w:r w:rsidRPr="008F6244">
              <w:rPr>
                <w:color w:val="2F5496" w:themeColor="accent1" w:themeShade="BF"/>
              </w:rPr>
              <w:t>0.7</w:t>
            </w:r>
          </w:p>
        </w:tc>
        <w:tc>
          <w:tcPr>
            <w:tcW w:w="1076" w:type="dxa"/>
            <w:tcBorders>
              <w:top w:val="single" w:sz="4" w:space="0" w:color="auto"/>
              <w:left w:val="single" w:sz="4" w:space="0" w:color="auto"/>
              <w:bottom w:val="single" w:sz="4" w:space="0" w:color="auto"/>
              <w:right w:val="single" w:sz="4" w:space="0" w:color="auto"/>
            </w:tcBorders>
          </w:tcPr>
          <w:p w14:paraId="34A1092B" w14:textId="0B32E153" w:rsidR="008F6244" w:rsidRPr="008F6244" w:rsidRDefault="008F6244" w:rsidP="006F2688">
            <w:pPr>
              <w:jc w:val="center"/>
              <w:rPr>
                <w:color w:val="2F5496" w:themeColor="accent1" w:themeShade="BF"/>
              </w:rPr>
            </w:pPr>
            <w:r w:rsidRPr="008F6244">
              <w:rPr>
                <w:color w:val="2F5496" w:themeColor="accent1" w:themeShade="BF"/>
              </w:rPr>
              <w:t>2.0</w:t>
            </w:r>
          </w:p>
        </w:tc>
        <w:tc>
          <w:tcPr>
            <w:tcW w:w="1098" w:type="dxa"/>
            <w:tcBorders>
              <w:top w:val="single" w:sz="4" w:space="0" w:color="auto"/>
              <w:left w:val="single" w:sz="4" w:space="0" w:color="auto"/>
              <w:bottom w:val="single" w:sz="4" w:space="0" w:color="auto"/>
              <w:right w:val="single" w:sz="4" w:space="0" w:color="auto"/>
            </w:tcBorders>
          </w:tcPr>
          <w:p w14:paraId="20E98945" w14:textId="27207B73" w:rsidR="008F6244" w:rsidRPr="008F6244" w:rsidRDefault="008F6244" w:rsidP="006F2688">
            <w:pPr>
              <w:jc w:val="center"/>
              <w:rPr>
                <w:color w:val="2F5496" w:themeColor="accent1" w:themeShade="BF"/>
              </w:rPr>
            </w:pPr>
            <w:r w:rsidRPr="008F6244">
              <w:rPr>
                <w:color w:val="2F5496" w:themeColor="accent1" w:themeShade="BF"/>
              </w:rPr>
              <w:t>0.9</w:t>
            </w:r>
          </w:p>
        </w:tc>
        <w:tc>
          <w:tcPr>
            <w:tcW w:w="1098" w:type="dxa"/>
            <w:tcBorders>
              <w:top w:val="single" w:sz="4" w:space="0" w:color="auto"/>
              <w:left w:val="single" w:sz="4" w:space="0" w:color="auto"/>
              <w:bottom w:val="single" w:sz="4" w:space="0" w:color="auto"/>
              <w:right w:val="single" w:sz="4" w:space="0" w:color="auto"/>
            </w:tcBorders>
          </w:tcPr>
          <w:p w14:paraId="3A43DCF4" w14:textId="638665A5" w:rsidR="008F6244" w:rsidRPr="008F6244" w:rsidRDefault="008F6244" w:rsidP="006F2688">
            <w:pPr>
              <w:jc w:val="center"/>
              <w:rPr>
                <w:color w:val="2F5496" w:themeColor="accent1" w:themeShade="BF"/>
              </w:rPr>
            </w:pPr>
            <w:r w:rsidRPr="008F6244">
              <w:rPr>
                <w:color w:val="2F5496" w:themeColor="accent1" w:themeShade="BF"/>
              </w:rPr>
              <w:t>0.3</w:t>
            </w:r>
          </w:p>
        </w:tc>
        <w:tc>
          <w:tcPr>
            <w:tcW w:w="1098" w:type="dxa"/>
            <w:tcBorders>
              <w:top w:val="single" w:sz="4" w:space="0" w:color="auto"/>
              <w:left w:val="single" w:sz="4" w:space="0" w:color="auto"/>
              <w:bottom w:val="single" w:sz="4" w:space="0" w:color="auto"/>
              <w:right w:val="single" w:sz="4" w:space="0" w:color="auto"/>
            </w:tcBorders>
          </w:tcPr>
          <w:p w14:paraId="58806204" w14:textId="51351E8B" w:rsidR="008F6244" w:rsidRPr="008F6244" w:rsidRDefault="008F6244" w:rsidP="006F2688">
            <w:pPr>
              <w:jc w:val="center"/>
              <w:rPr>
                <w:color w:val="2F5496" w:themeColor="accent1" w:themeShade="BF"/>
              </w:rPr>
            </w:pPr>
            <w:r w:rsidRPr="008F6244">
              <w:rPr>
                <w:color w:val="2F5496" w:themeColor="accent1" w:themeShade="BF"/>
              </w:rPr>
              <w:t>0.1</w:t>
            </w:r>
          </w:p>
        </w:tc>
        <w:tc>
          <w:tcPr>
            <w:tcW w:w="1012" w:type="dxa"/>
            <w:tcBorders>
              <w:top w:val="single" w:sz="4" w:space="0" w:color="auto"/>
              <w:left w:val="single" w:sz="4" w:space="0" w:color="auto"/>
              <w:bottom w:val="single" w:sz="4" w:space="0" w:color="auto"/>
              <w:right w:val="single" w:sz="4" w:space="0" w:color="auto"/>
            </w:tcBorders>
          </w:tcPr>
          <w:p w14:paraId="6B2E8F7C" w14:textId="1003B2FC" w:rsidR="008F6244" w:rsidRPr="00C72142" w:rsidRDefault="00C72142" w:rsidP="006F2688">
            <w:pPr>
              <w:jc w:val="center"/>
              <w:rPr>
                <w:color w:val="2F5496" w:themeColor="accent1" w:themeShade="BF"/>
              </w:rPr>
            </w:pPr>
            <w:r w:rsidRPr="00C72142">
              <w:rPr>
                <w:color w:val="2F5496" w:themeColor="accent1" w:themeShade="BF"/>
              </w:rPr>
              <w:t>0.8</w:t>
            </w:r>
          </w:p>
        </w:tc>
      </w:tr>
    </w:tbl>
    <w:p w14:paraId="1239A25C" w14:textId="6C22D583" w:rsidR="0083351B" w:rsidRDefault="0083351B" w:rsidP="0083351B">
      <w:pPr>
        <w:ind w:left="360"/>
      </w:pPr>
    </w:p>
    <w:p w14:paraId="714AAE8D" w14:textId="16AF3785" w:rsidR="00C72142" w:rsidRDefault="00DC275C" w:rsidP="0083351B">
      <w:pPr>
        <w:pStyle w:val="ListParagraph"/>
        <w:numPr>
          <w:ilvl w:val="0"/>
          <w:numId w:val="1"/>
        </w:numPr>
      </w:pPr>
      <w:r>
        <w:t>Use the data in Figure 6.7</w:t>
      </w:r>
      <w:r w:rsidR="00156D9F">
        <w:t xml:space="preserve"> </w:t>
      </w:r>
      <w:r>
        <w:t xml:space="preserve">to compute the monthly moving ranges. Note that moving ranges are defined to </w:t>
      </w:r>
      <w:r w:rsidR="00AD66C1">
        <w:t>b</w:t>
      </w:r>
      <w:r>
        <w:t xml:space="preserve">e positive values, and are found by computing the difference between successive values. </w:t>
      </w:r>
      <w:r w:rsidR="00AD66C1">
        <w:t>Write these values in the space provided in Figure 6.8, and plot the running record of moving ranges.</w:t>
      </w:r>
      <w:r w:rsidR="001E714A">
        <w:br/>
      </w:r>
      <w:r w:rsidR="001E714A" w:rsidRPr="0083351B">
        <w:rPr>
          <w:color w:val="2F5496" w:themeColor="accent1" w:themeShade="BF"/>
        </w:rPr>
        <w:t>** Pasted from Excel spreadsheet</w:t>
      </w:r>
      <w:r w:rsidR="00544BA3">
        <w:br/>
      </w:r>
      <w:r w:rsidR="000273F7">
        <w:rPr>
          <w:noProof/>
        </w:rPr>
        <w:drawing>
          <wp:inline distT="0" distB="0" distL="0" distR="0" wp14:anchorId="191C6B4D" wp14:editId="724D2CDB">
            <wp:extent cx="5004057" cy="62868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4057" cy="628682"/>
                    </a:xfrm>
                    <a:prstGeom prst="rect">
                      <a:avLst/>
                    </a:prstGeom>
                  </pic:spPr>
                </pic:pic>
              </a:graphicData>
            </a:graphic>
          </wp:inline>
        </w:drawing>
      </w:r>
      <w:r w:rsidR="00965C31">
        <w:rPr>
          <w:color w:val="2F5496" w:themeColor="accent1" w:themeShade="BF"/>
        </w:rPr>
        <w:br/>
      </w:r>
    </w:p>
    <w:p w14:paraId="17E2321C" w14:textId="09C0CE03" w:rsidR="00AD66C1" w:rsidRDefault="00AD66C1" w:rsidP="00DC275C">
      <w:pPr>
        <w:pStyle w:val="ListParagraph"/>
        <w:numPr>
          <w:ilvl w:val="0"/>
          <w:numId w:val="1"/>
        </w:numPr>
      </w:pPr>
      <w:r>
        <w:t>Compute the average trade deficit for the last half of 1988.</w:t>
      </w:r>
      <w:r w:rsidR="00297955">
        <w:br/>
      </w:r>
      <w:r w:rsidR="009D72A1" w:rsidRPr="00831F4A">
        <w:rPr>
          <w:color w:val="2F5496" w:themeColor="accent1" w:themeShade="BF"/>
        </w:rPr>
        <w:t xml:space="preserve">Average of Trade Deficits is </w:t>
      </w:r>
      <w:proofErr w:type="spellStart"/>
      <w:r w:rsidR="009D72A1" w:rsidRPr="00831F4A">
        <w:rPr>
          <w:i/>
          <w:color w:val="2F5496" w:themeColor="accent1" w:themeShade="BF"/>
        </w:rPr>
        <w:t>X</w:t>
      </w:r>
      <w:r w:rsidR="003E0844">
        <w:rPr>
          <w:i/>
          <w:color w:val="2F5496" w:themeColor="accent1" w:themeShade="BF"/>
        </w:rPr>
        <w:t>bar</w:t>
      </w:r>
      <w:proofErr w:type="spellEnd"/>
      <w:r w:rsidR="009D72A1" w:rsidRPr="00831F4A">
        <w:rPr>
          <w:color w:val="2F5496" w:themeColor="accent1" w:themeShade="BF"/>
        </w:rPr>
        <w:t xml:space="preserve"> (see #2) or 10.317</w:t>
      </w:r>
      <w:r w:rsidR="00831F4A">
        <w:t>.</w:t>
      </w:r>
      <w:r w:rsidR="00B94E55">
        <w:br/>
      </w:r>
    </w:p>
    <w:p w14:paraId="4A1BB92F" w14:textId="44AC033C" w:rsidR="00AD66C1" w:rsidRDefault="00AD66C1" w:rsidP="00DC275C">
      <w:pPr>
        <w:pStyle w:val="ListParagraph"/>
        <w:numPr>
          <w:ilvl w:val="0"/>
          <w:numId w:val="1"/>
        </w:numPr>
      </w:pPr>
      <w:r>
        <w:t>Compute the Average Moving Range.</w:t>
      </w:r>
      <w:r w:rsidR="00297955">
        <w:br/>
      </w:r>
      <w:r w:rsidR="00297955" w:rsidRPr="00297955">
        <w:rPr>
          <w:color w:val="2F5496" w:themeColor="accent1" w:themeShade="BF"/>
        </w:rPr>
        <w:t>That would be</w:t>
      </w:r>
      <w:r w:rsidR="003E0844">
        <w:rPr>
          <w:color w:val="2F5496" w:themeColor="accent1" w:themeShade="BF"/>
        </w:rPr>
        <w:t xml:space="preserve"> </w:t>
      </w:r>
      <w:proofErr w:type="spellStart"/>
      <w:r w:rsidR="003E0844">
        <w:rPr>
          <w:i/>
          <w:color w:val="2F5496" w:themeColor="accent1" w:themeShade="BF"/>
        </w:rPr>
        <w:t>mR</w:t>
      </w:r>
      <w:proofErr w:type="spellEnd"/>
      <w:r w:rsidR="003E0844">
        <w:rPr>
          <w:i/>
          <w:color w:val="2F5496" w:themeColor="accent1" w:themeShade="BF"/>
        </w:rPr>
        <w:t xml:space="preserve"> bar =</w:t>
      </w:r>
      <w:r w:rsidR="00297955" w:rsidRPr="00297955">
        <w:rPr>
          <w:color w:val="2F5496" w:themeColor="accent1" w:themeShade="BF"/>
        </w:rPr>
        <w:t xml:space="preserve"> 0.8 (see #2)</w:t>
      </w:r>
      <w:r w:rsidR="00B94E55">
        <w:rPr>
          <w:color w:val="2F5496" w:themeColor="accent1" w:themeShade="BF"/>
        </w:rPr>
        <w:br/>
      </w:r>
    </w:p>
    <w:p w14:paraId="6DE04DF9" w14:textId="739CB817" w:rsidR="000273F7" w:rsidRPr="00B94E55" w:rsidRDefault="00AD66C1" w:rsidP="000273F7">
      <w:pPr>
        <w:pStyle w:val="ListParagraph"/>
        <w:numPr>
          <w:ilvl w:val="0"/>
          <w:numId w:val="1"/>
        </w:numPr>
      </w:pPr>
      <w:r>
        <w:t>Compute the Natural Process Limits for the X-chart using the formulas on page 60 or on page</w:t>
      </w:r>
      <w:r w:rsidR="000D5A5E">
        <w:t> </w:t>
      </w:r>
      <w:r>
        <w:t>137.</w:t>
      </w:r>
      <w:r w:rsidR="000D5A5E">
        <w:br/>
      </w:r>
      <w:r w:rsidR="001D5F1B">
        <w:rPr>
          <w:color w:val="2F5496" w:themeColor="accent1" w:themeShade="BF"/>
        </w:rPr>
        <w:t xml:space="preserve">I assumed the Individual Moving Range, since only one data point per month. </w:t>
      </w:r>
      <w:r w:rsidR="000E41EE" w:rsidRPr="000E41EE">
        <w:rPr>
          <w:color w:val="2F5496" w:themeColor="accent1" w:themeShade="BF"/>
        </w:rPr>
        <w:t xml:space="preserve">The formula for the LCL = </w:t>
      </w:r>
      <w:proofErr w:type="spellStart"/>
      <w:r w:rsidR="000E41EE" w:rsidRPr="000E41EE">
        <w:rPr>
          <w:i/>
          <w:color w:val="2F5496" w:themeColor="accent1" w:themeShade="BF"/>
        </w:rPr>
        <w:t>Xbar</w:t>
      </w:r>
      <w:proofErr w:type="spellEnd"/>
      <w:r w:rsidR="000E41EE" w:rsidRPr="000E41EE">
        <w:rPr>
          <w:i/>
          <w:color w:val="2F5496" w:themeColor="accent1" w:themeShade="BF"/>
        </w:rPr>
        <w:t xml:space="preserve"> - (E</w:t>
      </w:r>
      <w:r w:rsidR="001C160C" w:rsidRPr="001C160C">
        <w:rPr>
          <w:i/>
          <w:color w:val="2F5496" w:themeColor="accent1" w:themeShade="BF"/>
          <w:vertAlign w:val="subscript"/>
        </w:rPr>
        <w:t>2</w:t>
      </w:r>
      <w:r w:rsidR="000E41EE" w:rsidRPr="000E41EE">
        <w:rPr>
          <w:i/>
          <w:color w:val="2F5496" w:themeColor="accent1" w:themeShade="BF"/>
        </w:rPr>
        <w:t xml:space="preserve"> * </w:t>
      </w:r>
      <w:proofErr w:type="spellStart"/>
      <w:r w:rsidR="000E41EE" w:rsidRPr="000E41EE">
        <w:rPr>
          <w:i/>
          <w:color w:val="2F5496" w:themeColor="accent1" w:themeShade="BF"/>
        </w:rPr>
        <w:t>m</w:t>
      </w:r>
      <w:r w:rsidR="000273F7">
        <w:rPr>
          <w:i/>
          <w:color w:val="2F5496" w:themeColor="accent1" w:themeShade="BF"/>
        </w:rPr>
        <w:t>R</w:t>
      </w:r>
      <w:r w:rsidR="000E41EE" w:rsidRPr="000E41EE">
        <w:rPr>
          <w:i/>
          <w:color w:val="2F5496" w:themeColor="accent1" w:themeShade="BF"/>
        </w:rPr>
        <w:t>bar</w:t>
      </w:r>
      <w:proofErr w:type="spellEnd"/>
      <w:r w:rsidR="000E41EE" w:rsidRPr="000E41EE">
        <w:rPr>
          <w:i/>
          <w:color w:val="2F5496" w:themeColor="accent1" w:themeShade="BF"/>
        </w:rPr>
        <w:t xml:space="preserve">) </w:t>
      </w:r>
      <w:r w:rsidR="000E41EE" w:rsidRPr="000E41EE">
        <w:rPr>
          <w:color w:val="2F5496" w:themeColor="accent1" w:themeShade="BF"/>
        </w:rPr>
        <w:t xml:space="preserve">and for UCL </w:t>
      </w:r>
      <w:r w:rsidR="000E41EE" w:rsidRPr="000E41EE">
        <w:rPr>
          <w:color w:val="2F5496" w:themeColor="accent1" w:themeShade="BF"/>
        </w:rPr>
        <w:t xml:space="preserve">= </w:t>
      </w:r>
      <w:proofErr w:type="spellStart"/>
      <w:r w:rsidR="000E41EE" w:rsidRPr="000E41EE">
        <w:rPr>
          <w:i/>
          <w:color w:val="2F5496" w:themeColor="accent1" w:themeShade="BF"/>
        </w:rPr>
        <w:t>Xbar</w:t>
      </w:r>
      <w:proofErr w:type="spellEnd"/>
      <w:r w:rsidR="000E41EE" w:rsidRPr="000E41EE">
        <w:rPr>
          <w:i/>
          <w:color w:val="2F5496" w:themeColor="accent1" w:themeShade="BF"/>
        </w:rPr>
        <w:t xml:space="preserve"> + </w:t>
      </w:r>
      <w:r w:rsidR="001C160C" w:rsidRPr="000E41EE">
        <w:rPr>
          <w:i/>
          <w:color w:val="2F5496" w:themeColor="accent1" w:themeShade="BF"/>
        </w:rPr>
        <w:t>(E</w:t>
      </w:r>
      <w:r w:rsidR="001C160C" w:rsidRPr="001C160C">
        <w:rPr>
          <w:i/>
          <w:color w:val="2F5496" w:themeColor="accent1" w:themeShade="BF"/>
          <w:vertAlign w:val="subscript"/>
        </w:rPr>
        <w:t>2</w:t>
      </w:r>
      <w:r w:rsidR="001C160C" w:rsidRPr="000E41EE">
        <w:rPr>
          <w:i/>
          <w:color w:val="2F5496" w:themeColor="accent1" w:themeShade="BF"/>
        </w:rPr>
        <w:t xml:space="preserve"> </w:t>
      </w:r>
      <w:r w:rsidR="000E41EE" w:rsidRPr="000E41EE">
        <w:rPr>
          <w:i/>
          <w:color w:val="2F5496" w:themeColor="accent1" w:themeShade="BF"/>
        </w:rPr>
        <w:t xml:space="preserve">* </w:t>
      </w:r>
      <w:proofErr w:type="spellStart"/>
      <w:r w:rsidR="000E41EE" w:rsidRPr="000E41EE">
        <w:rPr>
          <w:i/>
          <w:color w:val="2F5496" w:themeColor="accent1" w:themeShade="BF"/>
        </w:rPr>
        <w:t>m</w:t>
      </w:r>
      <w:r w:rsidR="000273F7">
        <w:rPr>
          <w:i/>
          <w:color w:val="2F5496" w:themeColor="accent1" w:themeShade="BF"/>
        </w:rPr>
        <w:t>R</w:t>
      </w:r>
      <w:r w:rsidR="000E41EE" w:rsidRPr="000E41EE">
        <w:rPr>
          <w:i/>
          <w:color w:val="2F5496" w:themeColor="accent1" w:themeShade="BF"/>
        </w:rPr>
        <w:t>bar</w:t>
      </w:r>
      <w:proofErr w:type="spellEnd"/>
      <w:r w:rsidR="000E41EE" w:rsidRPr="000E41EE">
        <w:rPr>
          <w:i/>
          <w:color w:val="2F5496" w:themeColor="accent1" w:themeShade="BF"/>
        </w:rPr>
        <w:t>)</w:t>
      </w:r>
      <w:r w:rsidR="000D5357">
        <w:rPr>
          <w:i/>
          <w:color w:val="2F5496" w:themeColor="accent1" w:themeShade="BF"/>
        </w:rPr>
        <w:br/>
      </w:r>
      <w:r w:rsidR="000D5357">
        <w:rPr>
          <w:color w:val="2F5496" w:themeColor="accent1" w:themeShade="BF"/>
        </w:rPr>
        <w:t xml:space="preserve">Using </w:t>
      </w:r>
      <w:r w:rsidR="00C336B3">
        <w:rPr>
          <w:color w:val="2F5496" w:themeColor="accent1" w:themeShade="BF"/>
        </w:rPr>
        <w:t xml:space="preserve">constants </w:t>
      </w:r>
      <w:r w:rsidR="000D5357">
        <w:rPr>
          <w:color w:val="2F5496" w:themeColor="accent1" w:themeShade="BF"/>
        </w:rPr>
        <w:t xml:space="preserve">chart, our </w:t>
      </w:r>
      <w:r w:rsidR="002502C5" w:rsidRPr="000E41EE">
        <w:rPr>
          <w:i/>
          <w:color w:val="2F5496" w:themeColor="accent1" w:themeShade="BF"/>
        </w:rPr>
        <w:t>E</w:t>
      </w:r>
      <w:r w:rsidR="002502C5" w:rsidRPr="001C160C">
        <w:rPr>
          <w:i/>
          <w:color w:val="2F5496" w:themeColor="accent1" w:themeShade="BF"/>
          <w:vertAlign w:val="subscript"/>
        </w:rPr>
        <w:t>2</w:t>
      </w:r>
      <w:r w:rsidR="002502C5">
        <w:rPr>
          <w:i/>
          <w:color w:val="2F5496" w:themeColor="accent1" w:themeShade="BF"/>
          <w:vertAlign w:val="subscript"/>
        </w:rPr>
        <w:t xml:space="preserve"> </w:t>
      </w:r>
      <w:r w:rsidR="00F608C2">
        <w:rPr>
          <w:color w:val="2F5496" w:themeColor="accent1" w:themeShade="BF"/>
        </w:rPr>
        <w:t xml:space="preserve">for </w:t>
      </w:r>
      <w:r w:rsidR="002502C5">
        <w:rPr>
          <w:color w:val="2F5496" w:themeColor="accent1" w:themeShade="BF"/>
        </w:rPr>
        <w:t>2 periods because there is only 1 data point per day</w:t>
      </w:r>
      <w:r w:rsidR="00F608C2">
        <w:rPr>
          <w:color w:val="2F5496" w:themeColor="accent1" w:themeShade="BF"/>
        </w:rPr>
        <w:t>.</w:t>
      </w:r>
      <w:r w:rsidR="000273F7">
        <w:rPr>
          <w:color w:val="2F5496" w:themeColor="accent1" w:themeShade="BF"/>
        </w:rPr>
        <w:br/>
      </w:r>
      <w:r w:rsidR="000273F7" w:rsidRPr="000273F7">
        <w:rPr>
          <w:i/>
          <w:color w:val="2F5496" w:themeColor="accent1" w:themeShade="BF"/>
        </w:rPr>
        <w:t>LCL</w:t>
      </w:r>
      <w:r w:rsidR="000273F7">
        <w:rPr>
          <w:color w:val="2F5496" w:themeColor="accent1" w:themeShade="BF"/>
        </w:rPr>
        <w:t xml:space="preserve"> = 10.317 – (</w:t>
      </w:r>
      <w:r w:rsidR="001C160C">
        <w:rPr>
          <w:color w:val="2F5496" w:themeColor="accent1" w:themeShade="BF"/>
        </w:rPr>
        <w:t>2.66</w:t>
      </w:r>
      <w:r w:rsidR="000273F7">
        <w:rPr>
          <w:color w:val="2F5496" w:themeColor="accent1" w:themeShade="BF"/>
        </w:rPr>
        <w:t xml:space="preserve">*0.8) = </w:t>
      </w:r>
      <w:r w:rsidR="002502C5">
        <w:rPr>
          <w:color w:val="2F5496" w:themeColor="accent1" w:themeShade="BF"/>
        </w:rPr>
        <w:t>12.445</w:t>
      </w:r>
      <w:r w:rsidR="000273F7">
        <w:rPr>
          <w:color w:val="2F5496" w:themeColor="accent1" w:themeShade="BF"/>
        </w:rPr>
        <w:br/>
      </w:r>
      <w:r w:rsidR="000273F7" w:rsidRPr="000273F7">
        <w:rPr>
          <w:i/>
          <w:color w:val="2F5496" w:themeColor="accent1" w:themeShade="BF"/>
        </w:rPr>
        <w:t>UCL</w:t>
      </w:r>
      <w:r w:rsidR="000273F7">
        <w:rPr>
          <w:color w:val="2F5496" w:themeColor="accent1" w:themeShade="BF"/>
        </w:rPr>
        <w:t xml:space="preserve"> = </w:t>
      </w:r>
      <w:r w:rsidR="000273F7">
        <w:rPr>
          <w:color w:val="2F5496" w:themeColor="accent1" w:themeShade="BF"/>
        </w:rPr>
        <w:t>10.31</w:t>
      </w:r>
      <w:r w:rsidR="000273F7">
        <w:rPr>
          <w:color w:val="2F5496" w:themeColor="accent1" w:themeShade="BF"/>
        </w:rPr>
        <w:t>7</w:t>
      </w:r>
      <w:r w:rsidR="000273F7">
        <w:rPr>
          <w:color w:val="2F5496" w:themeColor="accent1" w:themeShade="BF"/>
        </w:rPr>
        <w:t xml:space="preserve"> </w:t>
      </w:r>
      <w:r w:rsidR="000273F7">
        <w:rPr>
          <w:color w:val="2F5496" w:themeColor="accent1" w:themeShade="BF"/>
        </w:rPr>
        <w:t>+</w:t>
      </w:r>
      <w:r w:rsidR="000273F7">
        <w:rPr>
          <w:color w:val="2F5496" w:themeColor="accent1" w:themeShade="BF"/>
        </w:rPr>
        <w:t xml:space="preserve"> (</w:t>
      </w:r>
      <w:r w:rsidR="001C160C">
        <w:rPr>
          <w:color w:val="2F5496" w:themeColor="accent1" w:themeShade="BF"/>
        </w:rPr>
        <w:t>2.66</w:t>
      </w:r>
      <w:r w:rsidR="000273F7">
        <w:rPr>
          <w:color w:val="2F5496" w:themeColor="accent1" w:themeShade="BF"/>
        </w:rPr>
        <w:t>*0.8) =</w:t>
      </w:r>
      <w:r w:rsidR="000273F7">
        <w:rPr>
          <w:color w:val="2F5496" w:themeColor="accent1" w:themeShade="BF"/>
        </w:rPr>
        <w:t xml:space="preserve"> </w:t>
      </w:r>
      <w:r w:rsidR="002502C5">
        <w:rPr>
          <w:color w:val="2F5496" w:themeColor="accent1" w:themeShade="BF"/>
        </w:rPr>
        <w:t>8.189</w:t>
      </w:r>
      <w:r w:rsidR="00B94E55">
        <w:rPr>
          <w:color w:val="2F5496" w:themeColor="accent1" w:themeShade="BF"/>
        </w:rPr>
        <w:br/>
      </w:r>
    </w:p>
    <w:p w14:paraId="3ACA298B" w14:textId="23E6B7EB" w:rsidR="00AD66C1" w:rsidRDefault="00AD66C1" w:rsidP="00DC275C">
      <w:pPr>
        <w:pStyle w:val="ListParagraph"/>
        <w:numPr>
          <w:ilvl w:val="0"/>
          <w:numId w:val="1"/>
        </w:numPr>
      </w:pPr>
      <w:r>
        <w:t>Compute the Upper Range Limit using the formula on page 60 or on page 137.</w:t>
      </w:r>
      <w:r w:rsidR="00297955">
        <w:br/>
      </w:r>
      <w:r w:rsidR="001C3B9C" w:rsidRPr="000273F7">
        <w:rPr>
          <w:i/>
          <w:color w:val="2F5496" w:themeColor="accent1" w:themeShade="BF"/>
        </w:rPr>
        <w:t>UCL</w:t>
      </w:r>
      <w:r w:rsidR="001C3B9C">
        <w:rPr>
          <w:color w:val="2F5496" w:themeColor="accent1" w:themeShade="BF"/>
        </w:rPr>
        <w:t xml:space="preserve"> = 10.317 + (1.18*0.8) = 9.373</w:t>
      </w:r>
      <w:r w:rsidR="00B94E55">
        <w:rPr>
          <w:color w:val="2F5496" w:themeColor="accent1" w:themeShade="BF"/>
        </w:rPr>
        <w:br/>
      </w:r>
    </w:p>
    <w:p w14:paraId="6406C3B9" w14:textId="17BCFA41" w:rsidR="00AD66C1" w:rsidRDefault="00AD66C1" w:rsidP="00D04A8B">
      <w:pPr>
        <w:pStyle w:val="ListParagraph"/>
        <w:numPr>
          <w:ilvl w:val="0"/>
          <w:numId w:val="1"/>
        </w:numPr>
        <w:ind w:left="360"/>
      </w:pPr>
      <w:r>
        <w:lastRenderedPageBreak/>
        <w:t xml:space="preserve">Plot the </w:t>
      </w:r>
      <w:r w:rsidRPr="00EF5BB8">
        <w:rPr>
          <w:i/>
        </w:rPr>
        <w:t>limits</w:t>
      </w:r>
      <w:r>
        <w:t xml:space="preserve"> from Figure 6.8 on Figure 6.10.</w:t>
      </w:r>
      <w:r w:rsidR="00945940">
        <w:br/>
      </w:r>
      <w:r w:rsidR="00945940" w:rsidRPr="00EF5BB8">
        <w:rPr>
          <w:color w:val="2F5496" w:themeColor="accent1" w:themeShade="BF"/>
        </w:rPr>
        <w:t>Time Series Chart</w:t>
      </w:r>
      <w:r w:rsidR="00B94E55">
        <w:br/>
      </w:r>
      <w:r w:rsidR="00D554A0" w:rsidRPr="00D554A0">
        <w:rPr>
          <w:noProof/>
        </w:rPr>
        <w:t xml:space="preserve"> </w:t>
      </w:r>
      <w:r w:rsidR="00D554A0">
        <w:rPr>
          <w:noProof/>
        </w:rPr>
        <w:drawing>
          <wp:inline distT="0" distB="0" distL="0" distR="0" wp14:anchorId="7BF47B5E" wp14:editId="05B64C9D">
            <wp:extent cx="4692650" cy="287140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7616" cy="2880560"/>
                    </a:xfrm>
                    <a:prstGeom prst="rect">
                      <a:avLst/>
                    </a:prstGeom>
                  </pic:spPr>
                </pic:pic>
              </a:graphicData>
            </a:graphic>
          </wp:inline>
        </w:drawing>
      </w:r>
      <w:r w:rsidR="00945940" w:rsidRPr="00EF5BB8">
        <w:rPr>
          <w:color w:val="2F5496" w:themeColor="accent1" w:themeShade="BF"/>
        </w:rPr>
        <w:br/>
        <w:t>Moving Range Chart</w:t>
      </w:r>
      <w:r w:rsidR="00945940" w:rsidRPr="00EF5BB8">
        <w:rPr>
          <w:color w:val="2F5496" w:themeColor="accent1" w:themeShade="BF"/>
        </w:rPr>
        <w:br/>
      </w:r>
      <w:r w:rsidR="005A1CA9" w:rsidRPr="00EF5BB8">
        <w:rPr>
          <w:color w:val="2F5496" w:themeColor="accent1" w:themeShade="BF"/>
        </w:rPr>
        <w:t>For UCL use D</w:t>
      </w:r>
      <w:r w:rsidR="005A1CA9" w:rsidRPr="00EF5BB8">
        <w:rPr>
          <w:color w:val="2F5496" w:themeColor="accent1" w:themeShade="BF"/>
          <w:vertAlign w:val="subscript"/>
        </w:rPr>
        <w:t>4</w:t>
      </w:r>
      <w:r w:rsidR="005A1CA9" w:rsidRPr="00EF5BB8">
        <w:rPr>
          <w:color w:val="2F5496" w:themeColor="accent1" w:themeShade="BF"/>
        </w:rPr>
        <w:t xml:space="preserve"> and for LCL use D</w:t>
      </w:r>
      <w:r w:rsidR="005A1CA9" w:rsidRPr="00EF5BB8">
        <w:rPr>
          <w:color w:val="2F5496" w:themeColor="accent1" w:themeShade="BF"/>
          <w:vertAlign w:val="subscript"/>
        </w:rPr>
        <w:t>3</w:t>
      </w:r>
      <w:r w:rsidR="005A1CA9" w:rsidRPr="00EF5BB8">
        <w:rPr>
          <w:color w:val="2F5496" w:themeColor="accent1" w:themeShade="BF"/>
        </w:rPr>
        <w:t xml:space="preserve">, sample size is </w:t>
      </w:r>
      <w:r w:rsidR="001C160C" w:rsidRPr="00EF5BB8">
        <w:rPr>
          <w:color w:val="2F5496" w:themeColor="accent1" w:themeShade="BF"/>
        </w:rPr>
        <w:t>1, but there is no 1 on the chart</w:t>
      </w:r>
      <w:r w:rsidR="005A1CA9" w:rsidRPr="00EF5BB8">
        <w:rPr>
          <w:color w:val="2F5496" w:themeColor="accent1" w:themeShade="BF"/>
        </w:rPr>
        <w:t xml:space="preserve"> for moving range,</w:t>
      </w:r>
      <w:r w:rsidR="001C160C" w:rsidRPr="00EF5BB8">
        <w:rPr>
          <w:color w:val="2F5496" w:themeColor="accent1" w:themeShade="BF"/>
        </w:rPr>
        <w:t xml:space="preserve"> we select n = 2</w:t>
      </w:r>
      <w:r w:rsidR="005A1CA9" w:rsidRPr="00EF5BB8">
        <w:rPr>
          <w:color w:val="2F5496" w:themeColor="accent1" w:themeShade="BF"/>
        </w:rPr>
        <w:t xml:space="preserve"> so I used D</w:t>
      </w:r>
      <w:r w:rsidR="005A1CA9" w:rsidRPr="00EF5BB8">
        <w:rPr>
          <w:color w:val="2F5496" w:themeColor="accent1" w:themeShade="BF"/>
          <w:vertAlign w:val="subscript"/>
        </w:rPr>
        <w:t>4</w:t>
      </w:r>
      <w:r w:rsidR="005A1CA9" w:rsidRPr="00EF5BB8">
        <w:rPr>
          <w:color w:val="2F5496" w:themeColor="accent1" w:themeShade="BF"/>
        </w:rPr>
        <w:t xml:space="preserve"> = </w:t>
      </w:r>
      <w:r w:rsidR="001C160C" w:rsidRPr="00EF5BB8">
        <w:rPr>
          <w:color w:val="2F5496" w:themeColor="accent1" w:themeShade="BF"/>
        </w:rPr>
        <w:t>3.27</w:t>
      </w:r>
      <w:r w:rsidR="005A1CA9" w:rsidRPr="00EF5BB8">
        <w:rPr>
          <w:color w:val="2F5496" w:themeColor="accent1" w:themeShade="BF"/>
        </w:rPr>
        <w:t xml:space="preserve"> and D</w:t>
      </w:r>
      <w:r w:rsidR="005A1CA9" w:rsidRPr="00EF5BB8">
        <w:rPr>
          <w:color w:val="2F5496" w:themeColor="accent1" w:themeShade="BF"/>
          <w:vertAlign w:val="subscript"/>
        </w:rPr>
        <w:t>3</w:t>
      </w:r>
      <w:r w:rsidR="005A1CA9" w:rsidRPr="00EF5BB8">
        <w:rPr>
          <w:color w:val="2F5496" w:themeColor="accent1" w:themeShade="BF"/>
        </w:rPr>
        <w:t xml:space="preserve"> = 0.</w:t>
      </w:r>
      <w:r w:rsidR="005A1CA9" w:rsidRPr="00EF5BB8">
        <w:rPr>
          <w:b/>
          <w:color w:val="FF0000"/>
          <w14:textFill>
            <w14:solidFill>
              <w14:srgbClr w14:val="FF0000">
                <w14:lumMod w14:val="75000"/>
              </w14:srgbClr>
            </w14:solidFill>
          </w14:textFill>
        </w:rPr>
        <w:t xml:space="preserve"> </w:t>
      </w:r>
      <w:r w:rsidR="00A238DE" w:rsidRPr="00EF5BB8">
        <w:rPr>
          <w:b/>
          <w:color w:val="FF0000"/>
        </w:rPr>
        <w:br/>
      </w:r>
      <w:r w:rsidR="00A238DE" w:rsidRPr="004521DA">
        <w:rPr>
          <w:color w:val="2F5496" w:themeColor="accent1" w:themeShade="BF"/>
        </w:rPr>
        <w:t>UCL for Moving Range =</w:t>
      </w:r>
      <w:r w:rsidR="00A238DE" w:rsidRPr="004521DA">
        <w:rPr>
          <w:b/>
          <w:color w:val="2F5496" w:themeColor="accent1" w:themeShade="BF"/>
        </w:rPr>
        <w:t xml:space="preserve"> </w:t>
      </w:r>
      <w:r w:rsidR="00A238DE" w:rsidRPr="004521DA">
        <w:rPr>
          <w:color w:val="2F5496" w:themeColor="accent1" w:themeShade="BF"/>
        </w:rPr>
        <w:t>D</w:t>
      </w:r>
      <w:r w:rsidR="00A238DE" w:rsidRPr="004521DA">
        <w:rPr>
          <w:color w:val="2F5496" w:themeColor="accent1" w:themeShade="BF"/>
          <w:vertAlign w:val="subscript"/>
        </w:rPr>
        <w:t>4</w:t>
      </w:r>
      <w:r w:rsidR="00A238DE" w:rsidRPr="004521DA">
        <w:rPr>
          <w:color w:val="2F5496" w:themeColor="accent1" w:themeShade="BF"/>
        </w:rPr>
        <w:t>*</w:t>
      </w:r>
      <w:proofErr w:type="spellStart"/>
      <w:r w:rsidR="00A238DE" w:rsidRPr="00EF5BB8">
        <w:rPr>
          <w:color w:val="2F5496" w:themeColor="accent1" w:themeShade="BF"/>
        </w:rPr>
        <w:t>mR</w:t>
      </w:r>
      <w:r w:rsidR="001C160C" w:rsidRPr="00EF5BB8">
        <w:rPr>
          <w:color w:val="2F5496" w:themeColor="accent1" w:themeShade="BF"/>
        </w:rPr>
        <w:t>bar</w:t>
      </w:r>
      <w:proofErr w:type="spellEnd"/>
      <w:r w:rsidR="00A238DE" w:rsidRPr="00EF5BB8">
        <w:rPr>
          <w:color w:val="2F5496" w:themeColor="accent1" w:themeShade="BF"/>
        </w:rPr>
        <w:t xml:space="preserve"> </w:t>
      </w:r>
      <w:r w:rsidR="001C160C" w:rsidRPr="00EF5BB8">
        <w:rPr>
          <w:color w:val="2F5496" w:themeColor="accent1" w:themeShade="BF"/>
        </w:rPr>
        <w:t>= 3.27</w:t>
      </w:r>
      <w:r w:rsidR="00A238DE" w:rsidRPr="00EF5BB8">
        <w:rPr>
          <w:color w:val="2F5496" w:themeColor="accent1" w:themeShade="BF"/>
        </w:rPr>
        <w:t xml:space="preserve">*0.8 = </w:t>
      </w:r>
      <w:r w:rsidR="001C160C" w:rsidRPr="00EF5BB8">
        <w:rPr>
          <w:color w:val="2F5496" w:themeColor="accent1" w:themeShade="BF"/>
        </w:rPr>
        <w:t>2.616</w:t>
      </w:r>
      <w:r w:rsidR="00A238DE" w:rsidRPr="00EF5BB8">
        <w:rPr>
          <w:color w:val="2F5496" w:themeColor="accent1" w:themeShade="BF"/>
        </w:rPr>
        <w:br/>
        <w:t xml:space="preserve">LCL for moving range = </w:t>
      </w:r>
      <w:r w:rsidR="00A238DE" w:rsidRPr="00EF5BB8">
        <w:rPr>
          <w:color w:val="2F5496" w:themeColor="accent1" w:themeShade="BF"/>
        </w:rPr>
        <w:t>D</w:t>
      </w:r>
      <w:r w:rsidR="00A238DE" w:rsidRPr="00EF5BB8">
        <w:rPr>
          <w:color w:val="2F5496" w:themeColor="accent1" w:themeShade="BF"/>
          <w:vertAlign w:val="subscript"/>
        </w:rPr>
        <w:t>3</w:t>
      </w:r>
      <w:r w:rsidR="00A238DE" w:rsidRPr="00EF5BB8">
        <w:rPr>
          <w:color w:val="2F5496" w:themeColor="accent1" w:themeShade="BF"/>
        </w:rPr>
        <w:t>*</w:t>
      </w:r>
      <w:proofErr w:type="spellStart"/>
      <w:r w:rsidR="00A238DE" w:rsidRPr="00EF5BB8">
        <w:rPr>
          <w:color w:val="2F5496" w:themeColor="accent1" w:themeShade="BF"/>
        </w:rPr>
        <w:t>mR</w:t>
      </w:r>
      <w:r w:rsidR="001C160C" w:rsidRPr="00EF5BB8">
        <w:rPr>
          <w:color w:val="2F5496" w:themeColor="accent1" w:themeShade="BF"/>
        </w:rPr>
        <w:t>bar</w:t>
      </w:r>
      <w:proofErr w:type="spellEnd"/>
      <w:r w:rsidR="00A238DE" w:rsidRPr="00EF5BB8">
        <w:rPr>
          <w:color w:val="2F5496" w:themeColor="accent1" w:themeShade="BF"/>
        </w:rPr>
        <w:t xml:space="preserve"> = 0*0.8 = 0</w:t>
      </w:r>
      <w:r w:rsidR="00A238DE" w:rsidRPr="00EF5BB8">
        <w:rPr>
          <w:color w:val="2F5496" w:themeColor="accent1" w:themeShade="BF"/>
        </w:rPr>
        <w:br/>
      </w:r>
      <w:r w:rsidR="000D7EC2">
        <w:rPr>
          <w:noProof/>
        </w:rPr>
        <w:drawing>
          <wp:inline distT="0" distB="0" distL="0" distR="0" wp14:anchorId="1B3C8FD0" wp14:editId="74D1188B">
            <wp:extent cx="4718292" cy="287669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8292" cy="2876698"/>
                    </a:xfrm>
                    <a:prstGeom prst="rect">
                      <a:avLst/>
                    </a:prstGeom>
                  </pic:spPr>
                </pic:pic>
              </a:graphicData>
            </a:graphic>
          </wp:inline>
        </w:drawing>
      </w:r>
      <w:r w:rsidR="00A238DE" w:rsidRPr="00EF5BB8">
        <w:rPr>
          <w:b/>
          <w:color w:val="FF0000"/>
        </w:rPr>
        <w:br/>
      </w:r>
    </w:p>
    <w:p w14:paraId="7BF0111E" w14:textId="77777777" w:rsidR="00AF05D8" w:rsidRDefault="00AF05D8" w:rsidP="008736D8">
      <w:pPr>
        <w:ind w:left="360"/>
      </w:pPr>
      <w:r>
        <w:br w:type="page"/>
      </w:r>
    </w:p>
    <w:p w14:paraId="56C5355F" w14:textId="2F8AD3E7" w:rsidR="00AD66C1" w:rsidRDefault="00AD66C1" w:rsidP="00AD66C1">
      <w:pPr>
        <w:pStyle w:val="ListParagraph"/>
        <w:numPr>
          <w:ilvl w:val="0"/>
          <w:numId w:val="1"/>
        </w:numPr>
      </w:pPr>
      <w:r>
        <w:lastRenderedPageBreak/>
        <w:t>The U.S. Trade Deficits for the first half of 1989 are shown on the next page in Figure 6.9. Plot these values and their moving ranges on the form given in Figure 6.10.</w:t>
      </w:r>
      <w:r w:rsidRPr="00AD66C1">
        <w:t xml:space="preserve"> </w:t>
      </w:r>
      <w:r>
        <w:br/>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1226"/>
        <w:gridCol w:w="1231"/>
        <w:gridCol w:w="1237"/>
        <w:gridCol w:w="1231"/>
        <w:gridCol w:w="1240"/>
        <w:gridCol w:w="1228"/>
      </w:tblGrid>
      <w:tr w:rsidR="00AD66C1" w14:paraId="00273CF8" w14:textId="77777777" w:rsidTr="006F2688">
        <w:tc>
          <w:tcPr>
            <w:tcW w:w="1335" w:type="dxa"/>
          </w:tcPr>
          <w:p w14:paraId="669D5E64" w14:textId="77777777" w:rsidR="00AD66C1" w:rsidRDefault="00AD66C1" w:rsidP="006F2688">
            <w:pPr>
              <w:jc w:val="both"/>
            </w:pPr>
          </w:p>
        </w:tc>
        <w:tc>
          <w:tcPr>
            <w:tcW w:w="1335" w:type="dxa"/>
          </w:tcPr>
          <w:p w14:paraId="3E3B1D36" w14:textId="4B229D50" w:rsidR="00AD66C1" w:rsidRDefault="00AD66C1" w:rsidP="006F2688">
            <w:pPr>
              <w:jc w:val="center"/>
            </w:pPr>
            <w:r>
              <w:t>Jan</w:t>
            </w:r>
          </w:p>
        </w:tc>
        <w:tc>
          <w:tcPr>
            <w:tcW w:w="1336" w:type="dxa"/>
          </w:tcPr>
          <w:p w14:paraId="7CDC7642" w14:textId="4FAD8D7D" w:rsidR="00AD66C1" w:rsidRDefault="00AD66C1" w:rsidP="006F2688">
            <w:pPr>
              <w:jc w:val="center"/>
            </w:pPr>
            <w:r>
              <w:t>Feb</w:t>
            </w:r>
          </w:p>
        </w:tc>
        <w:tc>
          <w:tcPr>
            <w:tcW w:w="1336" w:type="dxa"/>
          </w:tcPr>
          <w:p w14:paraId="30B1B36B" w14:textId="01D4014A" w:rsidR="00AD66C1" w:rsidRDefault="00AD66C1" w:rsidP="006F2688">
            <w:pPr>
              <w:jc w:val="center"/>
            </w:pPr>
            <w:r>
              <w:t>Mar</w:t>
            </w:r>
          </w:p>
        </w:tc>
        <w:tc>
          <w:tcPr>
            <w:tcW w:w="1336" w:type="dxa"/>
          </w:tcPr>
          <w:p w14:paraId="2C3CEA03" w14:textId="6B2C0057" w:rsidR="00AD66C1" w:rsidRDefault="00AD66C1" w:rsidP="006F2688">
            <w:pPr>
              <w:jc w:val="center"/>
            </w:pPr>
            <w:r>
              <w:t>Apr</w:t>
            </w:r>
          </w:p>
        </w:tc>
        <w:tc>
          <w:tcPr>
            <w:tcW w:w="1336" w:type="dxa"/>
          </w:tcPr>
          <w:p w14:paraId="37EA3C46" w14:textId="1C3C0693" w:rsidR="00AD66C1" w:rsidRDefault="00AD66C1" w:rsidP="006F2688">
            <w:pPr>
              <w:jc w:val="center"/>
            </w:pPr>
            <w:r>
              <w:t>May</w:t>
            </w:r>
          </w:p>
        </w:tc>
        <w:tc>
          <w:tcPr>
            <w:tcW w:w="1336" w:type="dxa"/>
          </w:tcPr>
          <w:p w14:paraId="30171256" w14:textId="02759690" w:rsidR="00AD66C1" w:rsidRDefault="00AD66C1" w:rsidP="006F2688">
            <w:pPr>
              <w:jc w:val="center"/>
            </w:pPr>
            <w:r>
              <w:t>Jun</w:t>
            </w:r>
          </w:p>
        </w:tc>
      </w:tr>
      <w:tr w:rsidR="00AD66C1" w14:paraId="4E0099DA" w14:textId="77777777" w:rsidTr="006F2688">
        <w:tc>
          <w:tcPr>
            <w:tcW w:w="1335" w:type="dxa"/>
          </w:tcPr>
          <w:p w14:paraId="7C5AB3C2" w14:textId="336DBCC0" w:rsidR="00AD66C1" w:rsidRDefault="00AD66C1" w:rsidP="006F2688">
            <w:pPr>
              <w:jc w:val="center"/>
            </w:pPr>
            <w:r>
              <w:t>1989</w:t>
            </w:r>
          </w:p>
        </w:tc>
        <w:tc>
          <w:tcPr>
            <w:tcW w:w="1335" w:type="dxa"/>
          </w:tcPr>
          <w:p w14:paraId="3EAF0620" w14:textId="2B5F1670" w:rsidR="00AD66C1" w:rsidRDefault="00AD66C1" w:rsidP="006F2688">
            <w:pPr>
              <w:jc w:val="center"/>
            </w:pPr>
            <w:r>
              <w:t>8.7</w:t>
            </w:r>
          </w:p>
        </w:tc>
        <w:tc>
          <w:tcPr>
            <w:tcW w:w="1336" w:type="dxa"/>
          </w:tcPr>
          <w:p w14:paraId="5B8ACA06" w14:textId="4B6078B5" w:rsidR="00AD66C1" w:rsidRDefault="00AD66C1" w:rsidP="006F2688">
            <w:pPr>
              <w:jc w:val="center"/>
            </w:pPr>
            <w:r>
              <w:t>8.7</w:t>
            </w:r>
          </w:p>
        </w:tc>
        <w:tc>
          <w:tcPr>
            <w:tcW w:w="1336" w:type="dxa"/>
          </w:tcPr>
          <w:p w14:paraId="76751E32" w14:textId="678821DE" w:rsidR="00AD66C1" w:rsidRDefault="00AD66C1" w:rsidP="006F2688">
            <w:pPr>
              <w:jc w:val="center"/>
            </w:pPr>
            <w:r>
              <w:t>7.0</w:t>
            </w:r>
          </w:p>
        </w:tc>
        <w:tc>
          <w:tcPr>
            <w:tcW w:w="1336" w:type="dxa"/>
          </w:tcPr>
          <w:p w14:paraId="06145216" w14:textId="01B5878D" w:rsidR="00AD66C1" w:rsidRDefault="00AD66C1" w:rsidP="006F2688">
            <w:pPr>
              <w:jc w:val="center"/>
            </w:pPr>
            <w:r>
              <w:t>6.8</w:t>
            </w:r>
          </w:p>
        </w:tc>
        <w:tc>
          <w:tcPr>
            <w:tcW w:w="1336" w:type="dxa"/>
          </w:tcPr>
          <w:p w14:paraId="549DDB73" w14:textId="4D6A299E" w:rsidR="00AD66C1" w:rsidRDefault="00AD66C1" w:rsidP="006F2688">
            <w:pPr>
              <w:jc w:val="center"/>
            </w:pPr>
            <w:r>
              <w:t>9.6</w:t>
            </w:r>
          </w:p>
        </w:tc>
        <w:tc>
          <w:tcPr>
            <w:tcW w:w="1336" w:type="dxa"/>
          </w:tcPr>
          <w:p w14:paraId="46F8B33A" w14:textId="2EFEE666" w:rsidR="00AD66C1" w:rsidRDefault="00AD66C1" w:rsidP="006F2688">
            <w:pPr>
              <w:jc w:val="center"/>
            </w:pPr>
            <w:r>
              <w:t>9.0</w:t>
            </w:r>
          </w:p>
        </w:tc>
      </w:tr>
    </w:tbl>
    <w:p w14:paraId="75D74E3A" w14:textId="48DAA376" w:rsidR="00A60063" w:rsidRPr="00A60063" w:rsidRDefault="00A60063" w:rsidP="00A60063">
      <w:pPr>
        <w:ind w:left="720"/>
        <w:jc w:val="center"/>
        <w:rPr>
          <w:rStyle w:val="SubtleEmphasis"/>
        </w:rPr>
      </w:pPr>
      <w:bookmarkStart w:id="0" w:name="_GoBack"/>
      <w:bookmarkEnd w:id="0"/>
    </w:p>
    <w:p w14:paraId="0CC41555" w14:textId="7700D424" w:rsidR="00156D9F" w:rsidRDefault="00AD66C1" w:rsidP="00AD66C1">
      <w:pPr>
        <w:ind w:left="720"/>
      </w:pPr>
      <w:r>
        <w:t>Graph time series graph for these values with month on bottom and trade deficits for y value</w:t>
      </w:r>
      <w:r>
        <w:br/>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2"/>
        <w:gridCol w:w="1082"/>
        <w:gridCol w:w="1091"/>
        <w:gridCol w:w="1093"/>
        <w:gridCol w:w="1089"/>
        <w:gridCol w:w="1105"/>
        <w:gridCol w:w="1085"/>
        <w:gridCol w:w="1023"/>
      </w:tblGrid>
      <w:tr w:rsidR="00B97D60" w14:paraId="66948B2D" w14:textId="522343B8" w:rsidTr="00B97D60">
        <w:tc>
          <w:tcPr>
            <w:tcW w:w="1072" w:type="dxa"/>
            <w:tcBorders>
              <w:top w:val="nil"/>
              <w:bottom w:val="nil"/>
              <w:right w:val="nil"/>
            </w:tcBorders>
          </w:tcPr>
          <w:p w14:paraId="59731300" w14:textId="77777777" w:rsidR="00B97D60" w:rsidRDefault="00B97D60" w:rsidP="00156D9F">
            <w:pPr>
              <w:jc w:val="both"/>
            </w:pPr>
          </w:p>
        </w:tc>
        <w:tc>
          <w:tcPr>
            <w:tcW w:w="1082" w:type="dxa"/>
            <w:tcBorders>
              <w:top w:val="nil"/>
              <w:left w:val="nil"/>
              <w:bottom w:val="single" w:sz="4" w:space="0" w:color="auto"/>
              <w:right w:val="nil"/>
            </w:tcBorders>
          </w:tcPr>
          <w:p w14:paraId="2EACDEE3" w14:textId="759B5755" w:rsidR="00B97D60" w:rsidRDefault="00B97D60" w:rsidP="00156D9F">
            <w:pPr>
              <w:tabs>
                <w:tab w:val="left" w:pos="330"/>
                <w:tab w:val="center" w:pos="510"/>
              </w:tabs>
              <w:jc w:val="center"/>
            </w:pPr>
            <w:r>
              <w:t>Jan</w:t>
            </w:r>
          </w:p>
        </w:tc>
        <w:tc>
          <w:tcPr>
            <w:tcW w:w="1091" w:type="dxa"/>
            <w:tcBorders>
              <w:top w:val="nil"/>
              <w:left w:val="nil"/>
              <w:bottom w:val="single" w:sz="4" w:space="0" w:color="auto"/>
            </w:tcBorders>
          </w:tcPr>
          <w:p w14:paraId="38EF75EB" w14:textId="32820835" w:rsidR="00B97D60" w:rsidRDefault="00B97D60" w:rsidP="00156D9F">
            <w:pPr>
              <w:jc w:val="center"/>
            </w:pPr>
            <w:r>
              <w:t>Feb</w:t>
            </w:r>
          </w:p>
        </w:tc>
        <w:tc>
          <w:tcPr>
            <w:tcW w:w="1093" w:type="dxa"/>
            <w:tcBorders>
              <w:top w:val="nil"/>
              <w:bottom w:val="single" w:sz="4" w:space="0" w:color="auto"/>
            </w:tcBorders>
          </w:tcPr>
          <w:p w14:paraId="558B8ED6" w14:textId="26929EF9" w:rsidR="00B97D60" w:rsidRDefault="00B97D60" w:rsidP="00156D9F">
            <w:pPr>
              <w:jc w:val="center"/>
            </w:pPr>
            <w:r>
              <w:t>Mar</w:t>
            </w:r>
          </w:p>
        </w:tc>
        <w:tc>
          <w:tcPr>
            <w:tcW w:w="1089" w:type="dxa"/>
            <w:tcBorders>
              <w:top w:val="nil"/>
              <w:bottom w:val="single" w:sz="4" w:space="0" w:color="auto"/>
            </w:tcBorders>
          </w:tcPr>
          <w:p w14:paraId="65F3991B" w14:textId="541B95C7" w:rsidR="00B97D60" w:rsidRDefault="00B97D60" w:rsidP="00156D9F">
            <w:pPr>
              <w:jc w:val="center"/>
            </w:pPr>
            <w:r>
              <w:t>Apr</w:t>
            </w:r>
          </w:p>
        </w:tc>
        <w:tc>
          <w:tcPr>
            <w:tcW w:w="1105" w:type="dxa"/>
            <w:tcBorders>
              <w:top w:val="nil"/>
              <w:bottom w:val="single" w:sz="4" w:space="0" w:color="auto"/>
            </w:tcBorders>
          </w:tcPr>
          <w:p w14:paraId="4D459A31" w14:textId="6252F10C" w:rsidR="00B97D60" w:rsidRDefault="00B97D60" w:rsidP="00156D9F">
            <w:pPr>
              <w:jc w:val="center"/>
            </w:pPr>
            <w:r>
              <w:t>May</w:t>
            </w:r>
          </w:p>
        </w:tc>
        <w:tc>
          <w:tcPr>
            <w:tcW w:w="1085" w:type="dxa"/>
            <w:tcBorders>
              <w:top w:val="nil"/>
              <w:bottom w:val="single" w:sz="4" w:space="0" w:color="auto"/>
            </w:tcBorders>
          </w:tcPr>
          <w:p w14:paraId="02392D89" w14:textId="5A6A5973" w:rsidR="00B97D60" w:rsidRDefault="00B97D60" w:rsidP="00156D9F">
            <w:pPr>
              <w:jc w:val="center"/>
            </w:pPr>
            <w:r>
              <w:t>Jun</w:t>
            </w:r>
          </w:p>
        </w:tc>
        <w:tc>
          <w:tcPr>
            <w:tcW w:w="1023" w:type="dxa"/>
            <w:tcBorders>
              <w:top w:val="nil"/>
              <w:bottom w:val="single" w:sz="4" w:space="0" w:color="auto"/>
            </w:tcBorders>
          </w:tcPr>
          <w:p w14:paraId="2DE9D1FF" w14:textId="7150F0DE" w:rsidR="00B97D60" w:rsidRPr="00B97D60" w:rsidRDefault="00B97D60" w:rsidP="00156D9F">
            <w:pPr>
              <w:jc w:val="center"/>
              <w:rPr>
                <w:color w:val="2F5496" w:themeColor="accent1" w:themeShade="BF"/>
              </w:rPr>
            </w:pPr>
            <w:r w:rsidRPr="00B97D60">
              <w:rPr>
                <w:color w:val="2F5496" w:themeColor="accent1" w:themeShade="BF"/>
              </w:rPr>
              <w:t>Mean</w:t>
            </w:r>
          </w:p>
        </w:tc>
      </w:tr>
      <w:tr w:rsidR="00B97D60" w14:paraId="1649396B" w14:textId="7E29E98B" w:rsidTr="00B97D60">
        <w:tc>
          <w:tcPr>
            <w:tcW w:w="1072" w:type="dxa"/>
            <w:tcBorders>
              <w:top w:val="nil"/>
              <w:bottom w:val="nil"/>
              <w:right w:val="single" w:sz="4" w:space="0" w:color="auto"/>
            </w:tcBorders>
          </w:tcPr>
          <w:p w14:paraId="6BAC3635" w14:textId="77777777" w:rsidR="00B97D60" w:rsidRPr="00AD66C1" w:rsidRDefault="00B97D60" w:rsidP="00156D9F">
            <w:pPr>
              <w:jc w:val="center"/>
              <w:rPr>
                <w:i/>
              </w:rPr>
            </w:pPr>
            <w:r w:rsidRPr="00AD66C1">
              <w:rPr>
                <w:i/>
              </w:rPr>
              <w:t>X</w:t>
            </w:r>
          </w:p>
        </w:tc>
        <w:tc>
          <w:tcPr>
            <w:tcW w:w="1082" w:type="dxa"/>
            <w:tcBorders>
              <w:top w:val="single" w:sz="4" w:space="0" w:color="auto"/>
              <w:left w:val="single" w:sz="4" w:space="0" w:color="auto"/>
              <w:bottom w:val="single" w:sz="4" w:space="0" w:color="auto"/>
              <w:right w:val="single" w:sz="4" w:space="0" w:color="auto"/>
            </w:tcBorders>
          </w:tcPr>
          <w:p w14:paraId="48A87F92" w14:textId="22D91F6D" w:rsidR="00B97D60" w:rsidRDefault="00B97D60" w:rsidP="00156D9F">
            <w:pPr>
              <w:jc w:val="center"/>
            </w:pPr>
            <w:r>
              <w:t>8.7</w:t>
            </w:r>
          </w:p>
        </w:tc>
        <w:tc>
          <w:tcPr>
            <w:tcW w:w="1091" w:type="dxa"/>
            <w:tcBorders>
              <w:top w:val="single" w:sz="4" w:space="0" w:color="auto"/>
              <w:left w:val="single" w:sz="4" w:space="0" w:color="auto"/>
              <w:bottom w:val="single" w:sz="4" w:space="0" w:color="auto"/>
              <w:right w:val="single" w:sz="4" w:space="0" w:color="auto"/>
            </w:tcBorders>
          </w:tcPr>
          <w:p w14:paraId="0332E8AC" w14:textId="0D7F2461" w:rsidR="00B97D60" w:rsidRDefault="00B97D60" w:rsidP="00156D9F">
            <w:pPr>
              <w:jc w:val="center"/>
            </w:pPr>
            <w:r>
              <w:t>8.7</w:t>
            </w:r>
          </w:p>
        </w:tc>
        <w:tc>
          <w:tcPr>
            <w:tcW w:w="1093" w:type="dxa"/>
            <w:tcBorders>
              <w:top w:val="single" w:sz="4" w:space="0" w:color="auto"/>
              <w:left w:val="single" w:sz="4" w:space="0" w:color="auto"/>
              <w:bottom w:val="single" w:sz="4" w:space="0" w:color="auto"/>
              <w:right w:val="single" w:sz="4" w:space="0" w:color="auto"/>
            </w:tcBorders>
          </w:tcPr>
          <w:p w14:paraId="5314BFC9" w14:textId="524DC34A" w:rsidR="00B97D60" w:rsidRDefault="00B97D60" w:rsidP="00156D9F">
            <w:pPr>
              <w:jc w:val="center"/>
            </w:pPr>
            <w:r>
              <w:t>7.0</w:t>
            </w:r>
          </w:p>
        </w:tc>
        <w:tc>
          <w:tcPr>
            <w:tcW w:w="1089" w:type="dxa"/>
            <w:tcBorders>
              <w:top w:val="single" w:sz="4" w:space="0" w:color="auto"/>
              <w:left w:val="single" w:sz="4" w:space="0" w:color="auto"/>
              <w:bottom w:val="single" w:sz="4" w:space="0" w:color="auto"/>
              <w:right w:val="single" w:sz="4" w:space="0" w:color="auto"/>
            </w:tcBorders>
          </w:tcPr>
          <w:p w14:paraId="5E0E6FCA" w14:textId="054C1836" w:rsidR="00B97D60" w:rsidRDefault="00B97D60" w:rsidP="00156D9F">
            <w:pPr>
              <w:jc w:val="center"/>
            </w:pPr>
            <w:r>
              <w:t>6.8</w:t>
            </w:r>
          </w:p>
        </w:tc>
        <w:tc>
          <w:tcPr>
            <w:tcW w:w="1105" w:type="dxa"/>
            <w:tcBorders>
              <w:top w:val="single" w:sz="4" w:space="0" w:color="auto"/>
              <w:left w:val="single" w:sz="4" w:space="0" w:color="auto"/>
              <w:bottom w:val="single" w:sz="4" w:space="0" w:color="auto"/>
              <w:right w:val="single" w:sz="4" w:space="0" w:color="auto"/>
            </w:tcBorders>
          </w:tcPr>
          <w:p w14:paraId="6AE38D32" w14:textId="45C40690" w:rsidR="00B97D60" w:rsidRDefault="00B97D60" w:rsidP="00156D9F">
            <w:pPr>
              <w:jc w:val="center"/>
            </w:pPr>
            <w:r>
              <w:t>9.6</w:t>
            </w:r>
          </w:p>
        </w:tc>
        <w:tc>
          <w:tcPr>
            <w:tcW w:w="1085" w:type="dxa"/>
            <w:tcBorders>
              <w:top w:val="single" w:sz="4" w:space="0" w:color="auto"/>
              <w:left w:val="single" w:sz="4" w:space="0" w:color="auto"/>
              <w:bottom w:val="single" w:sz="4" w:space="0" w:color="auto"/>
              <w:right w:val="single" w:sz="4" w:space="0" w:color="auto"/>
            </w:tcBorders>
          </w:tcPr>
          <w:p w14:paraId="36AC97D3" w14:textId="0DE302F6" w:rsidR="00B97D60" w:rsidRDefault="00B97D60" w:rsidP="00156D9F">
            <w:pPr>
              <w:jc w:val="center"/>
            </w:pPr>
            <w:r>
              <w:t>9.0</w:t>
            </w:r>
          </w:p>
        </w:tc>
        <w:tc>
          <w:tcPr>
            <w:tcW w:w="1023" w:type="dxa"/>
            <w:tcBorders>
              <w:top w:val="single" w:sz="4" w:space="0" w:color="auto"/>
              <w:left w:val="single" w:sz="4" w:space="0" w:color="auto"/>
              <w:bottom w:val="single" w:sz="4" w:space="0" w:color="auto"/>
              <w:right w:val="single" w:sz="4" w:space="0" w:color="auto"/>
            </w:tcBorders>
          </w:tcPr>
          <w:p w14:paraId="28F16565" w14:textId="3A3FD550" w:rsidR="00B97D60" w:rsidRPr="00B97D60" w:rsidRDefault="00B97D60" w:rsidP="00156D9F">
            <w:pPr>
              <w:jc w:val="center"/>
              <w:rPr>
                <w:color w:val="2F5496" w:themeColor="accent1" w:themeShade="BF"/>
              </w:rPr>
            </w:pPr>
            <w:r>
              <w:rPr>
                <w:color w:val="2F5496" w:themeColor="accent1" w:themeShade="BF"/>
              </w:rPr>
              <w:t>8.3</w:t>
            </w:r>
          </w:p>
        </w:tc>
      </w:tr>
      <w:tr w:rsidR="00B97D60" w14:paraId="7B203505" w14:textId="4FCB9CBF" w:rsidTr="00B97D60">
        <w:tc>
          <w:tcPr>
            <w:tcW w:w="1072" w:type="dxa"/>
            <w:tcBorders>
              <w:top w:val="nil"/>
              <w:bottom w:val="nil"/>
              <w:right w:val="single" w:sz="4" w:space="0" w:color="auto"/>
            </w:tcBorders>
          </w:tcPr>
          <w:p w14:paraId="122C8774" w14:textId="3276628D" w:rsidR="00B97D60" w:rsidRPr="00AD66C1" w:rsidRDefault="00B97D60" w:rsidP="006F2688">
            <w:pPr>
              <w:jc w:val="center"/>
              <w:rPr>
                <w:i/>
              </w:rPr>
            </w:pPr>
            <w:proofErr w:type="spellStart"/>
            <w:r w:rsidRPr="00AD66C1">
              <w:rPr>
                <w:i/>
              </w:rPr>
              <w:t>mR</w:t>
            </w:r>
            <w:proofErr w:type="spellEnd"/>
          </w:p>
        </w:tc>
        <w:tc>
          <w:tcPr>
            <w:tcW w:w="1082" w:type="dxa"/>
            <w:tcBorders>
              <w:top w:val="single" w:sz="4" w:space="0" w:color="auto"/>
              <w:left w:val="single" w:sz="4" w:space="0" w:color="auto"/>
              <w:bottom w:val="single" w:sz="4" w:space="0" w:color="auto"/>
              <w:right w:val="single" w:sz="4" w:space="0" w:color="auto"/>
            </w:tcBorders>
          </w:tcPr>
          <w:p w14:paraId="51552EDA" w14:textId="2713660C" w:rsidR="00B97D60" w:rsidRPr="00B97D60" w:rsidRDefault="003A01E8" w:rsidP="006F2688">
            <w:pPr>
              <w:jc w:val="center"/>
              <w:rPr>
                <w:color w:val="2F5496" w:themeColor="accent1" w:themeShade="BF"/>
              </w:rPr>
            </w:pPr>
            <w:r>
              <w:rPr>
                <w:color w:val="2F5496" w:themeColor="accent1" w:themeShade="BF"/>
              </w:rPr>
              <w:t>1.8*</w:t>
            </w:r>
          </w:p>
        </w:tc>
        <w:tc>
          <w:tcPr>
            <w:tcW w:w="1091" w:type="dxa"/>
            <w:tcBorders>
              <w:top w:val="single" w:sz="4" w:space="0" w:color="auto"/>
              <w:left w:val="single" w:sz="4" w:space="0" w:color="auto"/>
              <w:bottom w:val="single" w:sz="4" w:space="0" w:color="auto"/>
              <w:right w:val="single" w:sz="4" w:space="0" w:color="auto"/>
            </w:tcBorders>
          </w:tcPr>
          <w:p w14:paraId="4BF3467F" w14:textId="6403FE85" w:rsidR="00B97D60" w:rsidRPr="00B97D60" w:rsidRDefault="00B97D60" w:rsidP="006F2688">
            <w:pPr>
              <w:jc w:val="center"/>
              <w:rPr>
                <w:color w:val="2F5496" w:themeColor="accent1" w:themeShade="BF"/>
              </w:rPr>
            </w:pPr>
            <w:r>
              <w:rPr>
                <w:color w:val="2F5496" w:themeColor="accent1" w:themeShade="BF"/>
              </w:rPr>
              <w:t>0</w:t>
            </w:r>
          </w:p>
        </w:tc>
        <w:tc>
          <w:tcPr>
            <w:tcW w:w="1093" w:type="dxa"/>
            <w:tcBorders>
              <w:top w:val="single" w:sz="4" w:space="0" w:color="auto"/>
              <w:left w:val="single" w:sz="4" w:space="0" w:color="auto"/>
              <w:bottom w:val="single" w:sz="4" w:space="0" w:color="auto"/>
              <w:right w:val="single" w:sz="4" w:space="0" w:color="auto"/>
            </w:tcBorders>
          </w:tcPr>
          <w:p w14:paraId="4EE46627" w14:textId="02205D55" w:rsidR="00B97D60" w:rsidRPr="00B97D60" w:rsidRDefault="00B97D60" w:rsidP="006F2688">
            <w:pPr>
              <w:jc w:val="center"/>
              <w:rPr>
                <w:color w:val="2F5496" w:themeColor="accent1" w:themeShade="BF"/>
              </w:rPr>
            </w:pPr>
            <w:r>
              <w:rPr>
                <w:color w:val="2F5496" w:themeColor="accent1" w:themeShade="BF"/>
              </w:rPr>
              <w:t>1.7</w:t>
            </w:r>
          </w:p>
        </w:tc>
        <w:tc>
          <w:tcPr>
            <w:tcW w:w="1089" w:type="dxa"/>
            <w:tcBorders>
              <w:top w:val="single" w:sz="4" w:space="0" w:color="auto"/>
              <w:left w:val="single" w:sz="4" w:space="0" w:color="auto"/>
              <w:bottom w:val="single" w:sz="4" w:space="0" w:color="auto"/>
              <w:right w:val="single" w:sz="4" w:space="0" w:color="auto"/>
            </w:tcBorders>
          </w:tcPr>
          <w:p w14:paraId="2B2FD537" w14:textId="5E7DD553" w:rsidR="00B97D60" w:rsidRPr="00B97D60" w:rsidRDefault="00B97D60" w:rsidP="006F2688">
            <w:pPr>
              <w:jc w:val="center"/>
              <w:rPr>
                <w:color w:val="2F5496" w:themeColor="accent1" w:themeShade="BF"/>
              </w:rPr>
            </w:pPr>
            <w:r>
              <w:rPr>
                <w:color w:val="2F5496" w:themeColor="accent1" w:themeShade="BF"/>
              </w:rPr>
              <w:t>0.2</w:t>
            </w:r>
          </w:p>
        </w:tc>
        <w:tc>
          <w:tcPr>
            <w:tcW w:w="1105" w:type="dxa"/>
            <w:tcBorders>
              <w:top w:val="single" w:sz="4" w:space="0" w:color="auto"/>
              <w:left w:val="single" w:sz="4" w:space="0" w:color="auto"/>
              <w:bottom w:val="single" w:sz="4" w:space="0" w:color="auto"/>
              <w:right w:val="single" w:sz="4" w:space="0" w:color="auto"/>
            </w:tcBorders>
          </w:tcPr>
          <w:p w14:paraId="651359CC" w14:textId="6596C3FE" w:rsidR="00B97D60" w:rsidRPr="00B97D60" w:rsidRDefault="00B97D60" w:rsidP="006F2688">
            <w:pPr>
              <w:jc w:val="center"/>
              <w:rPr>
                <w:color w:val="2F5496" w:themeColor="accent1" w:themeShade="BF"/>
              </w:rPr>
            </w:pPr>
            <w:r>
              <w:rPr>
                <w:color w:val="2F5496" w:themeColor="accent1" w:themeShade="BF"/>
              </w:rPr>
              <w:t>2.8</w:t>
            </w:r>
          </w:p>
        </w:tc>
        <w:tc>
          <w:tcPr>
            <w:tcW w:w="1085" w:type="dxa"/>
            <w:tcBorders>
              <w:top w:val="single" w:sz="4" w:space="0" w:color="auto"/>
              <w:left w:val="single" w:sz="4" w:space="0" w:color="auto"/>
              <w:bottom w:val="single" w:sz="4" w:space="0" w:color="auto"/>
              <w:right w:val="single" w:sz="4" w:space="0" w:color="auto"/>
            </w:tcBorders>
          </w:tcPr>
          <w:p w14:paraId="3268D781" w14:textId="7C5AEC78" w:rsidR="00B97D60" w:rsidRPr="00B97D60" w:rsidRDefault="00B97D60" w:rsidP="006F2688">
            <w:pPr>
              <w:jc w:val="center"/>
              <w:rPr>
                <w:color w:val="2F5496" w:themeColor="accent1" w:themeShade="BF"/>
              </w:rPr>
            </w:pPr>
            <w:r>
              <w:rPr>
                <w:color w:val="2F5496" w:themeColor="accent1" w:themeShade="BF"/>
              </w:rPr>
              <w:t>0.6</w:t>
            </w:r>
          </w:p>
        </w:tc>
        <w:tc>
          <w:tcPr>
            <w:tcW w:w="1023" w:type="dxa"/>
            <w:tcBorders>
              <w:top w:val="single" w:sz="4" w:space="0" w:color="auto"/>
              <w:left w:val="single" w:sz="4" w:space="0" w:color="auto"/>
              <w:bottom w:val="single" w:sz="4" w:space="0" w:color="auto"/>
              <w:right w:val="single" w:sz="4" w:space="0" w:color="auto"/>
            </w:tcBorders>
          </w:tcPr>
          <w:p w14:paraId="5149290C" w14:textId="2CAC85B0" w:rsidR="00B97D60" w:rsidRPr="00B97D60" w:rsidRDefault="00B97D60" w:rsidP="006F2688">
            <w:pPr>
              <w:jc w:val="center"/>
              <w:rPr>
                <w:color w:val="2F5496" w:themeColor="accent1" w:themeShade="BF"/>
              </w:rPr>
            </w:pPr>
            <w:r>
              <w:rPr>
                <w:color w:val="2F5496" w:themeColor="accent1" w:themeShade="BF"/>
              </w:rPr>
              <w:t>1.</w:t>
            </w:r>
            <w:r w:rsidR="00D75AE8">
              <w:rPr>
                <w:color w:val="2F5496" w:themeColor="accent1" w:themeShade="BF"/>
              </w:rPr>
              <w:t>42</w:t>
            </w:r>
          </w:p>
        </w:tc>
      </w:tr>
    </w:tbl>
    <w:p w14:paraId="2EB8A0D7" w14:textId="03D602E9" w:rsidR="006506B3" w:rsidRDefault="003A01E8" w:rsidP="006506B3">
      <w:pPr>
        <w:ind w:left="720"/>
      </w:pPr>
      <w:r w:rsidRPr="003A01E8">
        <w:rPr>
          <w:color w:val="2F5496" w:themeColor="accent1" w:themeShade="BF"/>
        </w:rPr>
        <w:t>* Used the value from December 1989 to calculate moving range for Jan 1988</w:t>
      </w:r>
      <w:r w:rsidR="00AD66C1">
        <w:br/>
      </w:r>
      <w:r w:rsidR="006506B3">
        <w:t>Time Series Graph</w:t>
      </w:r>
    </w:p>
    <w:p w14:paraId="0A3EC7B9" w14:textId="69BB2732" w:rsidR="00E24AE4" w:rsidRPr="00E24AE4" w:rsidRDefault="00E24AE4" w:rsidP="006506B3">
      <w:pPr>
        <w:ind w:left="720"/>
        <w:rPr>
          <w:color w:val="2F5496" w:themeColor="accent1" w:themeShade="BF"/>
        </w:rPr>
      </w:pPr>
      <w:r>
        <w:rPr>
          <w:color w:val="2F5496" w:themeColor="accent1" w:themeShade="BF"/>
        </w:rPr>
        <w:t xml:space="preserve">Used LCL </w:t>
      </w:r>
      <w:r w:rsidR="00E82BF2">
        <w:rPr>
          <w:color w:val="2F5496" w:themeColor="accent1" w:themeShade="BF"/>
        </w:rPr>
        <w:t>= 8.3</w:t>
      </w:r>
      <w:proofErr w:type="gramStart"/>
      <w:r w:rsidR="00E82BF2">
        <w:rPr>
          <w:color w:val="2F5496" w:themeColor="accent1" w:themeShade="BF"/>
        </w:rPr>
        <w:t>-(</w:t>
      </w:r>
      <w:proofErr w:type="gramEnd"/>
      <w:r w:rsidR="00E82BF2">
        <w:rPr>
          <w:color w:val="2F5496" w:themeColor="accent1" w:themeShade="BF"/>
        </w:rPr>
        <w:t>2.66*1.</w:t>
      </w:r>
      <w:r w:rsidR="00D75AE8">
        <w:rPr>
          <w:color w:val="2F5496" w:themeColor="accent1" w:themeShade="BF"/>
        </w:rPr>
        <w:t>42</w:t>
      </w:r>
      <w:r w:rsidR="00E82BF2">
        <w:rPr>
          <w:color w:val="2F5496" w:themeColor="accent1" w:themeShade="BF"/>
        </w:rPr>
        <w:t>)=</w:t>
      </w:r>
      <w:r w:rsidR="00D75AE8">
        <w:rPr>
          <w:color w:val="2F5496" w:themeColor="accent1" w:themeShade="BF"/>
        </w:rPr>
        <w:t>4.523</w:t>
      </w:r>
      <w:r w:rsidR="00E82BF2">
        <w:rPr>
          <w:color w:val="2F5496" w:themeColor="accent1" w:themeShade="BF"/>
        </w:rPr>
        <w:t xml:space="preserve"> and </w:t>
      </w:r>
      <w:r w:rsidR="00E82BF2">
        <w:rPr>
          <w:color w:val="2F5496" w:themeColor="accent1" w:themeShade="BF"/>
        </w:rPr>
        <w:br/>
        <w:t>UCL = 8.3+(2.66*1.</w:t>
      </w:r>
      <w:r w:rsidR="00D75AE8">
        <w:rPr>
          <w:color w:val="2F5496" w:themeColor="accent1" w:themeShade="BF"/>
        </w:rPr>
        <w:t>42</w:t>
      </w:r>
      <w:r w:rsidR="00E82BF2">
        <w:rPr>
          <w:color w:val="2F5496" w:themeColor="accent1" w:themeShade="BF"/>
        </w:rPr>
        <w:t>)=1</w:t>
      </w:r>
      <w:r w:rsidR="00D75AE8">
        <w:rPr>
          <w:color w:val="2F5496" w:themeColor="accent1" w:themeShade="BF"/>
        </w:rPr>
        <w:t>2.077</w:t>
      </w:r>
      <w:r w:rsidR="00E82BF2">
        <w:rPr>
          <w:color w:val="2F5496" w:themeColor="accent1" w:themeShade="BF"/>
        </w:rPr>
        <w:br/>
        <w:t>CL = 8.3</w:t>
      </w:r>
    </w:p>
    <w:p w14:paraId="00189800" w14:textId="77777777" w:rsidR="00D75AE8" w:rsidRDefault="00D75AE8" w:rsidP="006506B3">
      <w:pPr>
        <w:ind w:left="720"/>
        <w:rPr>
          <w:noProof/>
        </w:rPr>
      </w:pPr>
      <w:r w:rsidRPr="00D75AE8">
        <w:rPr>
          <w:noProof/>
        </w:rPr>
        <w:t xml:space="preserve"> </w:t>
      </w:r>
      <w:r>
        <w:rPr>
          <w:noProof/>
        </w:rPr>
        <w:drawing>
          <wp:inline distT="0" distB="0" distL="0" distR="0" wp14:anchorId="3028E093" wp14:editId="2B3C2EF6">
            <wp:extent cx="4699242" cy="29211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9242" cy="2921150"/>
                    </a:xfrm>
                    <a:prstGeom prst="rect">
                      <a:avLst/>
                    </a:prstGeom>
                  </pic:spPr>
                </pic:pic>
              </a:graphicData>
            </a:graphic>
          </wp:inline>
        </w:drawing>
      </w:r>
    </w:p>
    <w:p w14:paraId="01F88C61" w14:textId="77777777" w:rsidR="00382459" w:rsidRDefault="00382459" w:rsidP="006506B3">
      <w:pPr>
        <w:ind w:left="720"/>
      </w:pPr>
      <w:r>
        <w:br w:type="page"/>
      </w:r>
    </w:p>
    <w:p w14:paraId="4D85F7A6" w14:textId="5117327B" w:rsidR="006506B3" w:rsidRDefault="006506B3" w:rsidP="006506B3">
      <w:pPr>
        <w:ind w:left="720"/>
      </w:pPr>
      <w:r>
        <w:lastRenderedPageBreak/>
        <w:t>Moving Ranges Graph</w:t>
      </w:r>
    </w:p>
    <w:p w14:paraId="127CE885" w14:textId="66DA8FAC" w:rsidR="00C24256" w:rsidRPr="00E24AE4" w:rsidRDefault="00C24256" w:rsidP="00C24256">
      <w:pPr>
        <w:ind w:left="720"/>
        <w:rPr>
          <w:color w:val="2F5496" w:themeColor="accent1" w:themeShade="BF"/>
        </w:rPr>
      </w:pPr>
      <w:r>
        <w:rPr>
          <w:color w:val="2F5496" w:themeColor="accent1" w:themeShade="BF"/>
        </w:rPr>
        <w:t xml:space="preserve">Used LCL = </w:t>
      </w:r>
      <w:r>
        <w:rPr>
          <w:color w:val="2F5496" w:themeColor="accent1" w:themeShade="BF"/>
        </w:rPr>
        <w:t>0</w:t>
      </w:r>
      <w:r>
        <w:rPr>
          <w:color w:val="2F5496" w:themeColor="accent1" w:themeShade="BF"/>
        </w:rPr>
        <w:t xml:space="preserve">*1.42= </w:t>
      </w:r>
      <w:r>
        <w:rPr>
          <w:color w:val="2F5496" w:themeColor="accent1" w:themeShade="BF"/>
        </w:rPr>
        <w:t>0</w:t>
      </w:r>
      <w:r>
        <w:rPr>
          <w:color w:val="2F5496" w:themeColor="accent1" w:themeShade="BF"/>
        </w:rPr>
        <w:br/>
        <w:t xml:space="preserve">UCL = </w:t>
      </w:r>
      <w:r>
        <w:rPr>
          <w:color w:val="2F5496" w:themeColor="accent1" w:themeShade="BF"/>
        </w:rPr>
        <w:t>3.27</w:t>
      </w:r>
      <w:r>
        <w:rPr>
          <w:color w:val="2F5496" w:themeColor="accent1" w:themeShade="BF"/>
        </w:rPr>
        <w:t>*1.42=</w:t>
      </w:r>
      <w:r>
        <w:rPr>
          <w:color w:val="2F5496" w:themeColor="accent1" w:themeShade="BF"/>
        </w:rPr>
        <w:t>4.643</w:t>
      </w:r>
      <w:r>
        <w:rPr>
          <w:color w:val="2F5496" w:themeColor="accent1" w:themeShade="BF"/>
        </w:rPr>
        <w:br/>
        <w:t xml:space="preserve">CL = </w:t>
      </w:r>
      <w:r>
        <w:rPr>
          <w:color w:val="2F5496" w:themeColor="accent1" w:themeShade="BF"/>
        </w:rPr>
        <w:t>1.42</w:t>
      </w:r>
    </w:p>
    <w:p w14:paraId="277A7260" w14:textId="532E9675" w:rsidR="006506B3" w:rsidRDefault="00C24256" w:rsidP="006506B3">
      <w:pPr>
        <w:ind w:left="720"/>
      </w:pPr>
      <w:r>
        <w:rPr>
          <w:noProof/>
        </w:rPr>
        <w:drawing>
          <wp:inline distT="0" distB="0" distL="0" distR="0" wp14:anchorId="3D4EF4A6" wp14:editId="190C5E99">
            <wp:extent cx="4699242" cy="2870348"/>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9242" cy="2870348"/>
                    </a:xfrm>
                    <a:prstGeom prst="rect">
                      <a:avLst/>
                    </a:prstGeom>
                  </pic:spPr>
                </pic:pic>
              </a:graphicData>
            </a:graphic>
          </wp:inline>
        </w:drawing>
      </w:r>
    </w:p>
    <w:p w14:paraId="081B1B9D" w14:textId="14B92840" w:rsidR="00AD66C1" w:rsidRPr="00AE1D81" w:rsidRDefault="00AE1D81" w:rsidP="00AE1D81">
      <w:pPr>
        <w:ind w:left="720"/>
        <w:rPr>
          <w:rStyle w:val="Emphasis"/>
          <w:i w:val="0"/>
        </w:rPr>
      </w:pPr>
      <w:r>
        <w:rPr>
          <w:rStyle w:val="Emphasis"/>
          <w:i w:val="0"/>
        </w:rPr>
        <w:t>There are two indications of shifts in Figure 6.10. The first shift was favorable, and the second was unfavorable.</w:t>
      </w:r>
    </w:p>
    <w:p w14:paraId="3482A508" w14:textId="5DF1DF43" w:rsidR="00AD66C1" w:rsidRPr="00054970" w:rsidRDefault="00AE1D81" w:rsidP="00DC275C">
      <w:pPr>
        <w:pStyle w:val="ListParagraph"/>
        <w:numPr>
          <w:ilvl w:val="0"/>
          <w:numId w:val="1"/>
        </w:numPr>
        <w:rPr>
          <w:color w:val="2F5496" w:themeColor="accent1" w:themeShade="BF"/>
        </w:rPr>
      </w:pPr>
      <w:r>
        <w:t xml:space="preserve">What was this favorable shift </w:t>
      </w:r>
      <w:r w:rsidRPr="008576CE">
        <w:rPr>
          <w:i/>
        </w:rPr>
        <w:t>detec</w:t>
      </w:r>
      <w:r w:rsidR="008576CE" w:rsidRPr="008576CE">
        <w:rPr>
          <w:i/>
        </w:rPr>
        <w:t>t</w:t>
      </w:r>
      <w:r w:rsidRPr="008576CE">
        <w:rPr>
          <w:i/>
        </w:rPr>
        <w:t>ed</w:t>
      </w:r>
      <w:r>
        <w:t>?</w:t>
      </w:r>
      <w:r w:rsidR="007D0BAF">
        <w:br/>
      </w:r>
      <w:r w:rsidR="007D0BAF" w:rsidRPr="00054970">
        <w:rPr>
          <w:color w:val="2F5496" w:themeColor="accent1" w:themeShade="BF"/>
        </w:rPr>
        <w:t>In May, there was a favorable shift.</w:t>
      </w:r>
    </w:p>
    <w:p w14:paraId="232C303B" w14:textId="2590AD26" w:rsidR="008576CE" w:rsidRPr="00054970" w:rsidRDefault="008576CE" w:rsidP="00DC275C">
      <w:pPr>
        <w:pStyle w:val="ListParagraph"/>
        <w:numPr>
          <w:ilvl w:val="0"/>
          <w:numId w:val="1"/>
        </w:numPr>
        <w:rPr>
          <w:color w:val="2F5496" w:themeColor="accent1" w:themeShade="BF"/>
        </w:rPr>
      </w:pPr>
      <w:r>
        <w:t>When might this favorable shit have begun?</w:t>
      </w:r>
      <w:r w:rsidR="007D0BAF">
        <w:br/>
      </w:r>
      <w:r w:rsidR="00054970" w:rsidRPr="00054970">
        <w:rPr>
          <w:color w:val="2F5496" w:themeColor="accent1" w:themeShade="BF"/>
        </w:rPr>
        <w:t>During the month of April.</w:t>
      </w:r>
    </w:p>
    <w:p w14:paraId="4EB46696" w14:textId="48BF27BD" w:rsidR="008576CE" w:rsidRPr="00054970" w:rsidRDefault="008576CE" w:rsidP="00DC275C">
      <w:pPr>
        <w:pStyle w:val="ListParagraph"/>
        <w:numPr>
          <w:ilvl w:val="0"/>
          <w:numId w:val="1"/>
        </w:numPr>
        <w:rPr>
          <w:color w:val="2F5496" w:themeColor="accent1" w:themeShade="BF"/>
        </w:rPr>
      </w:pPr>
      <w:r>
        <w:t>When is the unfavorable shift detected?</w:t>
      </w:r>
      <w:r w:rsidR="00054970">
        <w:br/>
      </w:r>
      <w:r w:rsidR="00054970" w:rsidRPr="00054970">
        <w:rPr>
          <w:color w:val="2F5496" w:themeColor="accent1" w:themeShade="BF"/>
        </w:rPr>
        <w:t>February through April.</w:t>
      </w:r>
    </w:p>
    <w:sectPr w:rsidR="008576CE" w:rsidRPr="0005497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10833" w14:textId="77777777" w:rsidR="00C36B82" w:rsidRDefault="00C36B82" w:rsidP="00A249FA">
      <w:pPr>
        <w:spacing w:after="0" w:line="240" w:lineRule="auto"/>
      </w:pPr>
      <w:r>
        <w:separator/>
      </w:r>
    </w:p>
  </w:endnote>
  <w:endnote w:type="continuationSeparator" w:id="0">
    <w:p w14:paraId="5465987B" w14:textId="77777777" w:rsidR="00C36B82" w:rsidRDefault="00C36B82" w:rsidP="00A24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13A5F" w14:textId="77777777" w:rsidR="00C36B82" w:rsidRDefault="00C36B82" w:rsidP="00A249FA">
      <w:pPr>
        <w:spacing w:after="0" w:line="240" w:lineRule="auto"/>
      </w:pPr>
      <w:r>
        <w:separator/>
      </w:r>
    </w:p>
  </w:footnote>
  <w:footnote w:type="continuationSeparator" w:id="0">
    <w:p w14:paraId="7115DEA4" w14:textId="77777777" w:rsidR="00C36B82" w:rsidRDefault="00C36B82" w:rsidP="00A249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58F6D" w14:textId="2715EB32" w:rsidR="00A249FA" w:rsidRDefault="00A249FA">
    <w:pPr>
      <w:pStyle w:val="Header"/>
      <w:jc w:val="right"/>
    </w:pPr>
    <w:r>
      <w:t>Joyce Woznica</w:t>
    </w:r>
    <w:r>
      <w:tab/>
    </w:r>
    <w:r>
      <w:tab/>
    </w:r>
    <w:sdt>
      <w:sdtPr>
        <w:id w:val="16283526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257725C" w14:textId="16495604" w:rsidR="00A249FA" w:rsidRDefault="00A249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25A4B"/>
    <w:multiLevelType w:val="hybridMultilevel"/>
    <w:tmpl w:val="F9CEE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FA"/>
    <w:rsid w:val="000273F7"/>
    <w:rsid w:val="00054970"/>
    <w:rsid w:val="000D5357"/>
    <w:rsid w:val="000D5A5E"/>
    <w:rsid w:val="000D7EC2"/>
    <w:rsid w:val="000E41EE"/>
    <w:rsid w:val="00156D9F"/>
    <w:rsid w:val="00165C07"/>
    <w:rsid w:val="001C160C"/>
    <w:rsid w:val="001C3B9C"/>
    <w:rsid w:val="001D5F1B"/>
    <w:rsid w:val="001E714A"/>
    <w:rsid w:val="002042B1"/>
    <w:rsid w:val="002502C5"/>
    <w:rsid w:val="00297955"/>
    <w:rsid w:val="00380B17"/>
    <w:rsid w:val="00382459"/>
    <w:rsid w:val="003A01E8"/>
    <w:rsid w:val="003E0844"/>
    <w:rsid w:val="004521DA"/>
    <w:rsid w:val="004D3B6E"/>
    <w:rsid w:val="00511D3C"/>
    <w:rsid w:val="00544BA3"/>
    <w:rsid w:val="005665BF"/>
    <w:rsid w:val="005A1CA9"/>
    <w:rsid w:val="006506B3"/>
    <w:rsid w:val="006A03CD"/>
    <w:rsid w:val="007D0BAF"/>
    <w:rsid w:val="00831F4A"/>
    <w:rsid w:val="0083351B"/>
    <w:rsid w:val="008576CE"/>
    <w:rsid w:val="008736D8"/>
    <w:rsid w:val="008F6244"/>
    <w:rsid w:val="00945940"/>
    <w:rsid w:val="00965C31"/>
    <w:rsid w:val="009D72A1"/>
    <w:rsid w:val="00A238DE"/>
    <w:rsid w:val="00A249FA"/>
    <w:rsid w:val="00A60063"/>
    <w:rsid w:val="00A632F9"/>
    <w:rsid w:val="00AD497E"/>
    <w:rsid w:val="00AD66C1"/>
    <w:rsid w:val="00AE1D81"/>
    <w:rsid w:val="00AF05D8"/>
    <w:rsid w:val="00B02A82"/>
    <w:rsid w:val="00B94E55"/>
    <w:rsid w:val="00B97D60"/>
    <w:rsid w:val="00BE49A5"/>
    <w:rsid w:val="00C2056A"/>
    <w:rsid w:val="00C24256"/>
    <w:rsid w:val="00C336B3"/>
    <w:rsid w:val="00C36B82"/>
    <w:rsid w:val="00C72142"/>
    <w:rsid w:val="00D34D61"/>
    <w:rsid w:val="00D554A0"/>
    <w:rsid w:val="00D7579A"/>
    <w:rsid w:val="00D75AE8"/>
    <w:rsid w:val="00DC275C"/>
    <w:rsid w:val="00E24AE4"/>
    <w:rsid w:val="00E60948"/>
    <w:rsid w:val="00E82BF2"/>
    <w:rsid w:val="00EE78FF"/>
    <w:rsid w:val="00EF5BB8"/>
    <w:rsid w:val="00F5328C"/>
    <w:rsid w:val="00F608C2"/>
    <w:rsid w:val="00F75887"/>
    <w:rsid w:val="00F90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10600"/>
  <w15:chartTrackingRefBased/>
  <w15:docId w15:val="{6275472C-3809-48BD-BB18-3FF8F51E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9FA"/>
  </w:style>
  <w:style w:type="paragraph" w:styleId="Footer">
    <w:name w:val="footer"/>
    <w:basedOn w:val="Normal"/>
    <w:link w:val="FooterChar"/>
    <w:uiPriority w:val="99"/>
    <w:unhideWhenUsed/>
    <w:rsid w:val="00A24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9FA"/>
  </w:style>
  <w:style w:type="character" w:customStyle="1" w:styleId="Heading1Char">
    <w:name w:val="Heading 1 Char"/>
    <w:basedOn w:val="DefaultParagraphFont"/>
    <w:link w:val="Heading1"/>
    <w:uiPriority w:val="9"/>
    <w:rsid w:val="00A249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49FA"/>
    <w:pPr>
      <w:ind w:left="720"/>
      <w:contextualSpacing/>
    </w:pPr>
  </w:style>
  <w:style w:type="table" w:styleId="TableGrid">
    <w:name w:val="Table Grid"/>
    <w:basedOn w:val="TableNormal"/>
    <w:uiPriority w:val="39"/>
    <w:rsid w:val="00A24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A60063"/>
    <w:rPr>
      <w:i/>
      <w:iCs/>
      <w:color w:val="404040" w:themeColor="text1" w:themeTint="BF"/>
    </w:rPr>
  </w:style>
  <w:style w:type="character" w:styleId="Emphasis">
    <w:name w:val="Emphasis"/>
    <w:basedOn w:val="DefaultParagraphFont"/>
    <w:uiPriority w:val="20"/>
    <w:qFormat/>
    <w:rsid w:val="00AE1D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42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 </cp:lastModifiedBy>
  <cp:revision>56</cp:revision>
  <dcterms:created xsi:type="dcterms:W3CDTF">2018-11-14T18:32:00Z</dcterms:created>
  <dcterms:modified xsi:type="dcterms:W3CDTF">2018-11-23T02:26:00Z</dcterms:modified>
</cp:coreProperties>
</file>