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더-워케이션-theworkation"/>
    <w:p>
      <w:pPr>
        <w:pStyle w:val="Heading1"/>
      </w:pPr>
      <w:r>
        <w:t xml:space="preserve">더 워케이션 (TheWorkation)</w:t>
      </w:r>
    </w:p>
    <w:bookmarkStart w:id="20" w:name="학생-창업유망팀-300-u-300-사업계획서"/>
    <w:p>
      <w:pPr>
        <w:pStyle w:val="Heading2"/>
      </w:pPr>
      <w:r>
        <w:t xml:space="preserve">2026 학생 창업유망팀 300+ (U-300) 사업계획서</w:t>
      </w:r>
    </w:p>
    <w:p>
      <w:pPr>
        <w:pStyle w:val="BlockText"/>
      </w:pPr>
      <w:r>
        <w:t xml:space="preserve">음슴체 | 기호: 1. → 1) → (1) → - | 이미지: 각 섹션 제목 바로 아래 전체 너비 삽입</w:t>
      </w:r>
    </w:p>
    <w:p>
      <w:r>
        <w:pict>
          <v:rect style="width:0;height:1.5pt" o:hralign="center" o:hrstd="t" o:hr="t"/>
        </w:pict>
      </w:r>
    </w:p>
    <w:bookmarkEnd w:id="20"/>
    <w:bookmarkStart w:id="21" w:name="사업-아이템-개요"/>
    <w:p>
      <w:pPr>
        <w:pStyle w:val="Heading2"/>
      </w:pPr>
      <w:r>
        <w:t xml:space="preserve">▣ 0. 사업 아이템 개요</w:t>
      </w:r>
    </w:p>
    <w:p>
      <w:pPr>
        <w:pStyle w:val="FirstParagraph"/>
      </w:pPr>
      <w:r>
        <w:rPr>
          <w:bCs/>
          <w:b/>
        </w:rPr>
        <w:t xml:space="preserve">팀명:</w:t>
      </w:r>
      <w:r>
        <w:t xml:space="preserve"> </w:t>
      </w:r>
      <w:r>
        <w:t xml:space="preserve">더 워케이션 (TheWorkation)</w:t>
      </w:r>
    </w:p>
    <w:p>
      <w:pPr>
        <w:pStyle w:val="BodyText"/>
      </w:pPr>
      <w:r>
        <w:rPr>
          <w:bCs/>
          <w:b/>
        </w:rPr>
        <w:t xml:space="preserve">아이템 한 줄:</w:t>
      </w:r>
      <w:r>
        <w:t xml:space="preserve"> </w:t>
      </w:r>
      <w:r>
        <w:t xml:space="preserve">지방소멸을 늦추기 위해 기업의 워케이션 도입 장벽을, 성과·ESG 리포트와 정산 자동화로 없애는 B2B SaaS</w:t>
      </w:r>
    </w:p>
    <w:p>
      <w:pPr>
        <w:pStyle w:val="BodyText"/>
      </w:pPr>
      <w:r>
        <w:rPr>
          <w:bCs/>
          <w:b/>
        </w:rPr>
        <w:t xml:space="preserve">창업 목표:</w:t>
      </w:r>
      <w:r>
        <w:t xml:space="preserve"> </w:t>
      </w:r>
      <w:r>
        <w:t xml:space="preserve">막혀있는 지방소멸대응기금을 기업의 워케이션으로 흐르게 하고, 이 구조를 글로벌로 확장하는 워케이션 인프라 기업으로 성장</w:t>
      </w:r>
    </w:p>
    <w:p>
      <w:r>
        <w:pict>
          <v:rect style="width:0;height:1.5pt" o:hralign="center" o:hrstd="t" o:hr="t"/>
        </w:pict>
      </w:r>
    </w:p>
    <w:bookmarkEnd w:id="21"/>
    <w:bookmarkStart w:id="22" w:name="창업-배경-및-개발동기"/>
    <w:p>
      <w:pPr>
        <w:pStyle w:val="Heading2"/>
      </w:pPr>
      <w:r>
        <w:t xml:space="preserve">▣ 1. 창업 배경 및 개발동기</w:t>
      </w:r>
    </w:p>
    <w:p>
      <w:pPr>
        <w:pStyle w:val="BlockText"/>
      </w:pPr>
      <w:r>
        <w:rPr>
          <w:bCs/>
          <w:b/>
        </w:rPr>
        <w:t xml:space="preserve">[이미지 ①] 지방소멸 위험 지도</w:t>
      </w:r>
      <w:r>
        <w:t xml:space="preserve"> </w:t>
      </w:r>
      <w:r>
        <w:t xml:space="preserve">— 전체 너비 삽입</w:t>
      </w:r>
      <w:r>
        <w:t xml:space="preserve"> </w:t>
      </w:r>
      <w:r>
        <w:t xml:space="preserve">- 출처: 한국고용정보원, 「지방소멸 2024」(이상호, 2024) / 행정안전부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t xml:space="preserve">전국 228개 시군구 중</w:t>
      </w:r>
      <w:r>
        <w:t xml:space="preserve"> </w:t>
      </w:r>
      <w:r>
        <w:rPr>
          <w:bCs/>
          <w:b/>
        </w:rPr>
        <w:t xml:space="preserve">118개(51.8%)가 소멸위험지역</w:t>
      </w:r>
      <w:r>
        <w:t xml:space="preserve">. 정부는 2022~2031년 연 1조원, 총 10조원 규모의 지방소멸대응기금을 편성하고 ’워케이션을 통한 생활인구 유입’을 핵심 수단으로 지정함.</w:t>
      </w:r>
    </w:p>
    <w:p>
      <w:pPr>
        <w:numPr>
          <w:ilvl w:val="1"/>
          <w:numId w:val="1002"/>
        </w:numPr>
        <w:pStyle w:val="Compact"/>
      </w:pPr>
      <w:r>
        <w:t xml:space="preserve">출처: 행정안전부, 지방소멸대응기금 투자계획 (2022)</w:t>
      </w:r>
    </w:p>
    <w:p>
      <w:pPr>
        <w:numPr>
          <w:ilvl w:val="0"/>
          <w:numId w:val="1001"/>
        </w:numPr>
        <w:pStyle w:val="Compact"/>
      </w:pPr>
      <w:r>
        <w:t xml:space="preserve">그러나 2024년 기준 기금 집행률은</w:t>
      </w:r>
      <w:r>
        <w:t xml:space="preserve"> </w:t>
      </w:r>
      <w:r>
        <w:rPr>
          <w:bCs/>
          <w:b/>
        </w:rPr>
        <w:t xml:space="preserve">18.1%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약 8,190억원이 방치</w:t>
      </w:r>
      <w:r>
        <w:t xml:space="preserve">됨. 직장인 90%가 워케이션을 원하지만 실제 도입률은</w:t>
      </w:r>
      <w:r>
        <w:t xml:space="preserve"> </w:t>
      </w:r>
      <w:r>
        <w:rPr>
          <w:bCs/>
          <w:b/>
        </w:rPr>
        <w:t xml:space="preserve">19.9%</w:t>
      </w:r>
      <w:r>
        <w:t xml:space="preserve">에 그침.</w:t>
      </w:r>
    </w:p>
    <w:p>
      <w:pPr>
        <w:numPr>
          <w:ilvl w:val="1"/>
          <w:numId w:val="1003"/>
        </w:numPr>
        <w:pStyle w:val="Compact"/>
      </w:pPr>
      <w:r>
        <w:t xml:space="preserve">출처: 나라살림연구소·행정안전부 (2024) / 대한상공회의소 (2023, n=1,112)</w:t>
      </w:r>
    </w:p>
    <w:p>
      <w:pPr>
        <w:numPr>
          <w:ilvl w:val="0"/>
          <w:numId w:val="1001"/>
        </w:numPr>
        <w:pStyle w:val="Compact"/>
      </w:pPr>
      <w:r>
        <w:t xml:space="preserve">70%p의 공백은 수요 부재가 아님.</w:t>
      </w:r>
      <w:r>
        <w:t xml:space="preserve"> </w:t>
      </w:r>
      <w:r>
        <w:rPr>
          <w:bCs/>
          <w:b/>
        </w:rPr>
        <w:t xml:space="preserve">기업에 도입 이유가 없어서임</w:t>
      </w:r>
      <w:r>
        <w:t xml:space="preserve"> </w:t>
      </w:r>
      <w:r>
        <w:t xml:space="preserve">— 워케이션이 왜 필요한지, 비용 처리는 어떻게 되는지, 아무도 기업에 답을 주지 않았음.</w:t>
      </w:r>
    </w:p>
    <w:p>
      <w:pPr>
        <w:numPr>
          <w:ilvl w:val="0"/>
          <w:numId w:val="1001"/>
        </w:numPr>
        <w:pStyle w:val="Compact"/>
      </w:pPr>
      <w:r>
        <w:t xml:space="preserve">호텔경영학 전공·창업학 복수전공, 정부 정책 실시간 모니터링을 통해 이 구조적 공백을 포착하고 B2B SaaS로 구조화함.</w:t>
      </w:r>
    </w:p>
    <w:p>
      <w:r>
        <w:pict>
          <v:rect style="width:0;height:1.5pt" o:hralign="center" o:hrstd="t" o:hr="t"/>
        </w:pict>
      </w:r>
    </w:p>
    <w:bookmarkEnd w:id="22"/>
    <w:bookmarkStart w:id="23" w:name="창업아이템의-목적-및-필요성"/>
    <w:p>
      <w:pPr>
        <w:pStyle w:val="Heading2"/>
      </w:pPr>
      <w:r>
        <w:t xml:space="preserve">▣ 2. 창업아이템의 목적 및 필요성</w:t>
      </w:r>
    </w:p>
    <w:p>
      <w:pPr>
        <w:pStyle w:val="BlockText"/>
      </w:pPr>
      <w:r>
        <w:rPr>
          <w:bCs/>
          <w:b/>
        </w:rPr>
        <w:t xml:space="preserve">[이미지 ②] 90% vs 19.9% 갭 차트</w:t>
      </w:r>
      <w:r>
        <w:t xml:space="preserve"> </w:t>
      </w:r>
      <w:r>
        <w:t xml:space="preserve">— 전체 너비 삽입</w:t>
      </w:r>
      <w:r>
        <w:t xml:space="preserve"> </w:t>
      </w:r>
      <w:r>
        <w:t xml:space="preserve">- 출처: 대한상공회의소 (2023)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  <w:pStyle w:val="Compact"/>
      </w:pPr>
      <w:r>
        <w:t xml:space="preserve">아이템의 목적 — 기업이 움직이지 못하는 이유를 제거</w:t>
      </w:r>
    </w:p>
    <w:p>
      <w:pPr>
        <w:numPr>
          <w:ilvl w:val="0"/>
          <w:numId w:val="1005"/>
        </w:numPr>
        <w:pStyle w:val="Compact"/>
      </w:pPr>
      <w:r>
        <w:t xml:space="preserve">성과·ESG 리포트 — 워케이션을 왜 해야 하는지 데이터로 답함</w:t>
      </w:r>
    </w:p>
    <w:p>
      <w:pPr>
        <w:numPr>
          <w:ilvl w:val="0"/>
          <w:numId w:val="1006"/>
        </w:numPr>
        <w:pStyle w:val="Compact"/>
      </w:pPr>
      <w:r>
        <w:t xml:space="preserve">업무 성과 리포트: 워케이션 기간의 협업·생산성 지표를 자동 수집 → 내부 보고 즉시 활용 가능. (Microsoft·Nature 공동연구, 2021, 6만명 — 완전 재택 시 부서 간 협업 25% 감소 실증)</w:t>
      </w:r>
    </w:p>
    <w:p>
      <w:pPr>
        <w:numPr>
          <w:ilvl w:val="0"/>
          <w:numId w:val="1006"/>
        </w:numPr>
        <w:pStyle w:val="Compact"/>
      </w:pPr>
      <w:r>
        <w:t xml:space="preserve">ESG 임팩트 리포트: 지역 경제 기여 실적을 자동 수치화 → 지속가능경영보고서에 바로 활용. 복지 지출이 ESG 이행 실적이 됨.</w:t>
      </w:r>
    </w:p>
    <w:p>
      <w:pPr>
        <w:numPr>
          <w:ilvl w:val="0"/>
          <w:numId w:val="1007"/>
        </w:numPr>
        <w:pStyle w:val="Compact"/>
      </w:pPr>
      <w:r>
        <w:t xml:space="preserve">지원금 자동 선공제 엔진 — 결제 시점에 지자체 보조금 실시간 차감, 기업 실질 부담 최대 0원.</w:t>
      </w:r>
    </w:p>
    <w:p>
      <w:pPr>
        <w:numPr>
          <w:ilvl w:val="0"/>
          <w:numId w:val="1008"/>
        </w:numPr>
        <w:pStyle w:val="Compact"/>
      </w:pPr>
      <w:r>
        <w:t xml:space="preserve">경쟁사 전원이 사후 환급 방식 — 당사만의 핀테크 구조적 해자.</w:t>
      </w:r>
    </w:p>
    <w:p>
      <w:pPr>
        <w:numPr>
          <w:ilvl w:val="0"/>
          <w:numId w:val="1009"/>
        </w:numPr>
        <w:pStyle w:val="Compact"/>
      </w:pPr>
      <w:r>
        <w:t xml:space="preserve">1-Billing 통합 청구 — 임직원 개별 예약·증빙을 플랫폼이 자동 취합, 월 세금계산서 1장 자동 발행.</w:t>
      </w:r>
    </w:p>
    <w:p>
      <w:pPr>
        <w:numPr>
          <w:ilvl w:val="0"/>
          <w:numId w:val="1010"/>
        </w:numPr>
        <w:pStyle w:val="Compact"/>
      </w:pPr>
      <w:r>
        <w:t xml:space="preserve">재무팀 정산 소요: 기존 7일 → 0일. (직원 50명 기준 영수증 150장 수기 처리 → 완전 자동화)</w:t>
      </w:r>
    </w:p>
    <w:p>
      <w:pPr>
        <w:numPr>
          <w:ilvl w:val="0"/>
          <w:numId w:val="1011"/>
        </w:numPr>
        <w:pStyle w:val="Compact"/>
      </w:pPr>
      <w:r>
        <w:t xml:space="preserve">필요성</w:t>
      </w:r>
    </w:p>
    <w:p>
      <w:pPr>
        <w:numPr>
          <w:ilvl w:val="0"/>
          <w:numId w:val="1012"/>
        </w:numPr>
        <w:pStyle w:val="Compact"/>
      </w:pPr>
      <w:r>
        <w:t xml:space="preserve">워케이션 도입 기업 만족도 90%, 재참여 희망률 96% (서울경제진흥원, 2023, n=523). 한 번 움직인 기업은 계속 움직임. 더 워케이션은 처음 움직이는 이유를 만드는 민간 인프라임.</w:t>
      </w:r>
    </w:p>
    <w:p>
      <w:r>
        <w:pict>
          <v:rect style="width:0;height:1.5pt" o:hralign="center" o:hrstd="t" o:hr="t"/>
        </w:pict>
      </w:r>
    </w:p>
    <w:bookmarkEnd w:id="23"/>
    <w:bookmarkStart w:id="24" w:name="목표시장-분석"/>
    <w:p>
      <w:pPr>
        <w:pStyle w:val="Heading2"/>
      </w:pPr>
      <w:r>
        <w:t xml:space="preserve">▣ 3. 목표시장 분석</w:t>
      </w:r>
    </w:p>
    <w:p>
      <w:pPr>
        <w:pStyle w:val="BlockText"/>
      </w:pPr>
      <w:r>
        <w:rPr>
          <w:bCs/>
          <w:b/>
        </w:rPr>
        <w:t xml:space="preserve">[이미지 ③] TAM/SAM/SOM/LAM 시장 규모 차트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market_size_v5.png</w:t>
      </w:r>
      <w:r>
        <w:t xml:space="preserve"> </w:t>
      </w:r>
      <w:r>
        <w:t xml:space="preserve">직접 삽입</w:t>
      </w:r>
      <w:r>
        <w:t xml:space="preserve"> </w:t>
      </w:r>
      <w:r>
        <w:t xml:space="preserve">- 출처: Allied Market Research (2024), 현대이지웰 IR, 중소벤처기업부 (2024)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규모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약 43조원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글로벌 기업 리트릿 시장, CAGR 9.1% (Allied Market Research, 2024)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약 1조원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국내 선택적복지 3조원 × 여가·오프사이트 비중 (현대이지웰 IR)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약 1,000억원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수도권 벤처기업 25,400개사 × 10% 점유 목표 (중소벤처기업부, 2024)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연간 약 12억원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수도권 IT스타트업 150개사 × 평균 14명 × 1인 60만원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이 시장의 성장 속도는 민간 수요가 아닌</w:t>
      </w:r>
      <w:r>
        <w:t xml:space="preserve"> </w:t>
      </w:r>
      <w:r>
        <w:rPr>
          <w:bCs/>
          <w:b/>
        </w:rPr>
        <w:t xml:space="preserve">정부 예산 공급</w:t>
      </w:r>
      <w:r>
        <w:t xml:space="preserve">이 결정함. 연간 1조원이 이미 편성되어 있고, 집행을 가능하게 하는 플랫폼을 선점한 기업이 시장을 가져감.</w:t>
      </w:r>
    </w:p>
    <w:p>
      <w:pPr>
        <w:numPr>
          <w:ilvl w:val="0"/>
          <w:numId w:val="1013"/>
        </w:numPr>
        <w:pStyle w:val="Compact"/>
      </w:pPr>
      <w:r>
        <w:t xml:space="preserve">글로벌 원격근무 서비스 시장: 2024년 $205억 → 2034년 $2,483억, CAGR 23.4% (Polaris Market Research, 2024)</w:t>
      </w:r>
    </w:p>
    <w:p>
      <w:r>
        <w:pict>
          <v:rect style="width:0;height:1.5pt" o:hralign="center" o:hrstd="t" o:hr="t"/>
        </w:pict>
      </w:r>
    </w:p>
    <w:bookmarkEnd w:id="24"/>
    <w:bookmarkStart w:id="25" w:name="사업화-전략"/>
    <w:p>
      <w:pPr>
        <w:pStyle w:val="Heading2"/>
      </w:pPr>
      <w:r>
        <w:t xml:space="preserve">▣ 4. 사업화 전략</w:t>
      </w:r>
    </w:p>
    <w:p>
      <w:pPr>
        <w:pStyle w:val="BlockText"/>
      </w:pPr>
      <w:r>
        <w:rPr>
          <w:bCs/>
          <w:b/>
        </w:rPr>
        <w:t xml:space="preserve">[이미지 ④] B2B2G 서비스 구조도</w:t>
      </w:r>
      <w:r>
        <w:t xml:space="preserve"> </w:t>
      </w:r>
      <w:r>
        <w:t xml:space="preserve">— Canva 제작 후 삽입</w:t>
      </w:r>
      <w:r>
        <w:t xml:space="preserve"> </w:t>
      </w:r>
      <w:r>
        <w:t xml:space="preserve">- 구성: 지자체(미집행 예산) → 플랫폼(가치 증명 + 실행 마찰 제거) → 기업(도입 결정) → 임직원(지방 체류) → 지방(생활인구 유입)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4"/>
        </w:numPr>
        <w:pStyle w:val="Compact"/>
      </w:pPr>
      <w:r>
        <w:t xml:space="preserve">비즈니스 모델 — B2B2G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현재의 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더 워케이션이 바꾸는 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지자체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8,190억원 미집행, 워케이션 센터 공실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기업 연결로 예산 소진, 생활인구 실적 확보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기업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도입 이유 없어 의사결정 불가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성과·ESG 데이터로 가치 가시화, 실행 마찰 제거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임직원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원하지만 실행되지 않는 워케이션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90%의 잠재 수요가 현실화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숙소 파트너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OCC 50%대, 연 182일 공실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기업 단체 수요로 가동률 회복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수익 구조</w:t>
      </w:r>
    </w:p>
    <w:p>
      <w:pPr>
        <w:numPr>
          <w:ilvl w:val="0"/>
          <w:numId w:val="1016"/>
        </w:numPr>
        <w:pStyle w:val="Compact"/>
      </w:pPr>
      <w:r>
        <w:t xml:space="preserve">거래 수수료 12% (초기): 플랫폼 거래액 기반</w:t>
      </w:r>
    </w:p>
    <w:p>
      <w:pPr>
        <w:numPr>
          <w:ilvl w:val="0"/>
          <w:numId w:val="1016"/>
        </w:numPr>
        <w:pStyle w:val="Compact"/>
      </w:pPr>
      <w:r>
        <w:t xml:space="preserve">SaaS 구독료 (확장기): 기업 대시보드 월정액</w:t>
      </w:r>
    </w:p>
    <w:p>
      <w:pPr>
        <w:numPr>
          <w:ilvl w:val="0"/>
          <w:numId w:val="1016"/>
        </w:numPr>
        <w:pStyle w:val="Compact"/>
      </w:pPr>
      <w:r>
        <w:t xml:space="preserve">B2G 연동 수수료 (중장기): 지자체 예산 집행 대행</w:t>
      </w:r>
    </w:p>
    <w:p>
      <w:pPr>
        <w:numPr>
          <w:ilvl w:val="0"/>
          <w:numId w:val="1017"/>
        </w:numPr>
        <w:pStyle w:val="Compact"/>
      </w:pPr>
      <w:r>
        <w:t xml:space="preserve">개발 로드맵</w:t>
      </w:r>
    </w:p>
    <w:p>
      <w:pPr>
        <w:numPr>
          <w:ilvl w:val="0"/>
          <w:numId w:val="1018"/>
        </w:numPr>
        <w:pStyle w:val="Compact"/>
      </w:pPr>
      <w:r>
        <w:t xml:space="preserve">0~3개월: 노코더스(Nocoders) — MVP 구축 (지도API·결제·대시보드)</w:t>
      </w:r>
    </w:p>
    <w:p>
      <w:pPr>
        <w:numPr>
          <w:ilvl w:val="0"/>
          <w:numId w:val="1018"/>
        </w:numPr>
        <w:pStyle w:val="Compact"/>
      </w:pPr>
      <w:r>
        <w:t xml:space="preserve">3~6개월: 그릿지(Gridge) — CBT, HR 담당자 10명 피드백 기반 고속 이터레이션 (월 300만원, 무제한 수정)</w:t>
      </w:r>
    </w:p>
    <w:p>
      <w:pPr>
        <w:numPr>
          <w:ilvl w:val="0"/>
          <w:numId w:val="1018"/>
        </w:numPr>
        <w:pStyle w:val="Compact"/>
      </w:pPr>
      <w:r>
        <w:t xml:space="preserve">6개월~: 자체 개발 전환 — B2G 연동 고도화, ESG 리포트 자동화, 글로벌 PG(Stripe) 연동</w:t>
      </w:r>
    </w:p>
    <w:p>
      <w:r>
        <w:pict>
          <v:rect style="width:0;height:1.5pt" o:hralign="center" o:hrstd="t" o:hr="t"/>
        </w:pict>
      </w:r>
    </w:p>
    <w:bookmarkEnd w:id="25"/>
    <w:bookmarkStart w:id="26" w:name="시장분석-및-경쟁력-확보-방안"/>
    <w:p>
      <w:pPr>
        <w:pStyle w:val="Heading2"/>
      </w:pPr>
      <w:r>
        <w:t xml:space="preserve">▣ 5. 시장분석 및 경쟁력 확보 방안</w:t>
      </w:r>
    </w:p>
    <w:p>
      <w:pPr>
        <w:pStyle w:val="BlockText"/>
      </w:pPr>
      <w:r>
        <w:rPr>
          <w:bCs/>
          <w:b/>
        </w:rPr>
        <w:t xml:space="preserve">[이미지 ⑤] 경쟁사 비교표</w:t>
      </w:r>
      <w:r>
        <w:t xml:space="preserve"> </w:t>
      </w:r>
      <w:r>
        <w:t xml:space="preserve">— 아래 표를 HWP에 직접 삽입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더 워케이션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더휴일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디어먼데이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스테이폴리오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워케이션 가치 증명 (성과·ESG 리포트)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지원금 선공제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1-Billing 정산 자동화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B2G 지자체 직접 연동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✕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경쟁 진입장벽</w:t>
      </w:r>
    </w:p>
    <w:p>
      <w:pPr>
        <w:numPr>
          <w:ilvl w:val="0"/>
          <w:numId w:val="1020"/>
        </w:numPr>
        <w:pStyle w:val="Compact"/>
      </w:pPr>
      <w:r>
        <w:t xml:space="preserve">B2G 결제망: 지자체 MOU~정산 연동까지 6~12개월 소요 → 선점 플랫폼이 공식 파트너 지위 독점. 글로벌 플랫폼(Gable·HafH)은 법적·언어적 이유로 국내 B2G 진입 불가.</w:t>
      </w:r>
    </w:p>
    <w:p>
      <w:pPr>
        <w:numPr>
          <w:ilvl w:val="0"/>
          <w:numId w:val="1020"/>
        </w:numPr>
        <w:pStyle w:val="Compact"/>
      </w:pPr>
      <w:r>
        <w:t xml:space="preserve">성과 데이터 누적: 운영할수록 리포트 정확도 상승 → 도입 레퍼런스가 쌓일수록 후발 진입자 추격 불가.</w:t>
      </w:r>
    </w:p>
    <w:p>
      <w:pPr>
        <w:numPr>
          <w:ilvl w:val="0"/>
          <w:numId w:val="1020"/>
        </w:numPr>
        <w:pStyle w:val="Compact"/>
      </w:pPr>
      <w:r>
        <w:t xml:space="preserve">정산 데이터 락인: 기업·지자체 모두 누적 데이터가 있는 플랫폼을 교체할 유인 소멸.</w:t>
      </w:r>
    </w:p>
    <w:p>
      <w:r>
        <w:pict>
          <v:rect style="width:0;height:1.5pt" o:hralign="center" o:hrstd="t" o:hr="t"/>
        </w:pict>
      </w:r>
    </w:p>
    <w:bookmarkEnd w:id="26"/>
    <w:bookmarkStart w:id="27" w:name="시장진입-및-성과창출-전략"/>
    <w:p>
      <w:pPr>
        <w:pStyle w:val="Heading2"/>
      </w:pPr>
      <w:r>
        <w:t xml:space="preserve">▣ 6. 시장진입 및 성과창출 전략</w:t>
      </w:r>
    </w:p>
    <w:p>
      <w:pPr>
        <w:pStyle w:val="BlockText"/>
      </w:pPr>
      <w:r>
        <w:rPr>
          <w:bCs/>
          <w:b/>
        </w:rPr>
        <w:t xml:space="preserve">[이미지 ⑥] 4단계 글로벌 성장 로드맵</w:t>
      </w:r>
      <w:r>
        <w:t xml:space="preserve"> </w:t>
      </w:r>
      <w:r>
        <w:t xml:space="preserve">— Canva 제작 후 삽입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핵심 전략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1단계</w:t>
            </w:r>
            <w:r>
              <w:t xml:space="preserve"> </w:t>
            </w:r>
            <w:r>
              <w:t xml:space="preserve">강원 MVP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0~1년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정선·영월·평창 지자체 MOU + HR 핀셋 마케팅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제휴 숙소 10곳, 파트너 기업 5곳, GMV 12억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2단계</w:t>
            </w:r>
            <w:r>
              <w:t xml:space="preserve"> </w:t>
            </w:r>
            <w:r>
              <w:t xml:space="preserve">전국 확장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89개 인구감소지역 B2G 연동 + 대기업 ESG 세일즈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지자체 10개+, 엔터프라이즈 20곳, GMV 50억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3단계</w:t>
            </w:r>
            <w:r>
              <w:t xml:space="preserve"> </w:t>
            </w:r>
            <w:r>
              <w:t xml:space="preserve">글로벌 인바운드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3~5년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Stripe 연동 + 영문 리포트 → 해외 기업 유입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일본 시장 진입 (소멸위험 지자체 744개)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4단계</w:t>
            </w:r>
            <w:r>
              <w:t xml:space="preserve"> </w:t>
            </w:r>
            <w:r>
              <w:t xml:space="preserve">글로벌 아웃바운드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5년+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동아시아·동남아 파트너십 + 원화 단일 정산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GMV 1,000억, 글로벌 워케이션 인프라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자금조달-계획"/>
    <w:p>
      <w:pPr>
        <w:pStyle w:val="Heading2"/>
      </w:pPr>
      <w:r>
        <w:t xml:space="preserve">▣ 7. 자금조달 계획</w:t>
      </w:r>
    </w:p>
    <w:p>
      <w:pPr>
        <w:numPr>
          <w:ilvl w:val="0"/>
          <w:numId w:val="1021"/>
        </w:numPr>
        <w:pStyle w:val="Compact"/>
      </w:pPr>
      <w:r>
        <w:t xml:space="preserve">정부지원사업비 집행 계획 (총 2,500만원)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1단계 (0~3개월)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2단계 (3~12개월)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플랫폼 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1,600만원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지자체 MOU 출장비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300만원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B2B 마케팅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400만원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기타 운영비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100만원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200만원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5개년 수익 전망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GMV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수수료 수익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핵심 마일스톤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 출시, LAM 달성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전국 확장, 대기업 ESG 세일즈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SaaS 구독 본격화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5년차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120억원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글로벌 아웃바운드 + SaaS 안정화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t xml:space="preserve">투자 유치 로드맵</w:t>
      </w:r>
    </w:p>
    <w:p>
      <w:pPr>
        <w:numPr>
          <w:ilvl w:val="0"/>
          <w:numId w:val="1024"/>
        </w:numPr>
        <w:pStyle w:val="Compact"/>
      </w:pPr>
      <w:r>
        <w:t xml:space="preserve">Pre-seed: U-300 지원금 + 엔젤투자 → MVP 및 첫 레퍼런스 확보</w:t>
      </w:r>
    </w:p>
    <w:p>
      <w:pPr>
        <w:numPr>
          <w:ilvl w:val="0"/>
          <w:numId w:val="1024"/>
        </w:numPr>
        <w:pStyle w:val="Compact"/>
      </w:pPr>
      <w:r>
        <w:t xml:space="preserve">Seed: LAM 달성 후 지방소멸 테마 ESG 임팩트 펀드 연계 (1~2년차)</w:t>
      </w:r>
    </w:p>
    <w:p>
      <w:pPr>
        <w:numPr>
          <w:ilvl w:val="0"/>
          <w:numId w:val="1024"/>
        </w:numPr>
        <w:pStyle w:val="Compact"/>
      </w:pPr>
      <w:r>
        <w:t xml:space="preserve">Series A: GMV 50억 달성 시 기관 VC 유치 (2년차)</w:t>
      </w:r>
    </w:p>
    <w:p>
      <w:r>
        <w:pict>
          <v:rect style="width:0;height:1.5pt" o:hralign="center" o:hrstd="t" o:hr="t"/>
        </w:pict>
      </w:r>
    </w:p>
    <w:bookmarkEnd w:id="28"/>
    <w:bookmarkStart w:id="29" w:name="창업자의-역량"/>
    <w:p>
      <w:pPr>
        <w:pStyle w:val="Heading2"/>
      </w:pPr>
      <w:r>
        <w:t xml:space="preserve">▣ 8. 창업자의 역량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호텔경영학·창업학 복수전공</w:t>
      </w:r>
      <w:r>
        <w:t xml:space="preserve">: 숙박업 OCC 50%대 구조 학술 분석 → 공급과잉 지방 숙소·미집행 예산·기업 수요의 단절 구조를 포착하고, B2B SaaS 솔루션으로 재설계함.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정책 모니터링</w:t>
      </w:r>
      <w:r>
        <w:t xml:space="preserve">: 문체부·관광공사·행안부 정책 실시간 추적 → 8,190억원 미집행의 원인을 ’기업의 가치 인식 부재’로 진단, 업계 최초로 B2B SaaS로 구조화함.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HR 담당자 직접 인터뷰</w:t>
      </w:r>
      <w:r>
        <w:t xml:space="preserve">: 도입 의사결정의 실제 병목을 정성적으로 확인하고 솔루션 방향을 고도화함.</w:t>
      </w:r>
    </w:p>
    <w:p>
      <w:r>
        <w:pict>
          <v:rect style="width:0;height:1.5pt" o:hralign="center" o:hrstd="t" o:hr="t"/>
        </w:pict>
      </w:r>
    </w:p>
    <w:bookmarkEnd w:id="29"/>
    <w:bookmarkStart w:id="30" w:name="팀-구성원-소개-및-역량"/>
    <w:p>
      <w:pPr>
        <w:pStyle w:val="Heading2"/>
      </w:pPr>
      <w:r>
        <w:t xml:space="preserve">▣ 9. 팀 구성원 소개 및 역량</w:t>
      </w:r>
    </w:p>
    <w:p>
      <w:pPr>
        <w:pStyle w:val="BlockText"/>
      </w:pPr>
      <w:r>
        <w:rPr>
          <w:bCs/>
          <w:b/>
        </w:rPr>
        <w:t xml:space="preserve">[이미지 ⑦] 팀 카드 (6인 + 고문)</w:t>
      </w:r>
      <w:r>
        <w:t xml:space="preserve"> </w:t>
      </w:r>
      <w:r>
        <w:t xml:space="preserve">— Canva 제작 후 삽입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전공·배경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핵심 담당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대표 (CEO)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호텔경영학·창업학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사업 총괄, 서비스 기획, 지자체 파트너십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회계학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정산 시스템 기획, 수익 모델, 재무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바이오공학·마케팅학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B2B 세일즈, HR 타겟 마케팅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 경력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플랫폼 MVP 개발, B2G 결제 구현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브랜딩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사진학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콘텐츠·SNS·비주얼 아이덴티티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고문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여행사 20년 경력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숙소 파트너십 네트워크, 공급 확보 자문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hwp-이미지-삽입-체크리스트"/>
    <w:p>
      <w:pPr>
        <w:pStyle w:val="Heading2"/>
      </w:pPr>
      <w:r>
        <w:t xml:space="preserve">■ HWP 이미지 삽입 체크리스트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이미지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준비 방법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삽입 위치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지방소멸 위험 지도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kr.vizney.com 접속 후 캡처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창업 배경 섹션 상단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 vs 19.9% 갭 차트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머니투데이 기사 캡처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목적·필요성 섹션 상단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TAM/SAM/SOM/LAM 차트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market_size_v5.png 직접 삽입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목표시장 섹션 상단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B2B2G 구조도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Canva 제작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사업화 전략 섹션 상단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경쟁사 비교표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HWP 표 직접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시장분석 섹션 상단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4단계 로드맵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Canva 제작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시장진입 섹션 상단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팀 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Canva 제작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팀 구성원 섹션 상단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2026-05-04T15:36:38Z</dcterms:created>
  <dcterms:modified xsi:type="dcterms:W3CDTF">2026-05-04T15:36:38Z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