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  Semester 2, 2026  ·  Dr Jimmy Moses</w:t>
      </w:r>
    </w:p>
    <w:p>
      <w:pPr>
        <w:spacing w:before="0" w:after="160" w:line="259" w:lineRule="auto"/>
      </w:pPr>
      <w:r>
        <w:rPr>
          <w:rFonts w:ascii="Calibri" w:hAnsi="Calibri" w:eastAsia="Calibri"/>
          <w:b w:val="0"/>
          <w:i/>
          <w:color w:val="222222"/>
          <w:sz w:val="20"/>
        </w:rPr>
        <w:t>Revised issue: Week 8, Wednesday 9 September 2026. This brief replaces the unpublished Week 6 brief for this offering only. The approved lesson plan still lists the assignment as set in Week 6, Milestone 1 in Week 7, Milestone 2 in Week 9, and due in Week 12. Those outline dates are not the dates for this submission. Use the dates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Wednesday 9 September 2026 (Week 8)</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This brief, the Milestone 1 form, the species list, and the Week 9 GIS guide</w:t>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Milestone 1</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Monday 14 September 2026,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Ungraded and compulsory. Species approval. No approval, no final mark.</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Milestone 2</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18 September 2026, 4:00 pm</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Week 9 GIS lab and draft-map check. Bring four draft maps. This is the only remaining computer lab.</w:t>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25 September 2026 (Week 10),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There is no GIS lab in Week 8. Submit Milestone 1 this week (Monday 14 September, 4:00 pm). The Week 9 lab, Friday 18 September, starts with one shared training file so the class learns the same click-path. For the marked maps you pick a species from the FR422 assignment list, the lecturer checks it, and you receive that species file before the lab.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Approval is first come at Milestone 1. No two students take the same species. Look up the IUCN category on the Red List and cite the account, including the date you checked it. After the lecturer approves, you receive that species geojson. Do not start the four marked maps until you have your issued file.</w:t>
      </w:r>
    </w:p>
    <w:p>
      <w:pPr>
        <w:spacing w:before="0" w:after="160" w:line="259" w:lineRule="auto"/>
      </w:pPr>
      <w:r>
        <w:rPr>
          <w:rFonts w:ascii="Calibri" w:hAnsi="Calibri" w:eastAsia="Calibri"/>
          <w:b w:val="0"/>
          <w:i w:val="0"/>
          <w:color w:val="222222"/>
          <w:sz w:val="22"/>
        </w:rPr>
        <w:t>The four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four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Four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Milestone 1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the gap-analysis map. Named Surname_lab_map1_study_area and the same pattern for maps 2 to 4; the gap-analysis map is named Surname_lab_gap_analysis.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four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four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Milestone 1 form and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