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C5F2D" w:sz="6"/>
        </w:pBdr>
        <w:spacing w:after="40"/>
      </w:pPr>
      <w:r>
        <w:rPr>
          <w:rFonts w:ascii="Calibri" w:cs="Calibri" w:eastAsia="Calibri" w:hAnsi="Calibri"/>
          <w:color w:val="5A6B53"/>
          <w:sz w:val="15"/>
          <w:szCs w:val="15"/>
        </w:rPr>
        <w:t xml:space="preserve">FR422 — Forest Wildlife and Habitat  ·  School of Forestry, PNG University of Technology</w:t>
      </w:r>
    </w:p>
    <w:p>
      <w:pPr>
        <w:spacing w:after="20" w:before="180"/>
      </w:pPr>
      <w:r>
        <w:rPr>
          <w:rFonts w:ascii="Cambria" w:cs="Cambria" w:eastAsia="Cambria" w:hAnsi="Cambria"/>
          <w:b/>
          <w:bCs/>
          <w:color w:val="14300F"/>
          <w:sz w:val="31"/>
          <w:szCs w:val="31"/>
        </w:rPr>
        <w:t xml:space="preserve">Choosing a Conservation Instrument in Papua New Guinea</w:t>
      </w:r>
    </w:p>
    <w:p>
      <w:pPr>
        <w:spacing w:after="150"/>
      </w:pPr>
      <w:r>
        <w:rPr>
          <w:rFonts w:ascii="Calibri" w:cs="Calibri" w:eastAsia="Calibri" w:hAnsi="Calibri"/>
          <w:color w:val="5A6B53"/>
          <w:sz w:val="18"/>
          <w:szCs w:val="18"/>
        </w:rPr>
        <w:t xml:space="preserve">Wildlife Management Area  ·  Conservation Area  ·  Protected Area      Chapter 2 reference sheet</w:t>
      </w:r>
    </w:p>
    <w:p>
      <w:pPr>
        <w:spacing w:after="160"/>
      </w:pPr>
      <w:r>
        <w:rPr>
          <w:rFonts w:ascii="Calibri" w:cs="Calibri" w:eastAsia="Calibri" w:hAnsi="Calibri"/>
          <w:color w:val="1E2A1D"/>
          <w:sz w:val="19"/>
          <w:szCs w:val="19"/>
        </w:rPr>
        <w:t xml:space="preserve">PNG's three main conservation instruments sit under three different Acts. They are not interchangeable — the right choice depends on what you are protecting, what threatens it, and who owns the land.</w:t>
      </w:r>
    </w:p>
    <w:tbl>
      <w:tblPr>
        <w:tblW w:type="dxa" w:w="103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950"/>
        <w:gridCol w:w="2790"/>
        <w:gridCol w:w="2790"/>
        <w:gridCol w:w="2790"/>
      </w:tblGrid>
      <w:tr>
        <w:trPr>
          <w:tblHeader/>
        </w:trP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5F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WILDLIFE MANAGEMENT AREA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5F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CONSERVATION AREA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C5F2D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PROTECTED AREA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Governing law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Fauna (Protection and Control) Act 1966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Conservation Areas Act 1978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Protected Areas Act 2023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What it controls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Taking and killing of fauna only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Land use and development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Full management regime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Who initiates it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Customary landowners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Any person or authority, by written request to the Minister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Landowners with CEPA, under FPIC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Who declares it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Minister, by notice in the National Gazette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Head of State, on National Executive Council advice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CEPA process under the Act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Management plan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Not required — committee rules instead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Required — approved by the Minister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Required — drafted by landowning clans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Enforcement mechanism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Committee rules, licensing and royalties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Fines up to K40,000 for unauthorised development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7F9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Binding deeds negotiated with landowners</w:t>
            </w:r>
          </w:p>
        </w:tc>
      </w:tr>
      <w:tr>
        <w:tc>
          <w:tcPr>
            <w:tcW w:type="dxa" w:w="19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F0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C5F2D"/>
                <w:sz w:val="17"/>
                <w:szCs w:val="17"/>
              </w:rPr>
              <w:t xml:space="preserve">Most appropriate when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Regulating hunting while the community keeps using the resource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The threat is land-use change on a significant site</w:t>
            </w:r>
          </w:p>
        </w:tc>
        <w:tc>
          <w:tcPr>
            <w:tcW w:type="dxa" w:w="279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A1D"/>
                <w:sz w:val="17"/>
                <w:szCs w:val="17"/>
              </w:rPr>
              <w:t xml:space="preserve">You need durable, funded, nationally recognised status</w:t>
            </w:r>
          </w:p>
        </w:tc>
      </w:tr>
    </w:tbl>
    <w:p>
      <w:pPr>
        <w:spacing w:after="90" w:before="220"/>
      </w:pPr>
      <w:r>
        <w:rPr>
          <w:rFonts w:ascii="Cambria" w:cs="Cambria" w:eastAsia="Cambria" w:hAnsi="Cambria"/>
          <w:b/>
          <w:bCs/>
          <w:color w:val="2C5F2D"/>
          <w:sz w:val="23"/>
          <w:szCs w:val="23"/>
        </w:rPr>
        <w:t xml:space="preserve">Factors that apply to all three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1. Customary tenure and consent.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Establish who owns each parcel, clan by clan, and whether the group proposing the area can speak for all owners. Most PNG conservation areas fail here, not at gazettal.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2. Overlapping rights.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Check for existing forest concessions, mining tenements, SABLs and alienated land before committing effort.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3. Ecological viability.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Endemism and threatened species matter — but so do size and connectivity. Undersized areas cannot hold viable populations.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4. Match the instrument to the threat.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Hunting pressure points to a WMA; conversion to agriculture, logging or mining means you need land-use control.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5. Boundaries.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They must be ecologically sensible and socially defensible — in practice they must follow clan boundaries. Map them properly.</w:t>
      </w:r>
    </w:p>
    <w:p>
      <w:pPr>
        <w:spacing w:after="70" w:before="0"/>
        <w:ind w:left="180" w:hanging="180"/>
      </w:pP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6. Recurrent cost and benefit.  </w:t>
      </w:r>
      <w:r>
        <w:rPr>
          <w:rFonts w:ascii="Calibri" w:cs="Calibri" w:eastAsia="Calibri" w:hAnsi="Calibri"/>
          <w:color w:val="1E2A1D"/>
          <w:sz w:val="19"/>
          <w:szCs w:val="19"/>
        </w:rPr>
        <w:t xml:space="preserve">What replaces the income landowners forgo, and who funds management in year five?</w:t>
      </w:r>
    </w:p>
    <w:p>
      <w:pPr>
        <w:spacing w:after="90" w:before="220"/>
      </w:pPr>
      <w:r>
        <w:rPr>
          <w:rFonts w:ascii="Cambria" w:cs="Cambria" w:eastAsia="Cambria" w:hAnsi="Cambria"/>
          <w:b/>
          <w:bCs/>
          <w:color w:val="2C5F2D"/>
          <w:sz w:val="23"/>
          <w:szCs w:val="23"/>
        </w:rPr>
        <w:t xml:space="preserve">Choosing between them</w:t>
      </w:r>
    </w:p>
    <w:p>
      <w:pPr>
        <w:spacing w:after="70" w:before="0"/>
        <w:ind w:left="180"/>
      </w:pPr>
      <w:r>
        <w:rPr>
          <w:rFonts w:ascii="Calibri" w:cs="Calibri" w:eastAsia="Calibri" w:hAnsi="Calibri"/>
          <w:color w:val="1E2A1D"/>
          <w:sz w:val="19"/>
          <w:szCs w:val="19"/>
        </w:rPr>
        <w:t xml:space="preserve">Hunting or harvest pressure, community wants continued use  →  </w:t>
      </w: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Wildlife Management Area</w:t>
      </w:r>
    </w:p>
    <w:p>
      <w:pPr>
        <w:spacing w:after="70" w:before="0"/>
        <w:ind w:left="180"/>
      </w:pPr>
      <w:r>
        <w:rPr>
          <w:rFonts w:ascii="Calibri" w:cs="Calibri" w:eastAsia="Calibri" w:hAnsi="Calibri"/>
          <w:color w:val="1E2A1D"/>
          <w:sz w:val="19"/>
          <w:szCs w:val="19"/>
        </w:rPr>
        <w:t xml:space="preserve">Threat is conversion or development of a significant site  →  </w:t>
      </w: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Conservation Area</w:t>
      </w:r>
    </w:p>
    <w:p>
      <w:pPr>
        <w:spacing w:after="70" w:before="0"/>
        <w:ind w:left="180"/>
      </w:pPr>
      <w:r>
        <w:rPr>
          <w:rFonts w:ascii="Calibri" w:cs="Calibri" w:eastAsia="Calibri" w:hAnsi="Calibri"/>
          <w:color w:val="1E2A1D"/>
          <w:sz w:val="19"/>
          <w:szCs w:val="19"/>
        </w:rPr>
        <w:t xml:space="preserve">You need durable, recognised status with a financing pathway  →  </w:t>
      </w:r>
      <w:r>
        <w:rPr>
          <w:rFonts w:ascii="Calibri" w:cs="Calibri" w:eastAsia="Calibri" w:hAnsi="Calibri"/>
          <w:b/>
          <w:bCs/>
          <w:color w:val="2C5F2D"/>
          <w:sz w:val="19"/>
          <w:szCs w:val="19"/>
        </w:rPr>
        <w:t xml:space="preserve">Protected Area</w:t>
      </w:r>
    </w:p>
    <w:p>
      <w:pPr>
        <w:pBdr>
          <w:top w:val="single" w:color="E8F0E2" w:sz="6"/>
        </w:pBdr>
        <w:spacing w:before="220"/>
      </w:pPr>
      <w:r>
        <w:rPr>
          <w:rFonts w:ascii="Calibri" w:cs="Calibri" w:eastAsia="Calibri" w:hAnsi="Calibri"/>
          <w:color w:val="5A6B53"/>
          <w:sz w:val="15"/>
          <w:szCs w:val="15"/>
        </w:rPr>
        <w:t xml:space="preserve">Note: this is a summary of the statutes, not legal advice. The Protected Areas Act 2023 was passed in February 2024 and its implementing regulations were still being developed; confirm current procedure and transitional arrangements with CEPA before relying on it.</w:t>
      </w:r>
    </w:p>
    <w:sectPr>
      <w:pgSz w:w="11906" w:h="16838" w:orient="portrait"/>
      <w:pgMar w:top="700" w:right="760" w:bottom="60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A1D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2026-07-29T01:30:43.274Z</dcterms:created>
  <dcterms:modified xsi:type="dcterms:W3CDTF">2026-07-29T01:30:43.274Z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