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or an IUCN range map.</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conservation actions inside your hull extent. Name the sites, the elevation band, or the hot or cold cluster each action applies to.</w:t>
      </w:r>
    </w:p>
    <w:p>
      <w:pPr>
        <w:spacing w:before="0" w:after="60" w:line="252" w:lineRule="auto"/>
        <w:ind w:left="425" w:hanging="198"/>
      </w:pPr>
      <w:r>
        <w:rPr>
          <w:rFonts w:ascii="Calibri" w:hAnsi="Calibri" w:eastAsia="Calibri"/>
          <w:b w:val="0"/>
          <w:i w:val="0"/>
          <w:color w:val="222222"/>
          <w:sz w:val="22"/>
        </w:rPr>
        <w:t>•  The legal instrument that fits the threat: a Wildlife Management Area (Fauna (Protection and Control) Act 1966), a Conservation Area (Conservation Areas Act 1978), or a protected area (Protected Areas Act 2023). Name the Act. Say that land in PNG is held under customary tenure, so any action needs clan consent, but your file does not record clan names so you cannot name them.</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t>Two or three actions, each tied to named sites, an elevation band, or a cluster. Feasible.</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t>Generic actions, or actions that invent a place or a number.</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t>Instrument and monitoring (10)</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The instrument matches the threat and the Act is named. Says clan consent is needed because land in PNG is customary. Monitoring says what, where, and how to know it failed.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and monitoring sound. Tenure mentioned.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named but poorly matched, or monitoring vague.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No instrument or no monitoring.</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