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Semester 2, 2026, Dr. Jimmy Moses</w:t>
      </w:r>
    </w:p>
    <w:p>
      <w:pPr>
        <w:spacing w:before="0" w:after="160" w:line="259" w:lineRule="auto"/>
      </w:pPr>
      <w:r>
        <w:rPr>
          <w:rFonts w:ascii="Calibri" w:hAnsi="Calibri" w:eastAsia="Calibri"/>
          <w:b w:val="0"/>
          <w:i/>
          <w:color w:val="222222"/>
          <w:sz w:val="20"/>
        </w:rPr>
        <w:t>Revised issue: Week 9, Wednesday 16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t>Wednesday 16 September 2026 (Week 9)</w:t>
            </w:r>
            <w:r>
              <w:rPr>
                <w:rFonts w:ascii="Calibri" w:hAnsi="Calibri" w:eastAsia="Calibri"/>
                <w:b w:val="0"/>
                <w:i w:val="0"/>
                <w:color w:val="222222"/>
                <w:sz w:val="18"/>
              </w:rPr>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11:59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before="0" w:after="40"/>
      </w:pPr>
      <w:r>
        <w:rPr>
          <w:rFonts w:ascii="Calibri" w:hAnsi="Calibri" w:eastAsia="Calibri"/>
          <w:b w:val="0"/>
          <w:i w:val="0"/>
          <w:color w:val="1B4332"/>
          <w:sz w:val="20"/>
        </w:rPr>
        <w:t>Attributes in your species file: elevation_m (metres above sea level, from WorldClim 2.1); tree_cover_pct (canopy cover %, 0–100, from ESA WorldCover 2021); rainfall_mm (annual rainfall in mm/year, from WorldClim 2.1 BIO12); bio1 (annual mean temperature in °C, from WorldClim 2.1); bio15 (precipitation seasonality, coefficient of variation × 100, from WorldClim 2.1; higher values mean a stronger dry season); worldcover_label (ESA WorldCover 2021 land-cover class, e.g. Tree cover, Cropland); site (GBIF site code); stateProvince (PNG province); gbifID (GBIF record identifier); year (record year). The full field dictionary is in the GIS practical guide.</w:t>
      </w:r>
    </w:p>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or an IUCN range map.</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500 to 800 words, excluding the reference list, tables, and map captions. This is a short desk-based report written from your five maps and the GeoSpaX statistics. Keep it concise: report what the maps show, rank the threats, propose actions, and state the limitations. Statistical outputs from GeoSpaX go in the report body.</w:t>
      </w:r>
    </w:p>
    <w:p>
      <w:pPr>
        <w:spacing w:before="0" w:after="60" w:line="252" w:lineRule="auto"/>
        <w:ind w:left="425" w:hanging="198"/>
      </w:pPr>
      <w:r>
        <w:rPr>
          <w:rFonts w:ascii="Calibri" w:hAnsi="Calibri" w:eastAsia="Calibri"/>
          <w:b w:val="0"/>
          <w:i w:val="0"/>
          <w:color w:val="222222"/>
          <w:sz w:val="22"/>
        </w:rPr>
        <w:t>•  Threats: rank two or three threats from the literature (IUCN, BirdLife, published papers). Link each to a map if you can.</w:t>
      </w:r>
    </w:p>
    <w:p>
      <w:pPr>
        <w:spacing w:before="0" w:after="60" w:line="252" w:lineRule="auto"/>
        <w:ind w:left="425" w:hanging="198"/>
      </w:pPr>
      <w:r>
        <w:rPr>
          <w:rFonts w:ascii="Calibri" w:hAnsi="Calibri" w:eastAsia="Calibri"/>
          <w:b w:val="0"/>
          <w:i w:val="0"/>
          <w:color w:val="222222"/>
          <w:sz w:val="22"/>
        </w:rPr>
        <w:t>•  Actions: propose two or three actions based on what your maps show (for example, protect the hot-spot block, restore the cold-spot cluster, protect priority sites from Map 5). Name the area on the map.</w:t>
      </w:r>
    </w:p>
    <w:p>
      <w:pPr>
        <w:spacing w:before="0" w:after="60" w:line="252" w:lineRule="auto"/>
        <w:ind w:left="425" w:hanging="198"/>
      </w:pPr>
      <w:r>
        <w:rPr>
          <w:rFonts w:ascii="Calibri" w:hAnsi="Calibri" w:eastAsia="Calibri"/>
          <w:b w:val="0"/>
          <w:i w:val="0"/>
          <w:color w:val="222222"/>
          <w:sz w:val="22"/>
        </w:rPr>
        <w:t>•  Legal instrument: name the Act for each action (Fauna (Protection and Control) Act 1966, Conservation Areas Act 1978, or Protected Areas Act 2023). Note that land in PNG is under customary tenure, so clan consent would be needed in practice.</w:t>
      </w:r>
    </w:p>
    <w:p>
      <w:pPr>
        <w:spacing w:before="0" w:after="60" w:line="252" w:lineRule="auto"/>
        <w:ind w:left="425" w:hanging="198"/>
      </w:pPr>
      <w:r>
        <w:rPr>
          <w:rFonts w:ascii="Calibri" w:hAnsi="Calibri" w:eastAsia="Calibri"/>
          <w:b w:val="0"/>
          <w:i w:val="0"/>
          <w:color w:val="222222"/>
          <w:sz w:val="22"/>
        </w:rPr>
        <w:t>•  Monitoring: what you would re-run in GeoSpaX if new data came in, and what result would tell you the action is failing.</w:t>
      </w:r>
    </w:p>
    <w:p>
      <w:pPr>
        <w:spacing w:before="0" w:after="60" w:line="252" w:lineRule="auto"/>
        <w:ind w:left="425" w:hanging="198"/>
      </w:pPr>
      <w:r>
        <w:rPr>
          <w:rFonts w:ascii="Calibri" w:hAnsi="Calibri" w:eastAsia="Calibri"/>
          <w:b w:val="0"/>
          <w:i w:val="0"/>
          <w:color w:val="222222"/>
          <w:sz w:val="22"/>
        </w:rPr>
        <w:t>•  Limitations: GBIF teaching extract, not a census, no field data, desk-based plan. State these honestly.</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t>Two or three threats ranked, each linked to a map or cited source.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Ranked and mostly linked.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Listed, weak ranking or weak links.</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Generic, unranked, or unconnected to the maps.</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t>Two or three actions, each tied to something visible on the maps.</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specific and mostly tied to the maps.</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listed, weakly located.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Generic actions, or actions that invent a place or a number.</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t>Instrument and monitoring (10)</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Names the Act for each action. Monitoring says what to re-run in GeoSpaX and what failure looks like.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and monitoring sound.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named but poorly matched, or monitoring vague.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No instrument or no monitoring.</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t>GBIF extract, not a census, no field data, desk-based plan. Stated and used to bound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Main limits stated and used.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listed, little effect on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absent, or the plan ignores them.</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t>APA 7th consistent. Claims traceable. Concise writing.</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Referencing sound, minor slips.</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Some claims unsupported, or referencing uneven.</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Unsupported claims, or the writing is not the student's.</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