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Milestone 1 in Week 7, Milestone 2 in Week 9, and due in Week 12. Those outline dates are not the dates for this submission. Use the dates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the Part B report through Google Classroom and email the five map files directly to the lecturer.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This brief, the Milestone 1 form, the species list, and the Week 9 GIS guide</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1</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Monday 14 September 2026,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Ungraded and compulsory. Species approval. No approval, no final mark.</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2</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18 September 2026, 4:00 pm</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Week 9 GIS lab and draft-map check. Bring four draft maps. This is the only remaining computer lab.</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Report PDF via Google Classroom; five maps emailed to the lecturer</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There is no GIS lab in Week 8. Submit Milestone 1 this week (Monday 14 September, 4:00 pm). The Week 9 lab, Friday 18 September, starts with one shared training file so the class learns the same click-path. For the marked maps you pick a species from the FR422 assignment list, the lecturer checks it, and you receive that species file before the lab.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Approval is first come at Milestone 1. No two students take the same species. Look up the IUCN category on the Red List and cite the account, including the date you checked it. After the lecturer approves, you receive that species geojson. Do not start the four marked maps until you have your issued file.</w:t>
      </w:r>
    </w:p>
    <w:p>
      <w:pPr>
        <w:spacing w:before="0" w:after="160" w:line="259" w:lineRule="auto"/>
      </w:pPr>
      <w:r>
        <w:rPr>
          <w:rFonts w:ascii="Calibri" w:hAnsi="Calibri" w:eastAsia="Calibri"/>
          <w:b w:val="0"/>
          <w:i w:val="0"/>
          <w:color w:val="222222"/>
          <w:sz w:val="22"/>
        </w:rPr>
        <w:t>The four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four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Four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Milestone 1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emailed directly to the lecturer: map 1 (study area), map 2 (attribute), map 3 (spatial pattern), map 4 (habitat proxy), and the gap-analysis map. Named Surname_lab_map1_study_area and the same pattern for maps 2 to 4; the gap-analysis map is named Surname_lab_gap_analysis.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Milestone 1 form and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