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  Semester 2, 2026  ·  Dr Jimmy Moses</w:t>
      </w:r>
    </w:p>
    <w:p>
      <w:pPr>
        <w:spacing w:before="0" w:after="160" w:line="259" w:lineRule="auto"/>
      </w:pPr>
      <w:r>
        <w:rPr>
          <w:rFonts w:ascii="Calibri" w:hAnsi="Calibri" w:eastAsia="Calibri"/>
          <w:b w:val="0"/>
          <w:i/>
          <w:color w:val="222222"/>
          <w:sz w:val="20"/>
        </w:rPr>
        <w:t>Revised issue: Week 8, Wednesday 9 September 2026. This brief replaces the unpublished Week 6 brief for this offering only. The approved lesson plan still lists the assignment as set in Week 6, Milestone 1 in Week 7, Milestone 2 in Week 9, and due in Week 12. Those outline dates are not the dates for this submission. Use the dates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the Part B report through Google Classroom and email the five map files directly to the lecturer.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a clan or landowner name,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Wednesday 9 September 2026 (Week 8)</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This brief, the Milestone 1 form, the species list, and the Week 9 GIS guide</w:t>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Milestone 1</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Monday 14 September 2026, 4:00 pm</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Ungraded and compulsory. Species approval. No approval, no final mark.</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Milestone 2</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Friday 18 September 2026, 4:00 pm</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Week 9 GIS lab and draft-map check. Bring four draft maps. This is the only remaining computer lab.</w:t>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Friday 25 September 2026 (Week 10), 4:00 pm</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Report PDF via Google Classroom; five maps emailed to the lecturer</w:t>
            </w:r>
          </w:p>
        </w:tc>
      </w:tr>
    </w:tbl>
    <w:p>
      <w:pPr>
        <w:spacing w:after="80"/>
      </w:pPr>
    </w:p>
    <w:p>
      <w:pPr>
        <w:spacing w:before="0" w:after="160" w:line="259" w:lineRule="auto"/>
      </w:pPr>
      <w:r>
        <w:rPr>
          <w:rFonts w:ascii="Calibri" w:hAnsi="Calibri" w:eastAsia="Calibri"/>
          <w:b w:val="0"/>
          <w:i/>
          <w:color w:val="222222"/>
          <w:sz w:val="20"/>
        </w:rPr>
        <w:t>Quiz 2 is also in Week 9 and Test 2 is also in Week 10. Those dates are unchanged. This due date does not move them.</w:t>
      </w: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There is no GIS lab in Week 8. Submit Milestone 1 this week (Monday 14 September, 4:00 pm). The Week 9 lab, Friday 18 September, starts with one shared training file so the class learns the same click-path. For the marked maps you pick a species from the FR422 assignment list, the lecturer checks it, and you receive that species file before the lab.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Approval is first come at Milestone 1. No two students take the same species. Look up the IUCN category on the Red List and cite the account, including the date you checked it. After the lecturer approves, you receive that species geojson. Do not start the four marked maps until you have your issued file.</w:t>
      </w:r>
    </w:p>
    <w:p>
      <w:pPr>
        <w:spacing w:before="0" w:after="160" w:line="259" w:lineRule="auto"/>
      </w:pPr>
      <w:r>
        <w:rPr>
          <w:rFonts w:ascii="Calibri" w:hAnsi="Calibri" w:eastAsia="Calibri"/>
          <w:b w:val="0"/>
          <w:i w:val="0"/>
          <w:color w:val="222222"/>
          <w:sz w:val="22"/>
        </w:rPr>
        <w:t>The four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four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Four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an IUCN range map, or a clan or concession name.</w:t>
      </w:r>
    </w:p>
    <w:p>
      <w:pPr>
        <w:spacing w:before="0" w:after="160" w:line="259" w:lineRule="auto"/>
      </w:pPr>
      <w:r>
        <w:rPr>
          <w:rFonts w:ascii="Calibri" w:hAnsi="Calibri" w:eastAsia="Calibri"/>
          <w:b w:val="0"/>
          <w:i w:val="0"/>
          <w:color w:val="222222"/>
          <w:sz w:val="22"/>
        </w:rPr>
        <w:t>The gap-analysis map uses the shared WDPA protected-area layer (PNG_protected_areas.gpkg in FR422_SHARED_DATA_2026.zip). Name the dataset, provider, date, and CRS in the provenance table.</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2,000 to 2,500 words, excluding the reference list, tables, and map captions. The methods and the reading of the maps sit inside that count. Statistical outputs printed by GeoSpaX in the Analysis Results panel (descriptive statistics, Gi* or LISA class counts, the habitat-score summary, and the protection-gap figures) are placed in the report body; they are not submitted as separate files.</w:t>
      </w:r>
    </w:p>
    <w:p>
      <w:pPr>
        <w:spacing w:before="0" w:after="60" w:line="252" w:lineRule="auto"/>
        <w:ind w:left="425" w:hanging="198"/>
      </w:pPr>
      <w:r>
        <w:rPr>
          <w:rFonts w:ascii="Calibri" w:hAnsi="Calibri" w:eastAsia="Calibri"/>
          <w:b w:val="0"/>
          <w:i w:val="0"/>
          <w:color w:val="222222"/>
          <w:sz w:val="22"/>
        </w:rPr>
        <w:t>•  Threats for the approved species, ranked. Each threat is linked either to a map you made or to a cited source. If the link is from literature rather than from the lab points, say so.</w:t>
      </w:r>
    </w:p>
    <w:p>
      <w:pPr>
        <w:spacing w:before="0" w:after="60" w:line="252" w:lineRule="auto"/>
        <w:ind w:left="425" w:hanging="198"/>
      </w:pPr>
      <w:r>
        <w:rPr>
          <w:rFonts w:ascii="Calibri" w:hAnsi="Calibri" w:eastAsia="Calibri"/>
          <w:b w:val="0"/>
          <w:i w:val="0"/>
          <w:color w:val="222222"/>
          <w:sz w:val="22"/>
        </w:rPr>
        <w:t>•  Two or three spatially explicit actions inside your issued-file hull extent. Name the sites, the elevation band, or the hot or cold cluster the action applies to. Do not name a clan, a concession, or a hectare target you did not calculate.</w:t>
      </w:r>
    </w:p>
    <w:p>
      <w:pPr>
        <w:spacing w:before="0" w:after="60" w:line="252" w:lineRule="auto"/>
        <w:ind w:left="425" w:hanging="198"/>
      </w:pPr>
      <w:r>
        <w:rPr>
          <w:rFonts w:ascii="Calibri" w:hAnsi="Calibri" w:eastAsia="Calibri"/>
          <w:b w:val="0"/>
          <w:i w:val="0"/>
          <w:color w:val="222222"/>
          <w:sz w:val="22"/>
        </w:rPr>
        <w:t>•  The legal instrument that fits the threat, and why. Customary tenure as a planning constraint. Do not invent a landowner. If the issued file does not record tenure, say the plan cannot assign an owner.</w:t>
      </w:r>
    </w:p>
    <w:p>
      <w:pPr>
        <w:spacing w:before="0" w:after="60" w:line="252" w:lineRule="auto"/>
        <w:ind w:left="425" w:hanging="198"/>
      </w:pPr>
      <w:r>
        <w:rPr>
          <w:rFonts w:ascii="Calibri" w:hAnsi="Calibri" w:eastAsia="Calibri"/>
          <w:b w:val="0"/>
          <w:i w:val="0"/>
          <w:color w:val="222222"/>
          <w:sz w:val="22"/>
        </w:rPr>
        <w:t>•  Monitoring: what you would remeasure, where, and how you would know the action had failed. Presence of your Milestone 1 species is a monitoring target only if you say it is not in the lab file.</w:t>
      </w:r>
    </w:p>
    <w:p>
      <w:pPr>
        <w:spacing w:before="0" w:after="60" w:line="252" w:lineRule="auto"/>
        <w:ind w:left="425" w:hanging="198"/>
      </w:pPr>
      <w:r>
        <w:rPr>
          <w:rFonts w:ascii="Calibri" w:hAnsi="Calibri" w:eastAsia="Calibri"/>
          <w:b w:val="0"/>
          <w:i w:val="0"/>
          <w:color w:val="222222"/>
          <w:sz w:val="22"/>
        </w:rPr>
        <w:t>•  Limitations: GBIF teaching extract, not a census, stacked coordinates, no forest-change layer, no protected-area layer, n=128 (56 unique sites), and no area calculated in EPSG:4326.</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The Part B report PDF, with the filled provenance table inside it or as a one-page attachment, submitted through Google Classroom.</w:t>
      </w:r>
    </w:p>
    <w:p>
      <w:pPr>
        <w:spacing w:before="0" w:after="60" w:line="252" w:lineRule="auto"/>
        <w:ind w:left="425" w:hanging="198"/>
      </w:pPr>
      <w:r>
        <w:rPr>
          <w:rFonts w:ascii="Calibri" w:hAnsi="Calibri" w:eastAsia="Calibri"/>
          <w:b w:val="0"/>
          <w:i w:val="0"/>
          <w:color w:val="222222"/>
          <w:sz w:val="22"/>
        </w:rPr>
        <w:t>•  Five maps, PNG or PDF, emailed directly to the lecturer: map 1 (study area), map 2 (attribute), map 3 (spatial pattern), map 4 (habitat proxy), and the gap-analysis map. Named Surname_lab_map1_study_area and the same pattern for maps 2 to 4; the gap-analysis map is named Surname_lab_gap_analysis.</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four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four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with a reason. Each threat points at a map or a cited source, and the student says which.</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and mostly linked.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Listed, weak ranking or weak links.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unranked, or unconnected to the analysis.</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Two or three actions, each tied to named sites, an elevation band, or a cluster. Feasible. No invented owners or hectare targets.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specific and mostly tied to the maps.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listed, weakly located.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actions, or actions that invent a place or a number.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tenure, monitoring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instrument matches the threat and the Act is named. Tenure is treated as unknown where the file is silent. Monitoring says what, where, and failure.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and monitoring sound. Tenure handled with a small gap.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named but poorly matched, or monitoring vague.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No instrument, invented tenure, or no monitoring.</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extract, not a census, missing layers, stacked coordinates, and sample size are used to bound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Main limits stated and used.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listed, little effect on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absent, or the plan ignores them.</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APA 7th consistent. Claims traceable. Similarity consistent with original writing.</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Referencing sound, minor slips.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Some claims unsupported, or referencing uneven.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Unsupported claims, or the writing is not the student's.</w:t>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WDPA layer (gap-analysis map)</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w:t>
            </w:r>
          </w:p>
        </w:tc>
      </w:tr>
    </w:tbl>
    <w:p>
      <w:pPr>
        <w:spacing w:after="80"/>
      </w:pPr>
    </w:p>
    <w:p>
      <w:pPr>
        <w:spacing w:before="0" w:after="160" w:line="259" w:lineRule="auto"/>
      </w:pPr>
      <w:r>
        <w:rPr>
          <w:rFonts w:ascii="Calibri" w:hAnsi="Calibri" w:eastAsia="Calibri"/>
          <w:b w:val="0"/>
          <w:i/>
          <w:color w:val="222222"/>
          <w:sz w:val="20"/>
        </w:rPr>
        <w:t>Pair this brief with the Milestone 1 form and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