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D2716">
      <w:pPr>
        <w:jc w:val="center"/>
        <w:rPr>
          <w:rFonts w:ascii="宋体" w:hAnsi="宋体"/>
          <w:sz w:val="24"/>
        </w:rPr>
      </w:pPr>
      <w:bookmarkStart w:id="132" w:name="_GoBack"/>
      <w:bookmarkEnd w:id="132"/>
    </w:p>
    <w:p w14:paraId="7299AEC3">
      <w:pPr>
        <w:pStyle w:val="40"/>
        <w:spacing w:before="0" w:after="0" w:line="240" w:lineRule="auto"/>
        <w:ind w:left="0" w:right="0" w:firstLine="0"/>
        <w:jc w:val="center"/>
      </w:pPr>
      <w:bookmarkStart w:id="0" w:name="中文标题_2"/>
      <w:r>
        <w:rPr>
          <w:rStyle w:val="25"/>
          <w:rFonts w:ascii="Times New Roman" w:hAnsi="Times New Roman" w:eastAsia="宋体" w:cs="Times New Roman"/>
          <w:b/>
          <w:bCs w:val="0"/>
          <w:i w:val="0"/>
          <w:caps w:val="0"/>
          <w:smallCaps w:val="0"/>
          <w:strike w:val="0"/>
          <w:dstrike w:val="0"/>
          <w:outline w:val="0"/>
          <w:shadow w:val="0"/>
          <w:emboss w:val="0"/>
          <w:imprint w:val="0"/>
          <w:vanish w:val="0"/>
          <w:color w:val="auto"/>
          <w:spacing w:val="0"/>
          <w:w w:val="100"/>
          <w:kern w:val="2"/>
          <w:position w:val="0"/>
          <w:sz w:val="44"/>
          <w:szCs w:val="36"/>
          <w:highlight w:val="none"/>
          <w:u w:val="none" w:color="auto"/>
          <w:vertAlign w:val="baseline"/>
          <w:rtl w:val="0"/>
          <w:cs w:val="0"/>
        </w:rPr>
        <w:t>智能体致害的侵权归责：从产品缺陷到安全保障义务</w:t>
      </w:r>
      <w:bookmarkEnd w:id="0"/>
    </w:p>
    <w:p w14:paraId="51721606">
      <w:pPr>
        <w:pStyle w:val="82"/>
      </w:pPr>
    </w:p>
    <w:p w14:paraId="19CA6442">
      <w:pPr>
        <w:pStyle w:val="41"/>
        <w:sectPr>
          <w:headerReference r:id="rId6" w:type="first"/>
          <w:footerReference r:id="rId9" w:type="first"/>
          <w:headerReference r:id="rId4" w:type="default"/>
          <w:footerReference r:id="rId7" w:type="default"/>
          <w:headerReference r:id="rId5" w:type="even"/>
          <w:footerReference r:id="rId8" w:type="even"/>
          <w:footnotePr>
            <w:numFmt w:val="decimalEnclosedCircleChinese"/>
          </w:footnotePr>
          <w:endnotePr>
            <w:numFmt w:val="decimal"/>
          </w:endnotePr>
          <w:type w:val="continuous"/>
          <w:pgSz w:w="11906" w:h="16838"/>
          <w:pgMar w:top="1701" w:right="1134" w:bottom="1134" w:left="1134" w:header="992" w:footer="992" w:gutter="0"/>
          <w:cols w:space="720" w:num="1"/>
          <w:titlePg/>
          <w:docGrid w:type="lines" w:linePitch="312" w:charSpace="0"/>
        </w:sectPr>
      </w:pPr>
      <w:bookmarkStart w:id="1" w:name="[（中）作者姓名]_1"/>
      <w:r>
        <w:rPr>
          <w:rStyle w:val="29"/>
          <w:rFonts w:hint="eastAsia"/>
          <w:vertAlign w:val="superscript"/>
        </w:rPr>
        <w:footnoteReference w:id="0" w:customMarkFollows="1"/>
        <w:t>*</w:t>
      </w:r>
      <w:bookmarkEnd w:id="1"/>
    </w:p>
    <w:p w14:paraId="072C1DDE">
      <w:pPr>
        <w:jc w:val="center"/>
      </w:pPr>
    </w:p>
    <w:p w14:paraId="643D5C07">
      <w:pPr>
        <w:jc w:val="center"/>
        <w:rPr>
          <w:rFonts w:eastAsia="黑体"/>
          <w:szCs w:val="21"/>
        </w:rPr>
      </w:pPr>
    </w:p>
    <w:p w14:paraId="0BAA628A">
      <w:pPr>
        <w:pStyle w:val="99"/>
        <w:spacing w:before="0" w:after="0" w:line="264" w:lineRule="auto"/>
        <w:ind w:left="200" w:right="200" w:firstLine="440" w:firstLineChars="200"/>
        <w:jc w:val="both"/>
      </w:pPr>
      <w:r>
        <w:rPr>
          <w:rStyle w:val="43"/>
          <w:rFonts w:hint="eastAsia"/>
        </w:rPr>
        <w:t xml:space="preserve">内容提要 </w:t>
      </w:r>
      <w:r>
        <w:rPr>
          <w:rStyle w:val="43"/>
        </w:rPr>
        <w:t xml:space="preserve"> </w:t>
      </w:r>
      <w:bookmarkStart w:id="2" w:name="中文摘要_4"/>
      <w:r>
        <w:rPr>
          <w:rStyle w:val="25"/>
          <w:rFonts w:ascii="Times New Roman" w:hAnsi="Times New Roman" w:eastAsia="楷体_GB2312" w:cs="Times New Roman"/>
          <w:b w:val="0"/>
          <w:bCs w:val="0"/>
          <w:i w:val="0"/>
          <w:caps w:val="0"/>
          <w:smallCaps w:val="0"/>
          <w:strike w:val="0"/>
          <w:dstrike w:val="0"/>
          <w:outline w:val="0"/>
          <w:shadow w:val="0"/>
          <w:emboss w:val="0"/>
          <w:imprint w:val="0"/>
          <w:vanish w:val="0"/>
          <w:color w:val="auto"/>
          <w:spacing w:val="0"/>
          <w:w w:val="100"/>
          <w:kern w:val="0"/>
          <w:position w:val="0"/>
          <w:sz w:val="22"/>
          <w:szCs w:val="20"/>
          <w:highlight w:val="none"/>
          <w:u w:val="none" w:color="auto"/>
          <w:vertAlign w:val="baseline"/>
          <w:rtl w:val="0"/>
          <w:cs w:val="0"/>
        </w:rPr>
        <w:t>大语言模型驱动下的自主智能体通过”目标-手段”分离的技术架构重构了人机协作模式，用户仅需设定行为目标，实现目标的具体操作路径由模型基于概率推理自主填充，由此生成的越权操作、目标异化、行为不可预见等风险样态，已超出传统产品责任框架的调整射程。既有学说围绕智能体致害提出的产品责任说、代理归责说、高度危险责任说等方案，均未触及概率性推理导致事前缺陷识别基础瓦解的核心矛盾，存在归责前提错置、义务配置与控制能力脱节、事前监管与事后问责割裂等教义学缺陷。智能体行为风险本质上属于虚拟交往空间中的交往安全风险，与《民法典》第1198条规定的安全保障义务在”风险开启—最低成本防免”的规范逻辑上具有同构性，可通过类推适用确立分层义务配置框架：通用模型开发者在其控制的模型训练与对齐环节承担基础安全保障义务，应用部署者在其控制的产品配置与运行环节承担场景化安全保障义务，归责层面采用双向可反驳的过错推定规则，将事前合规作为过错判断的重要参照，在为技术创新预留必要空间的同时实现对受害人的妥适救济。</w:t>
      </w:r>
      <w:bookmarkEnd w:id="2"/>
    </w:p>
    <w:p w14:paraId="09992420">
      <w:pPr>
        <w:pStyle w:val="99"/>
        <w:ind w:left="420" w:right="420" w:firstLine="440"/>
        <w:rPr>
          <w:rFonts w:eastAsia="楷体"/>
        </w:rPr>
      </w:pPr>
      <w:r>
        <w:rPr>
          <w:rStyle w:val="44"/>
        </w:rPr>
        <w:t>关键词</w:t>
      </w:r>
      <w:r>
        <w:rPr>
          <w:rStyle w:val="44"/>
          <w:rFonts w:hint="eastAsia"/>
        </w:rPr>
        <w:t xml:space="preserve"> </w:t>
      </w:r>
      <w:r>
        <w:rPr>
          <w:rStyle w:val="44"/>
        </w:rPr>
        <w:t xml:space="preserve"> </w:t>
      </w:r>
      <w:bookmarkStart w:id="3" w:name="中文关键词_2"/>
      <w:r>
        <w:rPr>
          <w:rStyle w:val="45"/>
          <w:rFonts w:ascii="Times New Roman" w:hAnsi="Times New Roman" w:eastAsia="楷体_GB2312" w:cs="Times New Roman"/>
          <w:b w:val="0"/>
          <w:bCs w:val="0"/>
          <w:i w:val="0"/>
          <w:caps w:val="0"/>
          <w:smallCaps w:val="0"/>
          <w:strike w:val="0"/>
          <w:dstrike w:val="0"/>
          <w:outline w:val="0"/>
          <w:shadow w:val="0"/>
          <w:emboss w:val="0"/>
          <w:imprint w:val="0"/>
          <w:vanish w:val="0"/>
          <w:color w:val="auto"/>
          <w:spacing w:val="0"/>
          <w:w w:val="100"/>
          <w:kern w:val="0"/>
          <w:position w:val="0"/>
          <w:sz w:val="22"/>
          <w:szCs w:val="20"/>
          <w:highlight w:val="none"/>
          <w:u w:val="none" w:color="auto"/>
          <w:vertAlign w:val="baseline"/>
          <w:rtl w:val="0"/>
          <w:cs w:val="0"/>
        </w:rPr>
        <w:t>自主智能体；行为安全；产品责任；安全保障义务；算法规制；过错推定</w:t>
      </w:r>
      <w:bookmarkEnd w:id="3"/>
    </w:p>
    <w:p w14:paraId="72966770">
      <w:pPr>
        <w:jc w:val="center"/>
        <w:rPr>
          <w:rFonts w:eastAsia="黑体"/>
          <w:szCs w:val="21"/>
        </w:rPr>
      </w:pPr>
    </w:p>
    <w:p w14:paraId="29D48258">
      <w:pPr>
        <w:jc w:val="center"/>
        <w:rPr>
          <w:rFonts w:eastAsia="黑体"/>
          <w:szCs w:val="21"/>
        </w:rPr>
      </w:pPr>
    </w:p>
    <w:p w14:paraId="0B1B9817">
      <w:pPr>
        <w:pStyle w:val="52"/>
        <w:ind w:firstLine="440"/>
        <w:sectPr>
          <w:footnotePr>
            <w:numFmt w:val="decimalEnclosedCircleChinese"/>
            <w:numRestart w:val="eachPage"/>
          </w:footnotePr>
          <w:endnotePr>
            <w:numFmt w:val="decimal"/>
          </w:endnotePr>
          <w:type w:val="continuous"/>
          <w:pgSz w:w="11906" w:h="16838"/>
          <w:pgMar w:top="1701" w:right="1134" w:bottom="1134" w:left="1134" w:header="992" w:footer="992" w:gutter="0"/>
          <w:cols w:space="720" w:num="1"/>
          <w:titlePg/>
          <w:docGrid w:type="lines" w:linePitch="312" w:charSpace="0"/>
        </w:sectPr>
      </w:pPr>
    </w:p>
    <w:p w14:paraId="0CC938CE">
      <w:pPr>
        <w:jc w:val="center"/>
      </w:pPr>
    </w:p>
    <w:tbl>
      <w:tblPr>
        <w:tblStyle w:val="23"/>
        <w:tblW w:w="953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538"/>
      </w:tblGrid>
      <w:tr w14:paraId="74DBA5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jc w:val="center"/>
          <w:hidden/>
        </w:trPr>
        <w:tc>
          <w:tcPr>
            <w:tcW w:w="9628" w:type="dxa"/>
            <w:noWrap w:val="0"/>
            <w:vAlign w:val="top"/>
          </w:tcPr>
          <w:p w14:paraId="001F26D5">
            <w:pPr>
              <w:pStyle w:val="69"/>
              <w:widowControl w:val="0"/>
              <w:spacing w:before="0" w:after="0" w:line="240" w:lineRule="auto"/>
              <w:ind w:left="0" w:right="0" w:firstLine="0"/>
              <w:jc w:val="both"/>
              <w:rPr>
                <w:rFonts w:eastAsia="黑体"/>
                <w:sz w:val="22"/>
                <w:szCs w:val="22"/>
              </w:rPr>
            </w:pPr>
            <w:r>
              <w:rPr>
                <w:rFonts w:ascii="Times New Roman" w:hAnsi="Times New Roman" w:eastAsia="楷体_GB2312" w:cs="Times New Roman"/>
                <w:i w:val="0"/>
                <w:caps w:val="0"/>
                <w:vanish w:val="0"/>
                <w:sz w:val="21"/>
                <w:vertAlign w:val="baseline"/>
              </w:rPr>
              <w:t>目  录</w:t>
            </w:r>
          </w:p>
        </w:tc>
      </w:tr>
      <w:tr w14:paraId="4C943F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9628" w:type="dxa"/>
            <w:noWrap w:val="0"/>
            <w:vAlign w:val="top"/>
          </w:tcPr>
          <w:p w14:paraId="19EACEF6">
            <w:pPr>
              <w:pStyle w:val="14"/>
              <w:tabs>
                <w:tab w:val="right" w:leader="dot" w:pos="9628"/>
              </w:tabs>
              <w:rPr>
                <w:rFonts w:ascii="Calibri" w:hAnsi="Calibri"/>
                <w:sz w:val="22"/>
              </w:rPr>
            </w:pPr>
            <w:r>
              <w:fldChar w:fldCharType="begin"/>
            </w:r>
            <w:r>
              <w:rPr>
                <w:rFonts w:ascii="Times New Roman" w:hAnsi="Times New Roman" w:eastAsia="楷体_GB2312" w:cs="Times New Roman"/>
                <w:i w:val="0"/>
                <w:caps w:val="0"/>
                <w:vanish w:val="0"/>
                <w:sz w:val="21"/>
                <w:vertAlign w:val="baseline"/>
              </w:rPr>
              <w:instrText xml:space="preserve"> TOC \f \p " " \h \z \t "一级标题样式,1" </w:instrText>
            </w:r>
            <w:r>
              <w:fldChar w:fldCharType="separate"/>
            </w:r>
            <w:r>
              <w:fldChar w:fldCharType="begin"/>
            </w:r>
            <w:r>
              <w:instrText xml:space="preserve"> HYPERLINK \l "_Toc256000000" </w:instrText>
            </w:r>
            <w:r>
              <w:fldChar w:fldCharType="separate"/>
            </w:r>
            <w:r>
              <w:rPr>
                <w:rStyle w:val="27"/>
              </w:rPr>
              <w:t>引言</w:t>
            </w:r>
            <w:r>
              <w:t xml:space="preserve"> </w:t>
            </w:r>
            <w:r>
              <w:fldChar w:fldCharType="begin"/>
            </w:r>
            <w:r>
              <w:instrText xml:space="preserve"> PAGEREF _Toc256000000 \h </w:instrText>
            </w:r>
            <w:r>
              <w:fldChar w:fldCharType="separate"/>
            </w:r>
            <w:r>
              <w:t>3</w:t>
            </w:r>
            <w:r>
              <w:fldChar w:fldCharType="end"/>
            </w:r>
            <w:r>
              <w:fldChar w:fldCharType="end"/>
            </w:r>
          </w:p>
          <w:p w14:paraId="199A1E5D">
            <w:pPr>
              <w:pStyle w:val="14"/>
              <w:tabs>
                <w:tab w:val="right" w:leader="dot" w:pos="9628"/>
              </w:tabs>
              <w:rPr>
                <w:rFonts w:ascii="Calibri" w:hAnsi="Calibri"/>
                <w:sz w:val="22"/>
              </w:rPr>
            </w:pPr>
            <w:r>
              <w:fldChar w:fldCharType="begin"/>
            </w:r>
            <w:r>
              <w:instrText xml:space="preserve"> HYPERLINK \l "_Toc256000001" </w:instrText>
            </w:r>
            <w:r>
              <w:fldChar w:fldCharType="separate"/>
            </w:r>
            <w:r>
              <w:rPr>
                <w:rStyle w:val="27"/>
                <w:kern w:val="0"/>
              </w:rPr>
              <w:t>一、</w:t>
            </w:r>
            <w:r>
              <w:rPr>
                <w:rStyle w:val="27"/>
              </w:rPr>
              <w:t>行为安全风险的规范独立品格：与产品缺陷的界分</w:t>
            </w:r>
            <w:r>
              <w:t xml:space="preserve"> </w:t>
            </w:r>
            <w:r>
              <w:fldChar w:fldCharType="begin"/>
            </w:r>
            <w:r>
              <w:instrText xml:space="preserve"> PAGEREF _Toc256000001 \h </w:instrText>
            </w:r>
            <w:r>
              <w:fldChar w:fldCharType="separate"/>
            </w:r>
            <w:r>
              <w:t>3</w:t>
            </w:r>
            <w:r>
              <w:fldChar w:fldCharType="end"/>
            </w:r>
            <w:r>
              <w:fldChar w:fldCharType="end"/>
            </w:r>
          </w:p>
          <w:p w14:paraId="0387DDEB">
            <w:pPr>
              <w:pStyle w:val="14"/>
              <w:tabs>
                <w:tab w:val="right" w:leader="dot" w:pos="9628"/>
              </w:tabs>
              <w:rPr>
                <w:rFonts w:ascii="Calibri" w:hAnsi="Calibri"/>
                <w:sz w:val="22"/>
              </w:rPr>
            </w:pPr>
            <w:r>
              <w:fldChar w:fldCharType="begin"/>
            </w:r>
            <w:r>
              <w:instrText xml:space="preserve"> HYPERLINK \l "_Toc256000002" </w:instrText>
            </w:r>
            <w:r>
              <w:fldChar w:fldCharType="separate"/>
            </w:r>
            <w:r>
              <w:rPr>
                <w:rStyle w:val="27"/>
                <w:kern w:val="0"/>
              </w:rPr>
              <w:t>二、</w:t>
            </w:r>
            <w:r>
              <w:rPr>
                <w:rStyle w:val="27"/>
              </w:rPr>
              <w:t>规制路径的教义学锚点：安全保障义务的类推射程与边界</w:t>
            </w:r>
            <w:r>
              <w:t xml:space="preserve"> </w:t>
            </w:r>
            <w:r>
              <w:fldChar w:fldCharType="begin"/>
            </w:r>
            <w:r>
              <w:instrText xml:space="preserve"> PAGEREF _Toc256000002 \h </w:instrText>
            </w:r>
            <w:r>
              <w:fldChar w:fldCharType="separate"/>
            </w:r>
            <w:r>
              <w:t>7</w:t>
            </w:r>
            <w:r>
              <w:fldChar w:fldCharType="end"/>
            </w:r>
            <w:r>
              <w:fldChar w:fldCharType="end"/>
            </w:r>
          </w:p>
          <w:p w14:paraId="18EEB340">
            <w:pPr>
              <w:pStyle w:val="14"/>
              <w:tabs>
                <w:tab w:val="right" w:leader="dot" w:pos="9628"/>
              </w:tabs>
              <w:rPr>
                <w:rFonts w:ascii="Calibri" w:hAnsi="Calibri"/>
                <w:sz w:val="22"/>
              </w:rPr>
            </w:pPr>
            <w:r>
              <w:fldChar w:fldCharType="begin"/>
            </w:r>
            <w:r>
              <w:instrText xml:space="preserve"> HYPERLINK \l "_Toc256000003" </w:instrText>
            </w:r>
            <w:r>
              <w:fldChar w:fldCharType="separate"/>
            </w:r>
            <w:r>
              <w:rPr>
                <w:rStyle w:val="27"/>
                <w:kern w:val="0"/>
              </w:rPr>
              <w:t>三、</w:t>
            </w:r>
            <w:r>
              <w:rPr>
                <w:rStyle w:val="27"/>
              </w:rPr>
              <w:t>既有规制方案的教义学偏差与适用局限</w:t>
            </w:r>
            <w:r>
              <w:t xml:space="preserve"> </w:t>
            </w:r>
            <w:r>
              <w:fldChar w:fldCharType="begin"/>
            </w:r>
            <w:r>
              <w:instrText xml:space="preserve"> PAGEREF _Toc256000003 \h </w:instrText>
            </w:r>
            <w:r>
              <w:fldChar w:fldCharType="separate"/>
            </w:r>
            <w:r>
              <w:t>9</w:t>
            </w:r>
            <w:r>
              <w:fldChar w:fldCharType="end"/>
            </w:r>
            <w:r>
              <w:fldChar w:fldCharType="end"/>
            </w:r>
          </w:p>
          <w:p w14:paraId="19407D62">
            <w:pPr>
              <w:pStyle w:val="14"/>
              <w:tabs>
                <w:tab w:val="right" w:leader="dot" w:pos="9628"/>
              </w:tabs>
              <w:rPr>
                <w:rFonts w:ascii="Calibri" w:hAnsi="Calibri"/>
                <w:sz w:val="22"/>
              </w:rPr>
            </w:pPr>
            <w:r>
              <w:fldChar w:fldCharType="begin"/>
            </w:r>
            <w:r>
              <w:instrText xml:space="preserve"> HYPERLINK \l "_Toc256000004" </w:instrText>
            </w:r>
            <w:r>
              <w:fldChar w:fldCharType="separate"/>
            </w:r>
            <w:r>
              <w:rPr>
                <w:rStyle w:val="27"/>
                <w:kern w:val="0"/>
              </w:rPr>
              <w:t>四、</w:t>
            </w:r>
            <w:r>
              <w:rPr>
                <w:rStyle w:val="27"/>
              </w:rPr>
              <w:t>分层义务配置的具体构造：从类推到教义学展开</w:t>
            </w:r>
            <w:r>
              <w:t xml:space="preserve"> </w:t>
            </w:r>
            <w:r>
              <w:fldChar w:fldCharType="begin"/>
            </w:r>
            <w:r>
              <w:instrText xml:space="preserve"> PAGEREF _Toc256000004 \h </w:instrText>
            </w:r>
            <w:r>
              <w:fldChar w:fldCharType="separate"/>
            </w:r>
            <w:r>
              <w:t>11</w:t>
            </w:r>
            <w:r>
              <w:fldChar w:fldCharType="end"/>
            </w:r>
            <w:r>
              <w:fldChar w:fldCharType="end"/>
            </w:r>
          </w:p>
          <w:p w14:paraId="0D5045C9">
            <w:pPr>
              <w:pStyle w:val="14"/>
              <w:tabs>
                <w:tab w:val="right" w:leader="dot" w:pos="9628"/>
              </w:tabs>
              <w:rPr>
                <w:rFonts w:ascii="Calibri" w:hAnsi="Calibri"/>
                <w:sz w:val="22"/>
              </w:rPr>
            </w:pPr>
            <w:r>
              <w:fldChar w:fldCharType="begin"/>
            </w:r>
            <w:r>
              <w:instrText xml:space="preserve"> HYPERLINK \l "_Toc256000005" </w:instrText>
            </w:r>
            <w:r>
              <w:fldChar w:fldCharType="separate"/>
            </w:r>
            <w:r>
              <w:rPr>
                <w:rStyle w:val="27"/>
              </w:rPr>
              <w:t>结论</w:t>
            </w:r>
            <w:r>
              <w:t xml:space="preserve"> </w:t>
            </w:r>
            <w:r>
              <w:fldChar w:fldCharType="begin"/>
            </w:r>
            <w:r>
              <w:instrText xml:space="preserve"> PAGEREF _Toc256000005 \h </w:instrText>
            </w:r>
            <w:r>
              <w:fldChar w:fldCharType="separate"/>
            </w:r>
            <w:r>
              <w:t>14</w:t>
            </w:r>
            <w:r>
              <w:fldChar w:fldCharType="end"/>
            </w:r>
            <w:r>
              <w:fldChar w:fldCharType="end"/>
            </w:r>
          </w:p>
          <w:p w14:paraId="68E847EE">
            <w:pPr>
              <w:pStyle w:val="69"/>
              <w:widowControl w:val="0"/>
              <w:spacing w:before="0" w:after="0" w:line="240" w:lineRule="auto"/>
              <w:ind w:left="0" w:right="0" w:firstLine="0"/>
              <w:jc w:val="both"/>
            </w:pPr>
            <w:r>
              <w:fldChar w:fldCharType="end"/>
            </w:r>
          </w:p>
        </w:tc>
      </w:tr>
    </w:tbl>
    <w:p w14:paraId="5D65F1B4">
      <w:pPr>
        <w:jc w:val="center"/>
      </w:pPr>
    </w:p>
    <w:p w14:paraId="5089EFDA">
      <w:pPr>
        <w:jc w:val="center"/>
      </w:pPr>
    </w:p>
    <w:p w14:paraId="3948473F">
      <w:pPr>
        <w:widowControl/>
        <w:jc w:val="left"/>
      </w:pPr>
      <w:r>
        <w:br w:type="page"/>
      </w:r>
    </w:p>
    <w:p w14:paraId="1DCD5650"/>
    <w:p w14:paraId="57889BC0">
      <w:pPr>
        <w:pStyle w:val="53"/>
        <w:keepNext/>
        <w:spacing w:before="100" w:after="100" w:line="240" w:lineRule="auto"/>
        <w:ind w:left="0" w:right="0" w:firstLine="0"/>
        <w:jc w:val="center"/>
      </w:pPr>
      <w:bookmarkStart w:id="4" w:name="一级标题_2"/>
      <w:bookmarkStart w:id="5" w:name="_Toc256000000"/>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8"/>
          <w:szCs w:val="24"/>
          <w:highlight w:val="none"/>
          <w:u w:val="none" w:color="auto"/>
          <w:vertAlign w:val="baseline"/>
          <w:rtl w:val="0"/>
          <w:cs w:val="0"/>
        </w:rPr>
        <w:t>引言</w:t>
      </w:r>
      <w:bookmarkEnd w:id="4"/>
      <w:bookmarkEnd w:id="5"/>
    </w:p>
    <w:p w14:paraId="78022351">
      <w:pPr>
        <w:pStyle w:val="52"/>
        <w:spacing w:before="0" w:after="0" w:line="240" w:lineRule="auto"/>
        <w:ind w:left="0" w:right="0" w:firstLine="440" w:firstLineChars="200"/>
        <w:jc w:val="both"/>
      </w:pPr>
      <w:bookmarkStart w:id="6" w:name="正文段落_怀疑_1"/>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生成式人工智能技术的迭代已推动应用形态从内容生成工具向自主智能体跃迁，以通用大模型为底座的智能体可独立拆解任务、调用工具、完成跨平台操作，在办公辅助、消费决策、交易执行等场景中快速落地 [参见中国信息通信研究院：《人工智能发展报告（2024 年）》，第 23-28 页。]。技术落地伴随的风险已逐步进入司法视野：上海浦东新区人民法院 2024 年审理的服务合同纠纷中，电商平台接入的 AI 智能客服超出预设授权范围，擅自向消费者作出 “全额退款无需退货” 的承诺，平台以该承诺超出 AI 授权范围为由拒绝履行，双方就责任承担产生争议 [ 参见上海浦东新区法院 2024 年审理的 “AI 智能客服越权承诺案”（服务合同纠纷）。]；杭州互联网法院 2023 年审理的著作权侵权纠纷中，用户输入创作指令后，AI 模型生成内容擅自使用平台内受版权保护的图片元素，开发方与平台方均主张自身无法预见该输出结果，拒绝承担侵权责任 [ 参见杭州互联网法院 2023 年审理的 “AI 生成内容著作权侵权案”。]。</w:t>
      </w:r>
      <w:bookmarkEnd w:id="6"/>
    </w:p>
    <w:p w14:paraId="44E565F2">
      <w:pPr>
        <w:pStyle w:val="52"/>
        <w:spacing w:before="0" w:after="0" w:line="240" w:lineRule="auto"/>
        <w:ind w:left="0" w:right="0" w:firstLine="440" w:firstLineChars="200"/>
        <w:jc w:val="both"/>
      </w:pPr>
      <w:bookmarkStart w:id="7" w:name="正文段落_怀疑_2"/>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司法裁判面临的共性困境在于，既有规则体系难以妥适回应智能体行为致害的特殊风险结构，现有学说与制度均存在不同程度的适配缺口：若适用产品责任规则，依学界观点，大模型概率性输出的技术特征导致传统 “设计缺陷” 的认定标准难以直接适用 —— 同一段模型代码在不同场景下可能生成合规或侵权的差异化结果，不存在静态可识别的统一瑕疵形态 [ 张新宝：《人工智能侵权的责任主体》，《中国法学》2024 年第 1 期，第 35-50 页。]；若适用委托代理规则，有研究指出，智能体的自主决策属性使得用户或部署方无法控制其具体行为手段，代理规则所预设的 “本人可通过指示监督控制代理人行为” 的归责前提，在现有技术架构下难以完全成立 [ 王利明：《人工智能侵权责任研究》，《中国法学》2023 年第 5 期，第 20-38 页。]；若仅依托行政监管设定的事前准入规则，则无法直接解决损害发生后的民事责任归属问题，现行《生成式人工智能服务管理暂行办法》虽明确了服务提供者的安全管理义务，但并未就民事责任配置作出细化规定 [ 参见《生成式人工智能服务管理暂行办法》（2023 年）第 4 条、第 13 条。]，2024 年国家互联网信息办公室发布的《人工智能安全治理框架》专门提及 “行为安全” 要求，亦未涉及责任归属的规范构造，监管合规与民事过错判断之间缺乏制度化的衔接通道。此种规范缝隙下，有必要回归侵权法的教义学体系，探寻适用于智能体行为安全风险的归责路径。</w:t>
      </w:r>
      <w:bookmarkEnd w:id="7"/>
    </w:p>
    <w:p w14:paraId="544423D5">
      <w:pPr>
        <w:pStyle w:val="53"/>
        <w:keepNext/>
        <w:spacing w:before="100" w:after="100" w:line="240" w:lineRule="auto"/>
        <w:ind w:left="0" w:right="0" w:firstLine="0"/>
        <w:jc w:val="center"/>
      </w:pPr>
      <w:bookmarkStart w:id="8" w:name="一级标题序号_1"/>
      <w:bookmarkStart w:id="9" w:name="一级标题_4"/>
      <w:bookmarkStart w:id="10" w:name="_Toc256000001"/>
      <w:r>
        <w:rPr>
          <w:rStyle w:val="8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0"/>
          <w:position w:val="0"/>
          <w:sz w:val="28"/>
          <w:szCs w:val="20"/>
          <w:highlight w:val="none"/>
          <w:u w:val="none" w:color="auto"/>
          <w:vertAlign w:val="baseline"/>
          <w:rtl w:val="0"/>
          <w:cs w:val="0"/>
        </w:rPr>
        <w:t>一、</w:t>
      </w:r>
      <w:bookmarkEnd w:id="8"/>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8"/>
          <w:szCs w:val="24"/>
          <w:highlight w:val="none"/>
          <w:u w:val="none" w:color="auto"/>
          <w:vertAlign w:val="baseline"/>
          <w:rtl w:val="0"/>
          <w:cs w:val="0"/>
        </w:rPr>
        <w:t>行为安全风险的规范独立品格：与产品缺陷的界分</w:t>
      </w:r>
      <w:bookmarkEnd w:id="9"/>
      <w:bookmarkEnd w:id="10"/>
    </w:p>
    <w:p w14:paraId="75FFA8E8">
      <w:pPr>
        <w:pStyle w:val="52"/>
        <w:spacing w:before="0" w:after="0" w:line="240" w:lineRule="auto"/>
        <w:ind w:left="0" w:right="0" w:firstLine="440" w:firstLineChars="200"/>
        <w:jc w:val="both"/>
      </w:pPr>
      <w:bookmarkStart w:id="11" w:name="正文段落_怀疑_3"/>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将算法致害纳入产品责任框架是当前学界与实务界的主流思路，其核心逻辑是将算法系统视为数字产品，将算法偏差认定为产品缺陷，由开发者承担无过错责任。这一路径在应对传统推荐算法、内容生成算法的致害问题时具有解释力，因为此类算法的输出偏差多源于训练数据污染、代码漏洞、价值对齐缺失等静态可识别的设计瑕疵，符合产品缺陷的规范特征。但在智能体场景下，技术架构的变革生成了独立于产品缺陷的新型行为安全风险，其规范属性已无法被产品缺陷概念完全涵摄</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 w:customMarkFollows="1"/>
        <w:t>①</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。本节将从危险存在形态、危险判断基准、危险归因逻辑三个层次，系统论证行为安全风险的规范独立品格。</w:t>
      </w:r>
      <w:bookmarkEnd w:id="11"/>
    </w:p>
    <w:p w14:paraId="5F87C077">
      <w:pPr>
        <w:pStyle w:val="54"/>
        <w:keepNext/>
        <w:spacing w:before="0" w:after="0" w:line="240" w:lineRule="auto"/>
        <w:ind w:left="0" w:right="0" w:firstLine="422" w:firstLineChars="200"/>
        <w:jc w:val="both"/>
      </w:pPr>
      <w:bookmarkStart w:id="12" w:name="二级标题序号_2"/>
      <w:bookmarkStart w:id="13" w:name="二级标题_2"/>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（一）</w:t>
      </w:r>
      <w:bookmarkEnd w:id="12"/>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危险存在形态的场景依赖性与固有属性的断裂</w:t>
      </w:r>
      <w:bookmarkEnd w:id="13"/>
    </w:p>
    <w:p w14:paraId="59DAE573">
      <w:pPr>
        <w:pStyle w:val="52"/>
        <w:spacing w:before="0" w:after="0" w:line="240" w:lineRule="auto"/>
        <w:ind w:left="0" w:right="0" w:firstLine="440" w:firstLineChars="200"/>
        <w:jc w:val="both"/>
      </w:pPr>
      <w:bookmarkStart w:id="14" w:name="正文段落_怀疑_4"/>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《产品质量法》第46条将产品缺陷界定为”存在危及人身、他人财产安全的不合理的危险”，学理上将其解释为设计缺陷、制造缺陷与警示缺陷的三分体系</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 w:customMarkFollows="1"/>
        <w:t>②</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本处之所以选择以”附着性+非场景依赖性”的双层结构来解释第46条，是因为这一解释最准确地反映了产品责任制度的归责逻辑：产品责任之所以不问过错地要求生产者承担严格责任，其正当性基础正在于产品缺陷是生产者制造行为的结果，可以通过事后检测加以验证</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 w:customMarkFollows="1"/>
        <w:t>③</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由此，该条的规范结构包含两个层次：第一，危险须附着于产品本体——无论是物理构造中的设计瑕疵、制造偏差，还是数字代码中的逻辑错误，均可通过静态检测手段予以识别和定位；第二，危险的存在与程度不随使用场景的变化而改变——汽车刹车系统的缺陷在任何道路条件下都会导致制动距离异常延长，软件代码的逻辑漏洞在任何运行环境下都会触发相同的执行错误。程啸教授在阐释产品缺陷概念时亦明确指出，“缺陷的可识别性是产品责任得以成立的前提性条件”—若危险是”关系性”的（由产品与场景互动生成而非产品固有），则”生产者对此承担严格责任”的归责逻辑即失去正当性来源</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4" w:customMarkFollows="1"/>
        <w:t>④</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可能面临的一项质疑在于：“附着性+非场景依赖性”的双层结构是否过于严苛，以至于部分传统产品缺陷（如药物在特定体质患者身上的副作用）也会被排除在产品缺陷范畴之外？这一质疑值得认真对待，但传统产品缺陷的”条件依赖性”与智能体行为危险的”场景生成性”存在本质区别：前者是因个体差异导致的概率性暴露，缺陷本身仍是产品的固有属性（药理学特性不变），因而仍然满足”附着性”要件；后者是因场景要素参与风险生成过程所致，危险并非智能体本身的固有属性，而是在动态互动中被共同制造出来的，二者不可混同。</w:t>
      </w:r>
      <w:bookmarkEnd w:id="14"/>
    </w:p>
    <w:p w14:paraId="03593CB6">
      <w:pPr>
        <w:pStyle w:val="52"/>
        <w:spacing w:before="0" w:after="0" w:line="240" w:lineRule="auto"/>
        <w:ind w:left="0" w:right="0" w:firstLine="440" w:firstLineChars="200"/>
        <w:jc w:val="both"/>
      </w:pPr>
      <w:bookmarkStart w:id="15" w:name="正文段落_怀疑_5"/>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智能体的行为危险恰恰突破了上述两个层次：危险并不固定附着于模型权重或代码结构，而是产生于概率性推理与具体场景要素的动态交互之中。同一段模型代码在获得充分安全护栏约束的场景下可能全程合规运行，在未设置约束的高风险场景下则可能生成越权操作；同一组训练参数在用于信息查询类智能体时表现安全，在用于金融交易类智能体时可能引发越权操作—危险的存在具有场景依赖性，无法通过拆解产品本体的方式进行静态识别。之所以需要将行为安全风险从产品缺陷概念中独立出来加以讨论，是因为我国产品责任制度以”可识别的确定性缺陷”为归责前提，将场景依赖性危险纳入设计缺陷范畴，实质上要求一种无法通过事前检测加以定位的瑕疵概念，这超出了《产品质量法》第46条规范结构所能承载的射程。</w:t>
      </w:r>
      <w:bookmarkEnd w:id="15"/>
    </w:p>
    <w:p w14:paraId="3AED9AD4">
      <w:pPr>
        <w:pStyle w:val="52"/>
        <w:spacing w:before="0" w:after="0" w:line="240" w:lineRule="auto"/>
        <w:ind w:left="0" w:right="0" w:firstLine="440" w:firstLineChars="200"/>
        <w:jc w:val="both"/>
      </w:pPr>
      <w:bookmarkStart w:id="16" w:name="正文段落_怀疑_6"/>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可能面临的质疑在于：危险存在形态的差异是否足以支撑行为安全风险独立于产品缺陷的结论？毕竟，即便是传统产品，某些缺陷也只有在特定使用条件下才会暴露—例如药物副作用只在特定体质患者身上出现。但传统产品缺陷的”条件依赖性”与智能体行为危险的”场景生成性”存在本质区别：前者是因个体差异导致的概率性暴露，缺陷本身仍是产品的固有属性（药理学特性不变），因而仍然满足”可识别性”要件；后者是因场景要素参与风险生成过程所致，危险并非智能体本身的固有属性，而是在”智能体—场景—第三方”的动态互动中被共同制造出来的。张新宝教授在分析人工智能产品责任时亦注意到这一区别，指出”算法的概率性输出特征使得传统的缺陷认定模式面临根本性挑战”</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5" w:customMarkFollows="1"/>
        <w:t>⑤</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这一区别决定了二者在归责逻辑上的根本分殊：产品责任的归责以缺陷在产品制造或设计阶段即已存在为前提，而智能体行为风险的风险生成机制恰恰否定了这一前提的存在。由此产生的规范后果是：智能体行为危险的场景依赖性从根本上排除了产品责任框架的适用前提—既然危险并非产品制造或设计阶段的固有属性，就无法通过”缺陷认定—生产者赔偿”的产品责任逻辑来实现归责，必须寻求另一种规范来源。</w:t>
      </w:r>
      <w:bookmarkEnd w:id="16"/>
    </w:p>
    <w:p w14:paraId="47FD72C4">
      <w:pPr>
        <w:pStyle w:val="54"/>
        <w:keepNext/>
        <w:spacing w:before="0" w:after="0" w:line="240" w:lineRule="auto"/>
        <w:ind w:left="0" w:right="0" w:firstLine="422" w:firstLineChars="200"/>
        <w:jc w:val="both"/>
      </w:pPr>
      <w:bookmarkStart w:id="17" w:name="二级标题序号_3"/>
      <w:bookmarkStart w:id="18" w:name="二级标题_4"/>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（二）</w:t>
      </w:r>
      <w:bookmarkEnd w:id="17"/>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危险判断基准的消费者合理期待失灵</w:t>
      </w:r>
      <w:bookmarkEnd w:id="18"/>
    </w:p>
    <w:p w14:paraId="7B0D074A">
      <w:pPr>
        <w:pStyle w:val="52"/>
        <w:spacing w:before="0" w:after="0" w:line="240" w:lineRule="auto"/>
        <w:ind w:left="0" w:right="0" w:firstLine="440" w:firstLineChars="200"/>
        <w:jc w:val="both"/>
      </w:pPr>
      <w:bookmarkStart w:id="19" w:name="正文段落_怀疑_7"/>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产品责任框架下的”不合理危险”判断以普通消费者的合理期待为核心参照，这一基准的适用以消费者对产品功能与风险具备基本认知为前提。《产品质量法》第46条所确立的”消费者有权期待的安全性”标准，在司法实践中通过”合理期待测试”加以操作化，其核心逻辑是：如果普通消费者在合理使用条件下无法预见该危险的存在，该危险即属于”不合理”范畴</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6" w:customMarkFollows="1"/>
        <w:t>⑥</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这一逻辑预设了消费者能够形成对产品功能与行为后果的稳定预期。王泽鉴教授在分析消费者合理期待标准时亦指出，该标准以”消费者对产品功能与危险具有基本认知能力”为适用前提，若消费者无法形成对产品行为模式的稳定预期，则合理期待标准即丧失了参照意义</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7" w:customMarkFollows="1"/>
        <w:t>⑦</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w:t>
      </w:r>
      <w:bookmarkEnd w:id="19"/>
    </w:p>
    <w:p w14:paraId="3877F9E4">
      <w:pPr>
        <w:pStyle w:val="52"/>
        <w:spacing w:before="0" w:after="0" w:line="240" w:lineRule="auto"/>
        <w:ind w:left="0" w:right="0" w:firstLine="440" w:firstLineChars="200"/>
        <w:jc w:val="both"/>
      </w:pPr>
      <w:bookmarkStart w:id="20" w:name="正文段落_怀疑_8"/>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但智能体场景中，用户将手段选择权委托给智能体的核心动因，恰恰是自身不具备完成特定任务的信息能力与操作条件，无法对智能体的具体行为路径形成稳定的事前期待—用户固然有权期待智能体不实施违法行为，却无法预见智能体在复杂场景中会选择何种具体操作路径实现目标。以消费者合理期待为基准认定”不合理危险”的逻辑，在此场景中陷入了自反性困境：合理期待标准要求消费者具有期待能力，而智能体技术价值的实现恰恰以消费者放弃期待能力为前提。若强行以合理期待标准认定产品缺陷，极易陷入”事后诸葛亮”的判断误区：只要发生损害结果，即倒推智能体存在不符合消费者期待的缺陷，实质架空了产品责任的构成要件。之所以应当拒绝将消费者合理期待标准直接适用于智能体行为安全领域，是因为从规范目的角度审视，《产品质量法》第46条的”合理期待”标准旨在保护消费者对产品安全性的信赖利益，而非为法官提供在每一起事故发生后反向推理出”缺陷”存在的裁判工具。</w:t>
      </w:r>
      <w:bookmarkEnd w:id="20"/>
    </w:p>
    <w:p w14:paraId="0D5EF357">
      <w:pPr>
        <w:pStyle w:val="52"/>
        <w:spacing w:before="0" w:after="0" w:line="240" w:lineRule="auto"/>
        <w:ind w:left="0" w:right="0" w:firstLine="440" w:firstLineChars="200"/>
        <w:jc w:val="both"/>
      </w:pPr>
      <w:bookmarkStart w:id="21" w:name="正文段落_怀疑_9"/>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面对这一判断，可能出现的反对意见是：消费者至少有权期待智能体”不实施侵权行为的系统性倾向低于某个可接受的阈值”，从而可以以”系统性越权率”为标准判断不合理危险。但这一见解忽略了以概率阈值替代合理期待标准所面临的可操作性难题：何种越权率构成”可接受阈值”？这一阈值在事前无法确定，在事后只能由法官在个案中裁量，其结果仍然是在事后以结果反推缺陷，只是将判断基准从”期待”替换为”概率”而已，并未真正解决合理期待标准的稳定性缺失问题。因此，合理期待标准在智能体场景中的失灵具有不可修复性，这一结论构成了行为安全风险独立于产品缺陷的第二个规范理由。</w:t>
      </w:r>
      <w:bookmarkEnd w:id="21"/>
    </w:p>
    <w:p w14:paraId="111A285D">
      <w:pPr>
        <w:pStyle w:val="54"/>
        <w:keepNext/>
        <w:spacing w:before="0" w:after="0" w:line="240" w:lineRule="auto"/>
        <w:ind w:left="0" w:right="0" w:firstLine="422" w:firstLineChars="200"/>
        <w:jc w:val="both"/>
      </w:pPr>
      <w:bookmarkStart w:id="22" w:name="二级标题序号_4"/>
      <w:bookmarkStart w:id="23" w:name="二级标题_6"/>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（三）</w:t>
      </w:r>
      <w:bookmarkEnd w:id="22"/>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危险归因链条的概率性断裂与发展风险抗辩的局限</w:t>
      </w:r>
      <w:bookmarkEnd w:id="23"/>
    </w:p>
    <w:p w14:paraId="784B2332">
      <w:pPr>
        <w:pStyle w:val="52"/>
        <w:spacing w:before="0" w:after="0" w:line="240" w:lineRule="auto"/>
        <w:ind w:left="0" w:right="0" w:firstLine="440" w:firstLineChars="200"/>
        <w:jc w:val="both"/>
      </w:pPr>
      <w:bookmarkStart w:id="24" w:name="正文段落_怀疑_10"/>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产品质量法》第46条及《民法典》第1202条共同确立的产品责任归因结构遵循”瑕疵—缺陷—责任”的线性逻辑，要求致害危险能够被追溯至设计、制造或警示环节的特定瑕疵，且该瑕疵能够通过技术改进被消除而不损及产品核心功能</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8" w:customMarkFollows="1"/>
        <w:t>⑧</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。大模型的概率性推理逻辑决定了其输出结果呈现分布性特征，开放域场景下的输出集合不具备可枚举性，传统的穷举式安全测试无法覆盖所有可能的行为路径，事前缺陷识别的认知基础因此瓦解</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9" w:customMarkFollows="1"/>
        <w:t>⑨</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更为关键的是，概率性推理本身是大模型获得开放域泛化能力的技术基础，并非设计失误—若要求开发者彻底消除概率性输出的偏差，唯一的技术路径是限制模型的泛化能力，使其退化为仅能执行固定指令的传统软件，这意味着风险防控与性能提升之间存在固有的技术权衡，不存在”既保留核心功能又彻底消除风险”的改进方案。</w:t>
      </w:r>
      <w:bookmarkEnd w:id="24"/>
    </w:p>
    <w:p w14:paraId="247C08EA">
      <w:pPr>
        <w:pStyle w:val="52"/>
        <w:spacing w:before="0" w:after="0" w:line="240" w:lineRule="auto"/>
        <w:ind w:left="0" w:right="0" w:firstLine="440" w:firstLineChars="200"/>
        <w:jc w:val="both"/>
      </w:pPr>
      <w:bookmarkStart w:id="25" w:name="正文段落_怀疑_11"/>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从规范目的角度审视，《产品质量法》的缺陷概念之所以要求瑕疵具有”可消除性”，是因为产品责任制度的立法目的不在于对产品技术本身施加禁令，而在于促使生产者在设计、制造、警示环节达到合理的安全标准</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0" w:customMarkFollows="1"/>
        <w:t>⑩</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若一种”缺陷”的消除必须以牺牲产品核心功能为代价，那么将其认定为”缺陷”的规范效果就不再是促使生产者改进安全水平，而是从法律上禁止该类产品投放市场—这显然超出了《产品质量法》第1条所确立的”保护消费者合法权益，维护社会经济秩序”的立法目的边界。由此产生的一个规范后果是：在智能体行为安全领域，产品责任框架的核心归责逻辑—通过缺陷认定传导改进激励—在归因链条的概率性断裂面前丧失了规范效力，因为不存在可识别的、可通过技术改进加以消除的”缺陷”。</w:t>
      </w:r>
      <w:bookmarkEnd w:id="25"/>
    </w:p>
    <w:p w14:paraId="4D195C05">
      <w:pPr>
        <w:pStyle w:val="52"/>
        <w:spacing w:before="0" w:after="0" w:line="240" w:lineRule="auto"/>
        <w:ind w:left="0" w:right="0" w:firstLine="440" w:firstLineChars="200"/>
        <w:jc w:val="both"/>
      </w:pPr>
      <w:bookmarkStart w:id="26" w:name="正文段落_怀疑_12"/>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这就自然引出一个反对意见必须被正面回应：即便事前无法识别具体缺陷，是否可以通过”市场份额责任”或”风险共同体”理论，将概率性行为偏差整体纳入产品责任框架？这一见解在比较法上确有先例—DES药物案件中美国部分法院曾采用市场份额责任解决同类产品无法确定具体致害者的困境</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1" w:customMarkFollows="1"/>
        <w:t>⑪</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但市场份额责任的适用前提是”产品具有可识别的统一缺陷（如DES的防流产效果不足）“，而非”产品不存在可识别的缺陷”。智能体概率性行为偏差的问题不是”无法确定损害由哪个开发者的产品造成”，而是”无法确定开发者的产品是否存在符合法律定义的缺陷”。二者在归责结构上存在本质差异：前者是因果关系证明的困难，后者是责任构成要件的阙如。市场份额责任无法填补构成要件缺失的规范漏洞。</w:t>
      </w:r>
      <w:bookmarkEnd w:id="26"/>
    </w:p>
    <w:p w14:paraId="7847EB6C">
      <w:pPr>
        <w:pStyle w:val="54"/>
        <w:keepNext/>
        <w:spacing w:before="0" w:after="0" w:line="240" w:lineRule="auto"/>
        <w:ind w:left="0" w:right="0" w:firstLine="422" w:firstLineChars="200"/>
        <w:jc w:val="both"/>
      </w:pPr>
      <w:bookmarkStart w:id="27" w:name="二级标题序号_5"/>
      <w:bookmarkStart w:id="28" w:name="二级标题_8"/>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（四）</w:t>
      </w:r>
      <w:bookmarkEnd w:id="27"/>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可允许风险与可归责缺陷的规范边界</w:t>
      </w:r>
      <w:bookmarkEnd w:id="28"/>
    </w:p>
    <w:p w14:paraId="076355CD">
      <w:pPr>
        <w:pStyle w:val="52"/>
        <w:spacing w:before="0" w:after="0" w:line="240" w:lineRule="auto"/>
        <w:ind w:left="0" w:right="0" w:firstLine="440" w:firstLineChars="200"/>
        <w:jc w:val="both"/>
      </w:pPr>
      <w:bookmarkStart w:id="29" w:name="正文段落_怀疑_13"/>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此种判断的可能诘难在于，开发者明知模型可能在特定场景中生成越权行为仍将其投放市场，此种概率性风险本身即属于《产品质量法》第46条上的”不合理危险”，应当认定为设计缺陷。这一见解混淆了侵权法上”可允许的风险”（erlaubtes Risiko）与”可归责的缺陷”之间的规范边界。本处之所以选择引入可允许风险理论作为区分标准，而非径直以”存在危险即不合理”的直觉判断来处理此问题，是因为《产品质量法》第46条的”不合理危险”标准本身即指向”风险是否超出了法秩序所能容许的范围”，而可允许风险理论为判断”何种程度的风险属于法秩序容许的范畴”提供了明确的教义学基准，避免了将”风险的存在”等同于”缺陷的存在”的逻辑跳跃</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2" w:customMarkFollows="1"/>
        <w:t>⑫</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自现代工业社会以来，侵权法即承认具备社会效用的技术活动即使伴随固有风险，只要活动主体尽到了合理的风险防免义务，剩余风险即属于法秩序所允许的范畴，行为人不对此承担结果责任。王泽鉴教授在阐释侵权法上的风险分配理论时亦明确指出，“现代社会中的技术活动不可避免地伴随固有风险，法律并不要求行为人消除一切风险，而是要求其尽到合理注意义务后，剩余风险由社会整体承担”</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3" w:customMarkFollows="1"/>
        <w:t>⑬</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与之相对，可能出现的反对意见认为可允许风险理论仅适用于”社会公认”具有重大效用的活动，而大语言模型的效用尚未得到充分验证，不宜过早适用该理论。但这一质疑忽略了两个关键点：第一，我国《新一代人工智能发展规划》已将人工智能列为国家战略性技术，其在信息处理、知识服务等领域的效用已得到广泛证实；第二，可允许风险理论并不要求事先证明技术的”卓越效用”，而是要求进行”效用与风险的比较权衡”，只要智能体技术的社会净效用为正（即效用大于风险），即可适用该理论。判断剩余风险是否属于法秩序所允许的范畴，本质上是汉德公式在技术场景中的展开：当防免风险的成本远高于风险可能造成的预期损害时，要求行为人承担消除风险的义务即不具备经济合理性，此种风险即应归入剩余风险范畴，由全体社会成员共同分担而非由技术提供者独自承担</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4" w:customMarkFollows="1"/>
        <w:t>⑭</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汽车制造商明知车辆高速行驶时刹车距离会延长，并不构成设计缺陷—只要刹车性能符合同类产品的合理安全标准；同理，大模型开发者在当前技术条件下无法在保留泛化能力的同时完全消除行为偏差，只要其尽到了符合行业合理实践的安全测试与对齐义务，并向市场充分披露模型的能力边界与风险特性，剩余的概率性行为偏差即不属于”不合理危险”的范畴。揆诸规范意旨，《产品质量法》第46条所称”不合理”并非指”存在危险即不合理”，而是指”未达到当时技术条件下可合理实现的安全水平”。</w:t>
      </w:r>
      <w:bookmarkEnd w:id="29"/>
    </w:p>
    <w:p w14:paraId="597AA01E">
      <w:pPr>
        <w:pStyle w:val="52"/>
        <w:spacing w:before="0" w:after="0" w:line="240" w:lineRule="auto"/>
        <w:ind w:left="0" w:right="0" w:firstLine="440" w:firstLineChars="200"/>
        <w:jc w:val="both"/>
      </w:pPr>
      <w:bookmarkStart w:id="30" w:name="正文段落_怀疑_14"/>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上述”可允许风险”论证可能遭遇的一项质疑—汉德公式在侵权法中的适用以”双方均具有风险认知能力”为前提，而智能体场景中的受害人并不具备评估概率性风险的信息条件，将汉德公式适用于此是否正当—应予正面回应：汉德公式（B &lt; PL）源于美国联邦第二巡回上诉法院在United States v. Carroll Towing Co.案中确立的过失判断规则，其最初的规范功能即在于为”合理注意义务”的认定提供经济分析框架，而非要求当事人具有法律专家水平的风险认知能力</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5" w:customMarkFollows="1"/>
        <w:t>⑮</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。张新宝教授在分析侵权法上的过错判断时亦指出，汉德公式的核心价值在于将注意义务的判断从主观标准转向客观化的成本收益分析，其适用以社会一般认知水平而非个体认知水平为基准</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6" w:customMarkFollows="1"/>
        <w:t>⑯</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在此规范前提下，汉德公式在此处的功能并非在当事人之间分配具体案件中的过错，而是在立法论层面判断”某种风险是否应当由法律整体上归入不可允许的范畴”。前一种适用需要当事人具有风险认知能力，后一种适用则以社会整体效益为判断基准，二者属于不同的规范层次。以此处的使用场景—论证概率性偏差不应被整体认定为”设计缺陷”—属于立法论层面的判断，不要求当事人具备具体的风险认知能力，因此汉德公式的适用在此场景中不存在方法论障碍。</w:t>
      </w:r>
      <w:bookmarkEnd w:id="30"/>
    </w:p>
    <w:p w14:paraId="135A0773">
      <w:pPr>
        <w:pStyle w:val="53"/>
        <w:keepNext/>
        <w:spacing w:before="100" w:after="100" w:line="240" w:lineRule="auto"/>
        <w:ind w:left="0" w:right="0" w:firstLine="0"/>
        <w:jc w:val="center"/>
      </w:pPr>
      <w:bookmarkStart w:id="31" w:name="一级标题序号_6"/>
      <w:bookmarkStart w:id="32" w:name="一级标题_6"/>
      <w:bookmarkStart w:id="33" w:name="_Toc256000002"/>
      <w:r>
        <w:rPr>
          <w:rStyle w:val="8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0"/>
          <w:position w:val="0"/>
          <w:sz w:val="28"/>
          <w:szCs w:val="20"/>
          <w:highlight w:val="none"/>
          <w:u w:val="none" w:color="auto"/>
          <w:vertAlign w:val="baseline"/>
          <w:rtl w:val="0"/>
          <w:cs w:val="0"/>
        </w:rPr>
        <w:t>二、</w:t>
      </w:r>
      <w:bookmarkEnd w:id="31"/>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8"/>
          <w:szCs w:val="24"/>
          <w:highlight w:val="none"/>
          <w:u w:val="none" w:color="auto"/>
          <w:vertAlign w:val="baseline"/>
          <w:rtl w:val="0"/>
          <w:cs w:val="0"/>
        </w:rPr>
        <w:t>规制路径的教义学锚点：安全保障义务的类推射程与边界</w:t>
      </w:r>
      <w:bookmarkEnd w:id="32"/>
      <w:bookmarkEnd w:id="33"/>
    </w:p>
    <w:p w14:paraId="02E066F1">
      <w:pPr>
        <w:pStyle w:val="52"/>
        <w:spacing w:before="0" w:after="0" w:line="240" w:lineRule="auto"/>
        <w:ind w:left="0" w:right="0" w:firstLine="440" w:firstLineChars="200"/>
        <w:jc w:val="both"/>
      </w:pPr>
      <w:bookmarkStart w:id="34" w:name="正文段落_怀疑_15"/>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行为安全风险的独立品格决定了产品责任框架无法提供妥适的规范供给，需要在现行侵权法体系内寻找新的教义学锚点。《民法典》第1198条规定的安全保障义务虽从文义上适用于物理公共场所的经营者、管理者责任，但其所确立的”风险开启者承担最低成本防免义务”的规范逻辑，可通过类推适用延伸至智能体行为风险场景，为分层义务配置提供规范基础</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7" w:customMarkFollows="1"/>
        <w:t>⑰</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。本节将从类推适用的相似性基础、义务边界控制、责任形态辨析三个层面展开论证。</w:t>
      </w:r>
      <w:bookmarkEnd w:id="34"/>
    </w:p>
    <w:p w14:paraId="1F64B2EE">
      <w:pPr>
        <w:pStyle w:val="54"/>
        <w:keepNext/>
        <w:spacing w:before="0" w:after="0" w:line="240" w:lineRule="auto"/>
        <w:ind w:left="0" w:right="0" w:firstLine="422" w:firstLineChars="200"/>
        <w:jc w:val="both"/>
      </w:pPr>
      <w:bookmarkStart w:id="35" w:name="二级标题序号_7"/>
      <w:bookmarkStart w:id="36" w:name="二级标题_10"/>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（一）</w:t>
      </w:r>
      <w:bookmarkEnd w:id="35"/>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类推适用的相似性基础：控制能力原则的规范同构</w:t>
      </w:r>
      <w:bookmarkEnd w:id="36"/>
    </w:p>
    <w:p w14:paraId="0E840329">
      <w:pPr>
        <w:pStyle w:val="52"/>
        <w:spacing w:before="0" w:after="0" w:line="240" w:lineRule="auto"/>
        <w:ind w:left="0" w:right="0" w:firstLine="440" w:firstLineChars="200"/>
        <w:jc w:val="both"/>
      </w:pPr>
      <w:bookmarkStart w:id="37" w:name="正文段落_怀疑_16"/>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类推适用的核心前提在于待决案件与法定案型在规范评价上的相似性，即二者在与法律评价有关的重要观点上相互一致。《民法典》第1198条的规范结构可以分解为三个层次：第一，义务主体—对特定空间或活动具有”组织性控制”的主体（“宾馆、商场、银行、车站、机场、体育场馆、娱乐场所等经营场所、公共场所的经营者、管理者或者群众性活动的组织者”）；第二，义务来源—义务产生于主体对该空间或活动的”控制能力”而非其与受害人之间的合同关系或先行行为；第三，义务内容—在”控制能力所及的范围”内采取合理措施防止损害发生。安全保障义务源于德国法上的交往安全义务（Verkehrspflicht），其最初的规范功能即在于填补”自己责任”原则的归责缝隙：当主体开启或维持了一个对他人法益构成持续风险的交往领域，且该主体对领域内的风险具备最低成本的防免能力时，即负有采取合理措施防止风险现实化的义务，而不问该主体与受害人之间是否存在合同关系、是否直接实施了致害行为</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8" w:customMarkFollows="1"/>
        <w:t>⑱</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w:t>
      </w:r>
      <w:bookmarkEnd w:id="37"/>
    </w:p>
    <w:p w14:paraId="1FD98CE8">
      <w:pPr>
        <w:pStyle w:val="52"/>
        <w:spacing w:before="0" w:after="0" w:line="240" w:lineRule="auto"/>
        <w:ind w:left="0" w:right="0" w:firstLine="440" w:firstLineChars="200"/>
        <w:jc w:val="both"/>
      </w:pPr>
      <w:bookmarkStart w:id="38" w:name="正文段落_怀疑_17"/>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这一规范逻辑并不因风险载体的物理属性而改变：宾馆经营者通过经营活动开启了物理空间内的交往风险，其对空间内的危险源具备最便利的防控能力，因此承担安全保障义务；模型开发者通过训练、发布通用大模型，开启了可被下游封装为各类智能体应用的虚拟交往空间，其对模型底座的系统性安全风险具备唯一的防控能力—唯有开发者能够通过训练数据筛选、价值对齐、安全训练等方式降低模型的系统性行为偏差，因此在风险控制逻辑上与公共场所经营者处于相同的规范地位。应用部署者通过封装具体智能体产品，将通用模型的抽象风险具体化到特定应用场景，其对场景内的行为风险具备最直接的控制能力—唯有部署者能够结合场景特性设置操作硬约束、行为护栏、人工确认机制等防控措施，这一控制地位与经营场所的管理者对场所内风险的控制地位并无二致</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19" w:customMarkFollows="1"/>
        <w:t>⑲</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。王利明教授在阐释安全保障义务的判断标准时即指出，义务配置的核心依据是主体对风险的控制能力，义务范围应当与控制范围保持一致，这一标准完全可以延伸适用于虚拟空间的风险防控场景</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0" w:customMarkFollows="1"/>
        <w:t>⑳</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w:t>
      </w:r>
      <w:bookmarkEnd w:id="38"/>
    </w:p>
    <w:p w14:paraId="57914A56">
      <w:pPr>
        <w:pStyle w:val="52"/>
        <w:spacing w:before="0" w:after="0" w:line="240" w:lineRule="auto"/>
        <w:ind w:left="0" w:right="0" w:firstLine="440" w:firstLineChars="200"/>
        <w:jc w:val="both"/>
      </w:pPr>
      <w:bookmarkStart w:id="39" w:name="正文段落_怀疑_18"/>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于类推适用可能面临的一项根本性质疑—虚拟空间不同于物理空间，不存在”排他性控制”—应予回应的是：第1198条要求的是”控制能力”而非”排他性控制”。宾馆经营者对宾馆内发生的风险享有的是”事实上的最佳控制地位”而非”物理上的排他性控制”—顾客同样可以自我保护，但法律仍将安全保障义务配置给经营者，理由在于经营者处于”相对更优的风险控制位置”。模型开发者对模型底座安全特性的控制力—训练数据的选择权、对齐技术的实施权、安全测试的执行权—是部署者和用户均不具备的，这一”相对控制优势”完全满足第1198条对控制能力的要求。</w:t>
      </w:r>
      <w:bookmarkEnd w:id="39"/>
    </w:p>
    <w:p w14:paraId="75F46A36">
      <w:pPr>
        <w:pStyle w:val="54"/>
        <w:keepNext/>
        <w:spacing w:before="0" w:after="0" w:line="240" w:lineRule="auto"/>
        <w:ind w:left="0" w:right="0" w:firstLine="422" w:firstLineChars="200"/>
        <w:jc w:val="both"/>
      </w:pPr>
      <w:bookmarkStart w:id="40" w:name="二级标题序号_8"/>
      <w:bookmarkStart w:id="41" w:name="二级标题_12"/>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（二）</w:t>
      </w:r>
      <w:bookmarkEnd w:id="40"/>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义务边界控制：控制能力原则的双向限定功能</w:t>
      </w:r>
      <w:bookmarkEnd w:id="41"/>
    </w:p>
    <w:p w14:paraId="016AC09F">
      <w:pPr>
        <w:pStyle w:val="52"/>
        <w:spacing w:before="0" w:after="0" w:line="240" w:lineRule="auto"/>
        <w:ind w:left="0" w:right="0" w:firstLine="440" w:firstLineChars="200"/>
        <w:jc w:val="both"/>
      </w:pPr>
      <w:bookmarkStart w:id="42" w:name="正文段落_怀疑_19"/>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类推适用的正当性并不意味着义务边界的无限扩张，交往安全义务自产生之初即受到控制能力边界的严格限定，防止义务泛化导致行为人行动自由受到不当侵蚀。最高人民法院在《关于审理人身损害赔偿案件适用法律若干问题的解释》第6条及《民法典理解与适用》中明确指出，安全保障义务的覆盖范围限于义务人”能够控制、应当控制”的领域，超出控制能力范围的风险不属于义务射程</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1" w:customMarkFollows="1"/>
        <w:t>㉑</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将这一边界规则适用于智能体场景，可清晰划定不同主体的义务边界：模型开发者的义务范围限于其训练、对齐环节能够控制的系统性安全风险，包括基础价值对齐、已知高风险行为的训练约束、模型安全能力与风险特性的准确披露，对于部署者未配置适当安全护栏、用户自主修改模型参数、第三方插件引入等超出开发者控制范围的风险，开发者不承担安全保障义务；应用部署者的义务范围限于其配置、运行环节能够控制的场景化风险，包括结合产品应用场景设置行为硬约束、对高风险操作设置人工确认机制、留存全流程运行日志、建立风险应急处置机制，对于模型底座本身存在的、开发者未披露的系统性安全缺陷，部署者尽到合理审查义务后即不承担责任。此种边界划分与安全保障义务的既有规则逻辑完全一致，不会导致义务的无限扩张。</w:t>
      </w:r>
      <w:bookmarkEnd w:id="42"/>
    </w:p>
    <w:p w14:paraId="31E08D06">
      <w:pPr>
        <w:pStyle w:val="52"/>
        <w:spacing w:before="0" w:after="0" w:line="240" w:lineRule="auto"/>
        <w:ind w:left="0" w:right="0" w:firstLine="440" w:firstLineChars="200"/>
        <w:jc w:val="both"/>
      </w:pPr>
      <w:bookmarkStart w:id="43" w:name="正文段落_怀疑_20"/>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于”边界划定后仍可能存在灰色地带”的质疑—例如模型底座安全缺陷与部署者配置疏漏共同致害时责任如何划分—将在后文第四(三)节过错推定规则的具体适用中予以回应，此处仅需指出：物理空间安全保障义务同样面临类似的多因竞合问题（如宾馆安保缺陷与第三人侵权共同致害），现有司法实践已积累成熟的按份责任与补充责任适用经验，灰色地带的存在本身不构成否定类推适用的理由。</w:t>
      </w:r>
      <w:bookmarkEnd w:id="43"/>
    </w:p>
    <w:p w14:paraId="0597AF03">
      <w:pPr>
        <w:pStyle w:val="54"/>
        <w:keepNext/>
        <w:spacing w:before="0" w:after="0" w:line="240" w:lineRule="auto"/>
        <w:ind w:left="0" w:right="0" w:firstLine="422" w:firstLineChars="200"/>
        <w:jc w:val="both"/>
      </w:pPr>
      <w:bookmarkStart w:id="44" w:name="二级标题序号_9"/>
      <w:bookmarkStart w:id="45" w:name="二级标题_14"/>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（三）</w:t>
      </w:r>
      <w:bookmarkEnd w:id="44"/>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直接责任与补充责任的规范澄清</w:t>
      </w:r>
      <w:bookmarkEnd w:id="45"/>
    </w:p>
    <w:p w14:paraId="23065B23">
      <w:pPr>
        <w:pStyle w:val="52"/>
        <w:spacing w:before="0" w:after="0" w:line="240" w:lineRule="auto"/>
        <w:ind w:left="0" w:right="0" w:firstLine="440" w:firstLineChars="200"/>
        <w:jc w:val="both"/>
      </w:pPr>
      <w:bookmarkStart w:id="46" w:name="正文段落_怀疑_21"/>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类推适用的另一项可能质疑在于，安全保障义务通常被用于规制不作为侵权，即义务人未采取积极措施防范第三人或自然原因导致的风险，而智能体是算法提供者开发的系统，其主动致害行为应当由开发者承担直接侵权责任，类推适用安全保障义务是否混淆了直接责任与补充责任的边界？这一误解源于对安全保障义务规范内涵的窄化。冯·巴尔在考察欧洲各国侵权法规则时即指出，交往安全义务从产生之初就并非仅适用于不作为侵权，其核心是要求风险开启者采取一切合理措施防止其开启的风险现实化，无论风险是通过第三人行为、自然原因还是自身开启的技术系统现实化，义务的性质并不因风险现实化的路径不同而改变</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2" w:customMarkFollows="1"/>
        <w:t>㉒</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民法典》第1198条规定的补充责任仅适用于第三人致害的特定场景，并非安全保障义务的全部责任形态—义务人自身违反义务直接导致损害发生的，应当承担直接侵权责任，这一规则逻辑完全可以适用于智能体致害场景：若义务人未履行其控制范围内的安全保障义务，导致智能体行为致害，即应当承担直接的过错责任，不存在直接责任与补充责任的混淆</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3" w:customMarkFollows="1"/>
        <w:t>㉓</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之所以需要对此种质疑进行正面澄清，是因为误解的根源在于将《民法典》第1198条第2款（第三人致害时的补充责任）等同于安全保障义务的全部规范内涵，而忽略了该条第1款（义务人自身违反义务致害时的直接责任）的独立规范意义</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4" w:customMarkFollows="1"/>
        <w:t>㉔</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从立法体系角度观察，《民法典》第1198条第1款与第2款分列两种不同的责任形态，前者对应直接侵权责任，后者对应补充责任，二者在构成要件和责任范围上均有区别。将第1198条等同于”补充责任条款”，实质上是混淆了该条内部两种不同责任形态的规范分工，属于对法条结构的误读。</w:t>
      </w:r>
      <w:bookmarkEnd w:id="46"/>
    </w:p>
    <w:p w14:paraId="69EDAC40">
      <w:pPr>
        <w:pStyle w:val="53"/>
        <w:keepNext/>
        <w:spacing w:before="100" w:after="100" w:line="240" w:lineRule="auto"/>
        <w:ind w:left="0" w:right="0" w:firstLine="0"/>
        <w:jc w:val="center"/>
      </w:pPr>
      <w:bookmarkStart w:id="47" w:name="一级标题序号_10"/>
      <w:bookmarkStart w:id="48" w:name="一级标题_8"/>
      <w:bookmarkStart w:id="49" w:name="_Toc256000003"/>
      <w:r>
        <w:rPr>
          <w:rStyle w:val="8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0"/>
          <w:position w:val="0"/>
          <w:sz w:val="28"/>
          <w:szCs w:val="20"/>
          <w:highlight w:val="none"/>
          <w:u w:val="none" w:color="auto"/>
          <w:vertAlign w:val="baseline"/>
          <w:rtl w:val="0"/>
          <w:cs w:val="0"/>
        </w:rPr>
        <w:t>三、</w:t>
      </w:r>
      <w:bookmarkEnd w:id="47"/>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8"/>
          <w:szCs w:val="24"/>
          <w:highlight w:val="none"/>
          <w:u w:val="none" w:color="auto"/>
          <w:vertAlign w:val="baseline"/>
          <w:rtl w:val="0"/>
          <w:cs w:val="0"/>
        </w:rPr>
        <w:t>既有规制方案的教义学偏差与适用局限</w:t>
      </w:r>
      <w:bookmarkEnd w:id="48"/>
      <w:bookmarkEnd w:id="49"/>
    </w:p>
    <w:p w14:paraId="1E0DE17F">
      <w:pPr>
        <w:pStyle w:val="52"/>
        <w:spacing w:before="0" w:after="0" w:line="240" w:lineRule="auto"/>
        <w:ind w:left="0" w:right="0" w:firstLine="440" w:firstLineChars="200"/>
        <w:jc w:val="both"/>
      </w:pPr>
      <w:bookmarkStart w:id="50" w:name="正文段落_怀疑_22"/>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学界围绕智能体致害责任提出的各类方案—产品责任说、代理归责说、高度危险责任说—虽从不同维度回应了风险规制需求，但均未契合行为安全风险的规范结构，存在不同程度的教义学偏差</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5" w:customMarkFollows="1"/>
        <w:t>㉕</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。本节将对三种方案依次展开批判性分析，以进一步确证安全保障义务类推方案的规范优越性。</w:t>
      </w:r>
      <w:bookmarkEnd w:id="50"/>
    </w:p>
    <w:p w14:paraId="04CAC8D1">
      <w:pPr>
        <w:pStyle w:val="54"/>
        <w:keepNext/>
        <w:spacing w:before="0" w:after="0" w:line="240" w:lineRule="auto"/>
        <w:ind w:left="0" w:right="0" w:firstLine="422" w:firstLineChars="200"/>
        <w:jc w:val="both"/>
      </w:pPr>
      <w:bookmarkStart w:id="51" w:name="二级标题序号_11"/>
      <w:bookmarkStart w:id="52" w:name="二级标题_16"/>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（一）</w:t>
      </w:r>
      <w:bookmarkEnd w:id="51"/>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产品责任说的归责前提错置</w:t>
      </w:r>
      <w:bookmarkEnd w:id="52"/>
    </w:p>
    <w:p w14:paraId="656B4AD7">
      <w:pPr>
        <w:pStyle w:val="52"/>
        <w:spacing w:before="0" w:after="0" w:line="240" w:lineRule="auto"/>
        <w:ind w:left="0" w:right="0" w:firstLine="440" w:firstLineChars="200"/>
        <w:jc w:val="both"/>
      </w:pPr>
      <w:bookmarkStart w:id="53" w:name="正文段落_怀疑_23"/>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主张适用产品责任的观点虽充分考量了算法系统的产品属性，却忽略了智能体行为风险与传统产品缺陷的本质差异，其核心缺陷在于将概率性推理产生的剩余风险等同于可识别、可消除的设计缺陷，要求开发者承担无过错责任，实质违背了产品责任的归责逻辑。之所以必须对产品责任框架的适用前提进行解构，是因为只有确认产品责任的归责前提是否满足，才能从根本上判断这一路径是否适用于智能体行为安全风险领域。《产品质量法》第46条将产品缺陷界定为”存在危及人身、他人财产安全的不合理的危险”，其归责逻辑以缺陷的”可识别性”和”可消除性”为双重前提。本处之所以选择以”可识别性”和”可消除性”作为分析框架的解构工具，是因为这一双重前提是产品责任制度区别于其他归责类型的核心特征：生产者之所以对缺陷产品承担严格责任，其正当性正在于该缺陷在设计、制造或警示环节可以被识别和纠正，且纠正行为不损及产品的核心功能</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6" w:customMarkFollows="1"/>
        <w:t>㉖</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智能体的概率性行为偏差恰恰不满足这一双重前提：在可识别性层面，概率性输出无法被追溯至训练数据、模型架构或推理策略中的特定”设计瑕疵”，因为概率性推理本身就是模型的运行方式而非运行错误；在可消除性层面，彻底消除概率性偏差的唯一路径是限制泛化能力，这意味着产品责任的适用将迫使开发者在”保留核心功能”与”消灭缺陷”之间二择一。可能面临的一项质疑在于：即便产品责任的可识别性和可消除性前提在智能体场景中不满足，是否可以通过扩张解释产品缺陷概念来容纳这一新型风险？但扩张解释不能突破概念的规范边界：若将”不可识别、不可消除”的风险也纳入产品缺陷范畴，则产品责任将蜕变为一种无条件的风险分担机制，不再具有通过缺陷认定传导改进激励的制度功能，这已超出了法律解释的范畴而进入了立法论的领域。在立法者未就人工智能侵权作出特别规定之前，司法者不宜通过突破现行法概念边界的方式扩张产品责任的适用范围。</w:t>
      </w:r>
      <w:bookmarkEnd w:id="53"/>
    </w:p>
    <w:p w14:paraId="1DA7B4BE">
      <w:pPr>
        <w:pStyle w:val="52"/>
        <w:spacing w:before="0" w:after="0" w:line="240" w:lineRule="auto"/>
        <w:ind w:left="0" w:right="0" w:firstLine="440" w:firstLineChars="200"/>
        <w:jc w:val="both"/>
      </w:pPr>
      <w:bookmarkStart w:id="54" w:name="正文段落_怀疑_24"/>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民法典》第1202条规定产品责任”不适用”的情形之一即为”将产品投入流通时的科学技术水平尚不能发现缺陷的存在”，该条所确立的”发展风险抗辩”规则进一步印证了立法者对难以识别的技术固有风险的特殊考量—若将概率性推理产生的全部行为偏差一律认定为设计缺陷，等于从根本上取消了发展风险抗辩在智能体领域的适用空间，这显然与第1202条的规范目的相悖。程啸教授在研究算法产品责任时即指出，产品责任的适用必须以缺陷的确定性为前提，对于无法通过技术手段确定识别、且属于技术固有风险的输出偏差，不应纳入产品缺陷的范畴，否则将导致产品责任的泛化</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7" w:customMarkFollows="1"/>
        <w:t>㉗</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此可能面临的反驳—产品责任框架可以通过发展风险抗辩吸收概率性风险，不能成立的规范理由是：发展风险抗辩的功能在于免除生产者对”当时科技水平无法发现的缺陷”的责任，而非为”已知存在但无法消除的概率性风险”提供免责通道—前者指向认知能力的有限性，后者指向技术结构的固有性。二者的规范结构不同：发展风险抗辩的适用以后续科技水平证明”缺陷本可被避免”为反转条件，而概率性推理导致的行为偏差即使在科技水平持续进步的条件下也无法被”消除”（因为消除即意味着牺牲泛化能力），因此并非发展风险抗辩所能涵摄的情形</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8" w:customMarkFollows="1"/>
        <w:t>㉘</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此外还可能面临一项反驳—是否可通过”市场退出机制”而非发展风险抗辩来实现对开发者的保护？即允许开发者通过将产品撤出市场来免除责任。但这一反驳混淆了产品责任法与行政监管的功能分工：产品责任法的功能不在于决定产品是否应退出市场（那是行政监管的职责），而在于在允许产品存在的前提下分配风险。以”市场退出”作为产品责任框架下开发者的免责路径，实际上将产品责任法与行政监管的功能混为一谈，并不具备法教义学层面的说服力。若强行将概率性行为偏差认定为设计缺陷，不仅会在司法裁判中面临缺陷认定的技术困境—法官根本无法通过鉴定确定某一概率性输出对应的设计瑕疵位置，还会向开发者施加无法预期的无限责任，开发者无法通过事前的安全投入确定地免除责任，最终会抑制通用大模型领域的技术创新。</w:t>
      </w:r>
      <w:bookmarkEnd w:id="54"/>
    </w:p>
    <w:p w14:paraId="3E53C7A7">
      <w:pPr>
        <w:pStyle w:val="54"/>
        <w:keepNext/>
        <w:spacing w:before="0" w:after="0" w:line="240" w:lineRule="auto"/>
        <w:ind w:left="0" w:right="0" w:firstLine="422" w:firstLineChars="200"/>
        <w:jc w:val="both"/>
      </w:pPr>
      <w:bookmarkStart w:id="55" w:name="二级标题序号_12"/>
      <w:bookmarkStart w:id="56" w:name="二级标题_18"/>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（二）</w:t>
      </w:r>
      <w:bookmarkEnd w:id="55"/>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代理归责说的控制前提瓦解</w:t>
      </w:r>
      <w:bookmarkEnd w:id="56"/>
    </w:p>
    <w:p w14:paraId="03D184EE">
      <w:pPr>
        <w:pStyle w:val="52"/>
        <w:spacing w:before="0" w:after="0" w:line="240" w:lineRule="auto"/>
        <w:ind w:left="0" w:right="0" w:firstLine="440" w:firstLineChars="200"/>
        <w:jc w:val="both"/>
      </w:pPr>
      <w:bookmarkStart w:id="57" w:name="正文段落_怀疑_25"/>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主张类推适用委托代理规则的观点将智能体视为用户的代理人，要求用户作为被代理人对智能体的行为承担责任，这一思路虽契合智能体”代用户实施行为”的外观特征，却忽视了代理规则的归责前提。《民法典》第161条至第175条确立的委托代理制度以被代理人对代理人的”选任—指示—监督”控制权为核心归责基础：被代理人之所以对代理人在授权范围内的行为后果承担责任，是因为代理人行为本质上是被代理人意志的延伸，被代理人可以通过选任合格的代理人、在授权时设定明确的指示、在履行中实施必要的监督来控制代理行为的方向与边界</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29" w:customMarkFollows="1"/>
        <w:t>㉙</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智能体场景下，“目标-手段”分离的技术架构意味着手段选择权从用户转移至智能体，用户根本无法控制智能体的具体行为路径。若要求用户对自身无法控制、无法预见的越权行为承担被代理人责任，显然违背了《民法典》第1165条过错责任原则所确立的”过错与责任相匹配”的基本归责原则。从功能主义视角审视，代理制度的规范目的不仅仅在于风险分配，更在于通过”本人控制—本人负责”的激励机制促使被代理人审慎选任和有效监督代理人。当用户对智能体行为失去实质性控制时，让用户承担被代理人责任不仅无法产生任何正向激励（因为用户无从增加控制），反而会抑制用户对智能体技术的采用—即使该技术在整体上为社会创造净收益</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0" w:customMarkFollows="1"/>
        <w:t>㉚</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w:t>
      </w:r>
      <w:bookmarkEnd w:id="57"/>
    </w:p>
    <w:p w14:paraId="0AAC4B6A">
      <w:pPr>
        <w:pStyle w:val="52"/>
        <w:spacing w:before="0" w:after="0" w:line="240" w:lineRule="auto"/>
        <w:ind w:left="0" w:right="0" w:firstLine="440" w:firstLineChars="200"/>
        <w:jc w:val="both"/>
      </w:pPr>
      <w:bookmarkStart w:id="58" w:name="正文段落_怀疑_26"/>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用户可通过选择声誉良好的开发者间接控制风险”的可能质疑，应予回应的是：代理法上的”选任”要求被代理人对代理人的能力与品行具有实质性判断能力，而普通用户根本不具备独立评估模型安全特性的技术能力—用户对开发者的”选择”本质上是一种基于品牌声誉的市场选择行为，而非代理法意义上的选任行为，无法替代代理制度所要求的控制关系。更深一层来看，即便承认”选任”本身可以部分替代控制功能，代理制度对”选任”的质量也提出了超出普通市场选择的实质性要求—被代理人须对代理人的专业能力形成合理的信赖基础。在智能体场景中，普通用户不仅无法评估模型安全特性，甚至无法理解概率性推理的基本原理，其”选择”建立在信息真空之上，不满足代理法上”选任”的最低标准。因此，委托代理规则在智能体场景中的适用前提已被技术架构所瓦解。</w:t>
      </w:r>
      <w:bookmarkEnd w:id="58"/>
    </w:p>
    <w:p w14:paraId="6B70CC51">
      <w:pPr>
        <w:pStyle w:val="54"/>
        <w:keepNext/>
        <w:spacing w:before="0" w:after="0" w:line="240" w:lineRule="auto"/>
        <w:ind w:left="0" w:right="0" w:firstLine="422" w:firstLineChars="200"/>
        <w:jc w:val="both"/>
      </w:pPr>
      <w:bookmarkStart w:id="59" w:name="二级标题序号_13"/>
      <w:bookmarkStart w:id="60" w:name="二级标题_20"/>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（三）</w:t>
      </w:r>
      <w:bookmarkEnd w:id="59"/>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高度危险责任说的制度效果悖反</w:t>
      </w:r>
      <w:bookmarkEnd w:id="60"/>
    </w:p>
    <w:p w14:paraId="4E98DB76">
      <w:pPr>
        <w:pStyle w:val="52"/>
        <w:spacing w:before="0" w:after="0" w:line="240" w:lineRule="auto"/>
        <w:ind w:left="0" w:right="0" w:firstLine="440" w:firstLineChars="200"/>
        <w:jc w:val="both"/>
      </w:pPr>
      <w:bookmarkStart w:id="61" w:name="正文段落_怀疑_27"/>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主张引入高度危险责任的观点认识到智能体行为可能造成难以预见的损害，试图以严格责任回应风险规制的紧迫需求。但高度危险责任在我国侵权法体系中属于严格限定适用的特殊归责类型，《民法典》第1236条将其适用限定于”高度危险作业”，第1237条至第1240条进一步将适用范围限定于民用核设施、民用航空器、易燃易爆物质、高空高压作业等具体类型，第1241条至第1243条则将饲养动物、建筑物倒塌等纳入特别规定。立法之所以采取严格的限定立场，是因为高度危险责任的适用会产生抑制社会效用的效果—若对具备重大社会价值但伴随固有风险的活动施加严格责任，活动主体可能因无法承受潜在责任成本而放弃活动参与，最终损害社会整体利益</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1" w:customMarkFollows="1"/>
        <w:t>㉛</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民法典》第1236条的规范目的是在”填补损害”与”保障社会效用”之间寻求平衡，其限定列举的方式本身即为立法者的价值判断：只有那些”即使尽到高度注意仍无法完全避免危险”且”社会效用相对有限”的活动，才适合纳入严格责任范畴。大语言模型驱动的智能体在社会信息处理、知识服务、自动化操作等领域展现出显著的社会效用，对其施加高度危险责任等同于在法律层面要求开发者承担无法通过事前合规确定免除的无限责任，实质上架空了技术创新所需的制度激励，与立法者限定高度危险责任适用范围的规范目的相悖。</w:t>
      </w:r>
      <w:bookmarkEnd w:id="61"/>
    </w:p>
    <w:p w14:paraId="0634579B">
      <w:pPr>
        <w:pStyle w:val="52"/>
        <w:spacing w:before="0" w:after="0" w:line="240" w:lineRule="auto"/>
        <w:ind w:left="0" w:right="0" w:firstLine="440" w:firstLineChars="200"/>
        <w:jc w:val="both"/>
      </w:pPr>
      <w:bookmarkStart w:id="62" w:name="正文段落_怀疑_28"/>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可将智能体致害解释为第1239条’易燃易爆等高度危险物’中的’等’字所包含的新类型危险物”的可能解释，应予回应的是：法律解释中的”等”字不能无限扩张，其解释空间受限于同类解释规则—第1239条列举的危险物（易燃、易爆、剧毒、高放射性、强腐蚀性）均具有”物质固有危险属性”且”危险源的封闭性控制”两个特征，而智能体的行为安全风险并不附着于物质层面的固有属性，也不存在类似”密封容器”的封闭性控制手段，将其纳入高度危险物范畴将突破同类解释规则的边界</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2" w:customMarkFollows="1"/>
        <w:t>㉜</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此外可能面临的更深层质疑—即便高度危险责任不能直接适用，是否可以通过类推适用其归责原则来回应智能体致害的特殊风险—应予回应的是：高度危险责任的归责原则（无过错责任）与安全保障义务的归责原则（过错推定）在规范功能上存在根本差异，前者以”活动本身具有高度危险”为归责理由，后者以”义务人未尽到合理注意”为归责理由。选择前者意味着法律认定智能体技术本身具有”不可允许的危险性”，这不仅与《民法典》第1236条至第1240条所体现的”对高社会效用活动不轻易施加严格责任”的立法政策相冲突，也与当前国家层面推动人工智能产业发展的公共政策方向相悖。因此，高度危险责任方案既与现行法的规范结构相冲突，也可能产生抑制创新的负面制度效果，不是解决智能体行为安全责任问题的妥当路径。</w:t>
      </w:r>
      <w:bookmarkEnd w:id="62"/>
    </w:p>
    <w:p w14:paraId="00E397AA">
      <w:pPr>
        <w:pStyle w:val="53"/>
        <w:keepNext/>
        <w:spacing w:before="100" w:after="100" w:line="240" w:lineRule="auto"/>
        <w:ind w:left="0" w:right="0" w:firstLine="0"/>
        <w:jc w:val="center"/>
      </w:pPr>
      <w:bookmarkStart w:id="63" w:name="一级标题序号_14"/>
      <w:bookmarkStart w:id="64" w:name="一级标题_10"/>
      <w:bookmarkStart w:id="65" w:name="_Toc256000004"/>
      <w:r>
        <w:rPr>
          <w:rStyle w:val="8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0"/>
          <w:position w:val="0"/>
          <w:sz w:val="28"/>
          <w:szCs w:val="20"/>
          <w:highlight w:val="none"/>
          <w:u w:val="none" w:color="auto"/>
          <w:vertAlign w:val="baseline"/>
          <w:rtl w:val="0"/>
          <w:cs w:val="0"/>
        </w:rPr>
        <w:t>四、</w:t>
      </w:r>
      <w:bookmarkEnd w:id="63"/>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8"/>
          <w:szCs w:val="24"/>
          <w:highlight w:val="none"/>
          <w:u w:val="none" w:color="auto"/>
          <w:vertAlign w:val="baseline"/>
          <w:rtl w:val="0"/>
          <w:cs w:val="0"/>
        </w:rPr>
        <w:t>分层义务配置的具体构造：从类推到教义学展开</w:t>
      </w:r>
      <w:bookmarkEnd w:id="64"/>
      <w:bookmarkEnd w:id="65"/>
    </w:p>
    <w:p w14:paraId="3EB5F27D">
      <w:pPr>
        <w:pStyle w:val="52"/>
        <w:spacing w:before="0" w:after="0" w:line="240" w:lineRule="auto"/>
        <w:ind w:left="0" w:right="0" w:firstLine="440" w:firstLineChars="200"/>
        <w:jc w:val="both"/>
      </w:pPr>
      <w:bookmarkStart w:id="66" w:name="正文段落_怀疑_29"/>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安全保障义务的类推适用在确立归责方向的规范性层面具有基础意义，但义务的具体内容无法通过类推本身自动生成，必须在控制能力原则的指引下展开教义学构造，形成可供司法裁判援引的具体化规则。《民法典》第1198条所确立的安全保障义务并非一个内涵固定的单一义务，而是一个框架性规范，其具体内容须结合风险的性质、程度、义务人的控制地位及社会一般观念予以确定</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3" w:customMarkFollows="1"/>
        <w:t>㉝</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将此框架性规范适用于智能体行为风险场景，需在”风险开启与维持—控制能力范围—义务具体化”的教义学链条上完成三层构造：第一层是义务内容的赋权（开发者和部署者分别承担何种具体义务），第二层是归责原则的构造（过错推定的双向可反驳机制），第三层是外部规范的衔接（事前监管与民事过错的制度沟通）。</w:t>
      </w:r>
      <w:bookmarkEnd w:id="66"/>
    </w:p>
    <w:p w14:paraId="6AF8E7F7">
      <w:pPr>
        <w:pStyle w:val="54"/>
        <w:keepNext/>
        <w:spacing w:before="0" w:after="0" w:line="240" w:lineRule="auto"/>
        <w:ind w:left="0" w:right="0" w:firstLine="422" w:firstLineChars="200"/>
        <w:jc w:val="both"/>
      </w:pPr>
      <w:bookmarkStart w:id="67" w:name="二级标题序号_15"/>
      <w:bookmarkStart w:id="68" w:name="二级标题_22"/>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（一）</w:t>
      </w:r>
      <w:bookmarkEnd w:id="67"/>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通用模型开发者的基础安全保障义务</w:t>
      </w:r>
      <w:bookmarkEnd w:id="68"/>
    </w:p>
    <w:p w14:paraId="32E7AD20">
      <w:pPr>
        <w:pStyle w:val="52"/>
        <w:spacing w:before="0" w:after="0" w:line="240" w:lineRule="auto"/>
        <w:ind w:left="0" w:right="0" w:firstLine="440" w:firstLineChars="200"/>
        <w:jc w:val="both"/>
      </w:pPr>
      <w:bookmarkStart w:id="69" w:name="正文段落_怀疑_30"/>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通用模型开发者通过训练和发布基础大模型，开启了可供下游开发者封装为各类智能体应用的虚拟交往空间。模型在预训练阶段习得的知识结构、在微调与对齐阶段嵌入的价值偏好、在推理阶段采行的概率采样策略，共同决定了智能体行为的基础风险水平。从技术控制能力视角审视，开发者对模型底座的安全性能拥有排他性的、不可替代的控制地位：训练数据的构成与过滤直接决定了模型可能习得的行为模式范围；基于人类反馈的强化学习（RLHF）或宪法AI等对齐技术，是现阶段抑制模型实施高风险行为的核心手段；模型的安全能力边界—即模型在何种条件下不会执行越权操作—是一个需要通过系统化安全测试才能获取的技术事实，部署者与用户不具备独立评估模型安全边界的技术条件。鉴于此，开发者的安全保障义务应当围绕其所控制的模型训练与对齐环节展开，具体包括以下三项内容。</w:t>
      </w:r>
      <w:bookmarkEnd w:id="69"/>
    </w:p>
    <w:p w14:paraId="4295EDDE">
      <w:pPr>
        <w:pStyle w:val="52"/>
        <w:spacing w:before="0" w:after="0" w:line="240" w:lineRule="auto"/>
        <w:ind w:left="0" w:right="0" w:firstLine="440" w:firstLineChars="200"/>
        <w:jc w:val="both"/>
      </w:pPr>
      <w:bookmarkStart w:id="70" w:name="正文段落_怀疑_31"/>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其一，价值对齐义务。要求开发者采取符合行业实践水平的对齐技术，确保模型在正常使用条件下不生成明显违法或有悖公序良俗的行为指令。这一义务并非要求模型在所有场景下绝对合规，而是要求开发者在模型训练中纳入基本的法律与道德约束，使模型拒绝执行明显违法的指令，同时将对齐方法的局限性通过透明度义务向市场披露。其二，安全训练义务。要求开发者在模型发布前进行充分的安全测试与红队测试，识别并阻断已知类型的高风险行为模式，测试范围应与模型的预期使用场景相匹配：面向通用领域的模型需要更广泛的测试覆盖，而面向特定垂直领域的模型则需针对该领域的特有风险开展专项测试</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4" w:customMarkFollows="1"/>
        <w:t>㉞</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其三，风险披露义务。要求开发者以清晰、可访问的方式向部署者与监管机构披露模型的安全能力边界，包括模型通过安全测试的具体范围与通过率、已知的对抗性攻击弱点、模型在不同风险等级场景下的行为表现数据，使下游部署者能够在充分了解模型安全特性的基础上评估场景适配性并配置适当的安全护栏。当开发者已履行上述三项义务时，模型在正常使用条件下表现出的概率性行为偏差即属于法秩序所允许的剩余风险范畴，开发者对此不承担安全保障义务违反的责任。</w:t>
      </w:r>
      <w:bookmarkEnd w:id="70"/>
    </w:p>
    <w:p w14:paraId="5643C7B2">
      <w:pPr>
        <w:pStyle w:val="52"/>
        <w:spacing w:before="0" w:after="0" w:line="240" w:lineRule="auto"/>
        <w:ind w:left="0" w:right="0" w:firstLine="440" w:firstLineChars="200"/>
        <w:jc w:val="both"/>
      </w:pPr>
      <w:bookmarkStart w:id="71" w:name="正文段落_怀疑_32"/>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对”三项义务内容缺乏明确的标准，可能导致义务形骸化”的批评，应予回应的是：安全保障义务本身就是框架性规范，其具体内容须结合行业实践和技术发展水平加以确定</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5" w:customMarkFollows="1"/>
        <w:t>㉟</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正如《民法典》第1198条对安全保障义务的具体内容未作穷尽列举，而是交由司法裁判根据个案情况加以具体化，开发者三项义务的具体标准同样应通过行业标准的形成和司法裁判的积累逐步确立，在产业发展初期不宜以过于严苛的标准要求开发者，否则将抵消类推适用本应为技术创新预留的制度空间。对上述三义务框架可能遭遇的另一项质疑—开发者义务的”合理性”标准在当前缺乏行业共识的前提下如何客观化—应予回应的是：注意义务的客观化在新技术领域通常经历”行业惯例形成→司法裁判确认→标准规范固化”的演进路径。开发者义务在当前阶段的”合理性”判断，应以”同类头部开发者在相同技术条件下的通行实践”为主要参照，并通过司法裁判在个案中逐步积累具体化规则。此种”自下而上”的客观化路径，与安全保障义务在物理空间场景中的演进历史完全一致，并非智能体场景特有的难题。</w:t>
      </w:r>
      <w:bookmarkEnd w:id="71"/>
    </w:p>
    <w:p w14:paraId="2320EED5">
      <w:pPr>
        <w:pStyle w:val="54"/>
        <w:keepNext/>
        <w:spacing w:before="0" w:after="0" w:line="240" w:lineRule="auto"/>
        <w:ind w:left="0" w:right="0" w:firstLine="422" w:firstLineChars="200"/>
        <w:jc w:val="both"/>
      </w:pPr>
      <w:bookmarkStart w:id="72" w:name="二级标题序号_16"/>
      <w:bookmarkStart w:id="73" w:name="二级标题_24"/>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（二）</w:t>
      </w:r>
      <w:bookmarkEnd w:id="72"/>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应用部署者的场景化安全保障义务</w:t>
      </w:r>
      <w:bookmarkEnd w:id="73"/>
    </w:p>
    <w:p w14:paraId="54DAFB51">
      <w:pPr>
        <w:pStyle w:val="52"/>
        <w:spacing w:before="0" w:after="0" w:line="240" w:lineRule="auto"/>
        <w:ind w:left="0" w:right="0" w:firstLine="440" w:firstLineChars="200"/>
        <w:jc w:val="both"/>
      </w:pPr>
      <w:bookmarkStart w:id="74" w:name="正文段落_怀疑_33"/>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应用部署者将通用模型封装为面向特定场景的智能体产品，其核心活动包括：设定智能体的行为目标体系与边界约束、配置智能体可调用的工具与外部接口、定义智能体在执行操作前需要获得人工确认的触发条件、确定运行日志的粒度与保存期限。与模型开发者控制的是模型底座的系统性能不同，部署者控制的是智能体在具体场景中的行为边界—同样的基础模型，在配置了严格操作约束的保险理赔智能体与配置了宽松策略的电商客服智能体中，行为模式与风险水平可能天差地别。因此，部署者的安全保障义务应以其在场景化配置环节的实际控制能力为边界，具体包括以下三项内容。</w:t>
      </w:r>
      <w:bookmarkEnd w:id="74"/>
    </w:p>
    <w:p w14:paraId="61E994A5">
      <w:pPr>
        <w:pStyle w:val="52"/>
        <w:spacing w:before="0" w:after="0" w:line="240" w:lineRule="auto"/>
        <w:ind w:left="0" w:right="0" w:firstLine="440" w:firstLineChars="200"/>
        <w:jc w:val="both"/>
      </w:pPr>
      <w:bookmarkStart w:id="75" w:name="正文段落_怀疑_34"/>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其一，行为边界设定义务。要求部署者结合产品应用场景的特征，对智能体的自主决策空间施加合理约束：对于涉及财产处分、合同缔约、个人信息处理等高风险操作的行为路径，应设置硬性禁止规则并由人工确认机制加以控制；对于低风险、重复性的执行任务，则允许智能体在预设范围内自主决策。义务的合理边界取决于场景的风险等级—面向金融、医疗等高风险领域的智能体需要比面向娱乐、信息查询等低风险领域的智能体施加更严格的约束，前者甚至需要引入分层授权机制，对不同敏感度的操作设定不同的人工确认门槛。其二，运行监控与应急处置义务。要求部署者建立智能体行为的运行监测机制，对异常行为模式进行实时识别与阻断，包括设置行为偏离阈值预警、对高频操作或大额交易的自动暂停、以及在发现越权行为时的紧急终止功能。其三，日志留存与可追溯义务。要求部署者完整记录智能体的决策过程与操作日志，确保在损害发生后能够追溯至具体的决策环节与行为路径，为后续的过错判断与责任认定提供事实基础。</w:t>
      </w:r>
      <w:bookmarkEnd w:id="75"/>
    </w:p>
    <w:p w14:paraId="54512A05">
      <w:pPr>
        <w:pStyle w:val="54"/>
        <w:keepNext/>
        <w:spacing w:before="0" w:after="0" w:line="240" w:lineRule="auto"/>
        <w:ind w:left="0" w:right="0" w:firstLine="422" w:firstLineChars="200"/>
        <w:jc w:val="both"/>
      </w:pPr>
      <w:bookmarkStart w:id="76" w:name="二级标题序号_17"/>
      <w:bookmarkStart w:id="77" w:name="二级标题_26"/>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（三）</w:t>
      </w:r>
      <w:bookmarkEnd w:id="76"/>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归责构造：双向可反驳的过错推定</w:t>
      </w:r>
      <w:bookmarkEnd w:id="77"/>
    </w:p>
    <w:p w14:paraId="01247AB6">
      <w:pPr>
        <w:pStyle w:val="52"/>
        <w:spacing w:before="0" w:after="0" w:line="240" w:lineRule="auto"/>
        <w:ind w:left="0" w:right="0" w:firstLine="440" w:firstLineChars="200"/>
        <w:jc w:val="both"/>
      </w:pPr>
      <w:bookmarkStart w:id="78" w:name="正文段落_怀疑_35"/>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义务内容的明确化只是完成了责任认定的前半程，归责层面的构造同等重要。在安全保障义务框架下，责任认定的核心争点并非”是否存在缺陷”，而是”义务人是否尽到了与其控制能力相匹配的合理注意义务”。围绕这一争点的举证责任分配，直接决定了归责框架的实际运行效果。对此，应当采用双向可反驳的过错推定规则，在保护受害人与激励技术创新之间取得平衡</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6" w:customMarkFollows="1"/>
        <w:t>㊱</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w:t>
      </w:r>
      <w:bookmarkEnd w:id="78"/>
    </w:p>
    <w:p w14:paraId="6A83B20A">
      <w:pPr>
        <w:pStyle w:val="52"/>
        <w:spacing w:before="0" w:after="0" w:line="240" w:lineRule="auto"/>
        <w:ind w:left="0" w:right="0" w:firstLine="440" w:firstLineChars="200"/>
        <w:jc w:val="both"/>
      </w:pPr>
      <w:bookmarkStart w:id="79" w:name="正文段落_怀疑_36"/>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过错推定的正当性建立在信息不对称的结构之上。智能体致害案件中的受害人通常无法接触模型训练数据、对齐技术细节、安全测试报告、运行日志等核心证据，若要求受害人举证证明义务人存在过失，实际上等于排除了受害人获得救济的可能性。将违反安全保障义务的证明责任倒置于义务人一方，要求义务人就其已尽到合理注意义务承担举证责任，是矫正信息不对称格局的制度回应。但过错推定不应成为变相的严格责任。义务人可通过举证证明以下事项推翻过错推定：在开发者侧，可举证证明其已采取符合行业合理实践的价值对齐措施、已完成与模型使用场景相匹配的安全测试、已向部署者充分披露模型的安全能力边界；在部署者侧，可举证证明其已根据场景风险等级设定了合理的行为边界约束、已建立有效的运行监控与应急处置机制、已完整留存运行日志。若义务人能够证明上述事项，即可推定其已尽到合理注意义务，受害人须另行举证证明义务人存在具体过失。这一双向可反驳机制的核心价值在于，它将”合理注意义务”的判断标准客观化为行业实践、技术标准与信息披露等可验证因素，使义务人能够通过事前合规行为获得责任的可预期性，从而消除无限责任的寒蝉效应。可能面临的一项质疑在于：过错推定是否会使义务人负担过重，迫使其投入过度资源到安全合规中，最终抬高智能体产品的市场准入门槛、抑制中小企业的创新参与？这一质疑值得认真对待，但双向可反驳机制的设计恰恰回应了这一担忧：义务人只需证明其采取了”符合行业合理实践”的措施即可推翻推定，而非要求其达到”绝对安全”的不可实现标准。所谓”行业合理实践”以同类型头部企业在相似技术条件下的通行做法为参照，不会要求中小开发者承担与大企业同等的安全投入。随着行业标准的逐步形成和安全测试工具的市场化供给，中小开发者的合规成本将进一步降低。</w:t>
      </w:r>
      <w:bookmarkEnd w:id="79"/>
    </w:p>
    <w:p w14:paraId="3E3261A4">
      <w:pPr>
        <w:pStyle w:val="52"/>
        <w:spacing w:before="0" w:after="0" w:line="240" w:lineRule="auto"/>
        <w:ind w:left="0" w:right="0" w:firstLine="440" w:firstLineChars="200"/>
        <w:jc w:val="both"/>
      </w:pPr>
      <w:bookmarkStart w:id="80" w:name="正文段落_怀疑_37"/>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对于”过错推定在安全保障义务领域缺乏直接规范依据”的质疑，应予回应的是：过错推定并非仅在法律明文规定的情形下适用。最高人民法院《关于民事诉讼证据的若干规定》第7条明确授权法院在”法律没有具体规定，依本规定及其他司法解释无法确定举证责任承担”时，可以根据”公平原则和诚实信用原则，综合当事人举证能力等因素”确定举证责任的分配</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7" w:customMarkFollows="1"/>
        <w:t>㊲</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智能体致害案件中受害人与义务人之间结构性的信息不对称，完全满足该条所要求的”公平原则”和”举证能力差异”要件，法院据此将举证责任倒置于义务人一方，并非突破法定举证责任分配规则的变通，而是现行民事诉讼法框架内已有充分规范依据的操作。</w:t>
      </w:r>
      <w:bookmarkEnd w:id="80"/>
    </w:p>
    <w:p w14:paraId="0D8F1789">
      <w:pPr>
        <w:pStyle w:val="54"/>
        <w:keepNext/>
        <w:spacing w:before="0" w:after="0" w:line="240" w:lineRule="auto"/>
        <w:ind w:left="0" w:right="0" w:firstLine="422" w:firstLineChars="200"/>
        <w:jc w:val="both"/>
      </w:pPr>
      <w:bookmarkStart w:id="81" w:name="二级标题序号_18"/>
      <w:bookmarkStart w:id="82" w:name="二级标题_28"/>
      <w:r>
        <w:rPr>
          <w:rStyle w:val="98"/>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1"/>
          <w:szCs w:val="20"/>
          <w:highlight w:val="none"/>
          <w:u w:val="none" w:color="auto"/>
          <w:vertAlign w:val="baseline"/>
          <w:rtl w:val="0"/>
          <w:cs w:val="0"/>
        </w:rPr>
        <w:t>（四）</w:t>
      </w:r>
      <w:bookmarkEnd w:id="81"/>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事前合规与过错判断的制度衔接：参照因素模式</w:t>
      </w:r>
      <w:bookmarkEnd w:id="82"/>
    </w:p>
    <w:p w14:paraId="5FCA91C3">
      <w:pPr>
        <w:pStyle w:val="52"/>
        <w:spacing w:before="0" w:after="0" w:line="240" w:lineRule="auto"/>
        <w:ind w:left="0" w:right="0" w:firstLine="440" w:firstLineChars="200"/>
        <w:jc w:val="both"/>
      </w:pPr>
      <w:bookmarkStart w:id="83" w:name="正文段落_怀疑_38"/>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分层安全保障义务框架与过错推定规则的结合，在制度功能层面填补了事前行政监管与事后民事归责之间的结构性断裂</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8" w:customMarkFollows="1"/>
        <w:t>㊳</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现行《生成式人工智能服务管理暂行办法》第4条、第13条对服务提供者课以算法备案、安全评估、用户保护等安全管理义务，但其法律后果止步于行政处罚，未就民事过错判断提供规范性参照。这导致实践中出现一种制度张力：服务提供者即使完全遵守了监管要求，在民事侵权诉讼中仍需从头面对过错判断的全部争点，监管合规与民事合规之间不存在任何制度性的沟通管道，既增加了司法成本，也削弱了事前合规的制度激励。</w:t>
      </w:r>
      <w:bookmarkEnd w:id="83"/>
    </w:p>
    <w:p w14:paraId="106C01DD">
      <w:pPr>
        <w:pStyle w:val="52"/>
        <w:spacing w:before="0" w:after="0" w:line="240" w:lineRule="auto"/>
        <w:ind w:left="0" w:right="0" w:firstLine="440" w:firstLineChars="200"/>
        <w:jc w:val="both"/>
      </w:pPr>
      <w:bookmarkStart w:id="84" w:name="正文段落_怀疑_39"/>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分层安全保障义务框架为弥合这一断裂提供了教义学路径。刘文杰教授在研究网络平台安全保障义务时指出，“交往安全义务的规范优势在于其开放性—它不仅为民事过错的判断提供框架，还为行政监管标准的引入预留了规范通道”</w:t>
      </w:r>
      <w:r>
        <w:rPr>
          <w:rStyle w:val="29"/>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superscript"/>
          <w:rtl w:val="0"/>
          <w:cs w:val="0"/>
        </w:rPr>
        <w:footnoteReference w:id="39" w:customMarkFollows="1"/>
        <w:t>㊴</w:t>
      </w:r>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本处之所以选择《民法典》第1198条安全保障义务作为衔接行政监管与民事归责的教义学基础，是因为第1198条所确立的注意义务标准具有参照规范多元性的结构特征—法院在判断安全保障义务人是否尽到合理注意义务时，须结合法律、行政法规、行业标准、技术规范等规范性文件加以综合判断，这为行政监管标准进入民事过错判断提供了现成的规范通道。在可供选择的衔接方案中，存在三种制度模式。“绝对免责”模式（合规即豁免民事责任）虽能最大程度激励事前合规，但会将注意义务标准完全交由行政监管决定，架空民事责任的独立性；“完全脱钩”模式（合规与民事过错判断无任何关联）虽维护了民事责任的独立判断空间，但会实质性削弱事前合规的制度激励。本处选择的”参照因素”模式能够在”激励事前合规”与”维护民事责任独立性”之间取得最佳平衡：它赋予监管合规以可推翻的推定效力，既为义务人提供了通过事前合规获得责任可预期性的通道，又为法院保留了在个案中独立判断注意义务的最终裁量权。</w:t>
      </w:r>
      <w:bookmarkEnd w:id="84"/>
    </w:p>
    <w:p w14:paraId="5A94F5C1">
      <w:pPr>
        <w:pStyle w:val="52"/>
        <w:spacing w:before="0" w:after="0" w:line="240" w:lineRule="auto"/>
        <w:ind w:left="0" w:right="0" w:firstLine="440" w:firstLineChars="200"/>
        <w:jc w:val="both"/>
      </w:pPr>
      <w:bookmarkStart w:id="85" w:name="正文段落_怀疑_40"/>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依据这一模式，《生成式人工智能服务管理暂行办法》要求服务提供者履行算法备案、安全评估、用户保护等义务，这些义务的具体履行情况可以作为民事过错判断的重要参照因素：若义务人已按照监管要求完成算法备案并通过安全评估，推定其已履行了与之对应的安全保障义务，受害人主张义务人仍存在过失的，应当另行提出具体事由；反之，若义务人未完成监管要求的备案与评估，则可作为认定其未尽到合理注意义务的初步证据。但监管合规不宜被赋予绝对的免责效力，因为监管标准具有滞后性，技术实践可能已先于监管更新提出更高的安全要求。因此，监管合规作为过错判断的”参照因素”而非”法定抗辩事由”，在维护民事责任独立性的同时实现了事前监管与事后归责的制度协调。对此衔接方案可能遭遇的”参照因素是否会沦为形式合规的保护伞”的质疑，应予回应的是：该风险可以通过以下机制加以控制—首先，参照因素的可推翻性意味着受害人在监管合规之外仍可主张义务人存在具体过失；其次，法院在判断是否推翻推定时，可综合考察监管标准制定时的技术背景、监管当时的行业实践水平等因素，防止过低的监管标准成为义务人逃避责任的工具；最后，随着司法经验的积累和技术标准的演进，参照因素的权重和推翻推定的标准将逐渐客观化，不会长期停留在模糊状态。</w:t>
      </w:r>
      <w:bookmarkEnd w:id="85"/>
    </w:p>
    <w:p w14:paraId="3535EF33">
      <w:pPr>
        <w:pStyle w:val="53"/>
        <w:keepNext/>
        <w:spacing w:before="100" w:after="100" w:line="240" w:lineRule="auto"/>
        <w:ind w:left="0" w:right="0" w:firstLine="0"/>
        <w:jc w:val="center"/>
      </w:pPr>
      <w:bookmarkStart w:id="86" w:name="_Toc256000005"/>
      <w:bookmarkStart w:id="87" w:name="一级标题_12"/>
      <w:r>
        <w:rPr>
          <w:rStyle w:val="25"/>
          <w:rFonts w:ascii="Times New Roman" w:hAnsi="Times New Roman" w:eastAsia="黑体" w:cs="Times New Roman"/>
          <w:b/>
          <w:bCs w:val="0"/>
          <w:i w:val="0"/>
          <w:caps w:val="0"/>
          <w:smallCaps w:val="0"/>
          <w:strike w:val="0"/>
          <w:dstrike w:val="0"/>
          <w:outline w:val="0"/>
          <w:shadow w:val="0"/>
          <w:emboss w:val="0"/>
          <w:imprint w:val="0"/>
          <w:vanish w:val="0"/>
          <w:color w:val="auto"/>
          <w:spacing w:val="0"/>
          <w:w w:val="100"/>
          <w:kern w:val="2"/>
          <w:position w:val="0"/>
          <w:sz w:val="28"/>
          <w:szCs w:val="24"/>
          <w:highlight w:val="none"/>
          <w:u w:val="none" w:color="auto"/>
          <w:vertAlign w:val="baseline"/>
          <w:rtl w:val="0"/>
          <w:cs w:val="0"/>
        </w:rPr>
        <w:t>结论</w:t>
      </w:r>
      <w:bookmarkEnd w:id="86"/>
      <w:bookmarkEnd w:id="87"/>
    </w:p>
    <w:p w14:paraId="38E0B4A9">
      <w:pPr>
        <w:pStyle w:val="52"/>
        <w:spacing w:before="0" w:after="0" w:line="240" w:lineRule="auto"/>
        <w:ind w:left="0" w:right="0" w:firstLine="440" w:firstLineChars="200"/>
        <w:jc w:val="both"/>
      </w:pPr>
      <w:bookmarkStart w:id="88" w:name="正文段落_怀疑_41"/>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大语言模型驱动下的自主智能体通过概率性推理实现”目标—手段”分离，在释放显著技术效能的同时，也生成了传统侵权法规则体系无法妥适涵摄的行为安全风险。产品责任框架因危险存在形态的场景依赖性、危险判断基准的消费者合理期待失灵、危险归因链条的概率性断裂而丧失适用的前提性条件；委托代理规则因用户对被代理人无法实施有效控制而丧失归责正当性；高度危险责任因抑制技术创新的制度后果而与立法目的相悖。三种主流方案共同的教义学症结在于，均试图在既有规范类别中为智能体行为寻找现成的归责定位，而忽视了行为安全风险的规范独立品格。</w:t>
      </w:r>
      <w:bookmarkEnd w:id="88"/>
    </w:p>
    <w:p w14:paraId="5CC9403C">
      <w:pPr>
        <w:pStyle w:val="52"/>
        <w:spacing w:before="0" w:after="0" w:line="240" w:lineRule="auto"/>
        <w:ind w:left="0" w:right="0" w:firstLine="440" w:firstLineChars="200"/>
        <w:jc w:val="both"/>
      </w:pPr>
      <w:bookmarkStart w:id="89" w:name="正文段落_怀疑_42"/>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本文的核心贡献在于，论证了智能体行为安全风险与《民法典》第1198条安全保障义务在”风险开启—最低成本防免”的规范逻辑上具有同构性，可通过类推适用建立分层义务配置框架。通用模型开发者在其控制的模型训练与对齐环节承担基础安全保障义务，内容涵盖价值对齐、安全训练与风险披露；应用部署者在其控制的产品配置与运行环节承担场景化安全保障义务，内容涵盖行为边界设定、运行监控与应急处置、日志留存与可追溯。归责层面采用双向可反驳的过错推定规则，将行业实践、技术标准与信息披露等可验证因素作为”合理注意义务”的客观化判断参照，使义务人能够通过事前合规行为获得责任的可预期性。事前行政监管与民事过错判断之间通过”参照因素”机制实现制度衔接，为多元治理逻辑在侵权法领域的具体展开提供了教义学路径。</w:t>
      </w:r>
      <w:bookmarkEnd w:id="89"/>
    </w:p>
    <w:p w14:paraId="79FBB99C">
      <w:pPr>
        <w:pStyle w:val="52"/>
        <w:spacing w:before="0" w:after="0" w:line="240" w:lineRule="auto"/>
        <w:ind w:left="0" w:right="0" w:firstLine="440" w:firstLineChars="200"/>
        <w:jc w:val="both"/>
      </w:pPr>
      <w:bookmarkStart w:id="90" w:name="正文段落_怀疑_43"/>
      <w:r>
        <w:rPr>
          <w:rStyle w:val="25"/>
          <w:rFonts w:ascii="Times New Roman" w:hAnsi="Times New Roman" w:eastAsia="宋体" w:cs="Times New Roman"/>
          <w:b w:val="0"/>
          <w:bCs w:val="0"/>
          <w:i w:val="0"/>
          <w:caps w:val="0"/>
          <w:smallCaps w:val="0"/>
          <w:strike w:val="0"/>
          <w:dstrike w:val="0"/>
          <w:outline w:val="0"/>
          <w:shadow w:val="0"/>
          <w:emboss w:val="0"/>
          <w:imprint w:val="0"/>
          <w:vanish w:val="0"/>
          <w:color w:val="auto"/>
          <w:spacing w:val="0"/>
          <w:w w:val="100"/>
          <w:kern w:val="2"/>
          <w:position w:val="0"/>
          <w:sz w:val="22"/>
          <w:szCs w:val="24"/>
          <w:highlight w:val="none"/>
          <w:u w:val="none" w:color="auto"/>
          <w:vertAlign w:val="baseline"/>
          <w:rtl w:val="0"/>
          <w:cs w:val="0"/>
        </w:rPr>
        <w:t>分层安全保障义务框架的覆盖范围以义务人对风险的实际控制能力为边界，不会导致义务的无限泛化，但也并非智能体侵权责任问题的终局性解决方案。随着模型性能的提升与应用场景的扩展，特定领域内智能体行为的自主性水平可能超越现有类推框架的涵摄边界，届时需要立法层面的制度回应。在此之前，通过对《民法典》第1198条安全保障义务的教义学展开，为智能体行为安全风险提供兼具规范正当性与实践可操作性的归责方案，是司法裁判与学理研究均可依赖的稳妥路径。</w:t>
      </w:r>
      <w:bookmarkEnd w:id="90"/>
    </w:p>
    <w:p w14:paraId="6A8EF466">
      <w:pPr>
        <w:pStyle w:val="100"/>
        <w:pBdr>
          <w:top w:val="double" w:color="auto" w:sz="4" w:space="1"/>
          <w:bottom w:val="double" w:color="auto" w:sz="4" w:space="1"/>
        </w:pBdr>
        <w:ind w:firstLine="442"/>
        <w:sectPr>
          <w:footnotePr>
            <w:numFmt w:val="decimalEnclosedCircleChinese"/>
          </w:footnotePr>
          <w:endnotePr>
            <w:numFmt w:val="decimal"/>
          </w:endnotePr>
          <w:type w:val="continuous"/>
          <w:pgSz w:w="11906" w:h="16838"/>
          <w:pgMar w:top="1701" w:right="1134" w:bottom="1134" w:left="1134" w:header="992" w:footer="992" w:gutter="0"/>
          <w:cols w:space="720" w:num="1"/>
          <w:docGrid w:type="lines" w:linePitch="312" w:charSpace="0"/>
        </w:sectPr>
      </w:pPr>
      <w:bookmarkStart w:id="91" w:name="[（英）摘要]_1"/>
      <w:r>
        <w:rPr>
          <w:rStyle w:val="49"/>
        </w:rPr>
        <w:t>Abstract:</w:t>
      </w:r>
      <w:r>
        <w:rPr>
          <w:b/>
        </w:rPr>
        <w:t xml:space="preserve"> </w:t>
      </w:r>
      <w:bookmarkEnd w:id="91"/>
    </w:p>
    <w:p w14:paraId="420E0ABA"/>
    <w:sectPr>
      <w:footnotePr>
        <w:numFmt w:val="decimalEnclosedCircleChinese"/>
      </w:footnotePr>
      <w:endnotePr>
        <w:numFmt w:val="decimal"/>
      </w:endnotePr>
      <w:type w:val="continuous"/>
      <w:pgSz w:w="11906" w:h="16838"/>
      <w:pgMar w:top="1701" w:right="1134" w:bottom="1134" w:left="1134" w:header="992" w:footer="992" w:gutter="0"/>
      <w:cols w:space="720" w:num="1"/>
      <w:titlePg/>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37">
      <wne:acd wne:acdName="acd6"/>
    </wne:keymap>
    <wne:keymap wne:kcmPrimary="0438">
      <wne:acd wne:acdName="acd7"/>
    </wne:keymap>
    <wne:keymap wne:kcmPrimary="0442">
      <wne:acd wne:acdName="acd8"/>
    </wne:keymap>
    <wne:keymap wne:kcmPrimary="0447">
      <wne:acd wne:acdName="acd9"/>
    </wne:keymap>
    <wne:keymap wne:kcmPrimary="044A">
      <wne:acd wne:acdName="acd10"/>
    </wne:keymap>
    <wne:keymap wne:kcmPrimary="0450">
      <wne:acd wne:acdName="acd11"/>
    </wne:keymap>
    <wne:keymap wne:kcmPrimary="0452">
      <wne:acd wne:acdName="acd12"/>
    </wne:keymap>
    <wne:keymap wne:kcmPrimary="045A">
      <wne:acd wne:acdName="acd13"/>
    </wne:keymap>
    <wne:keymap wne:kcmPrimary="0542">
      <wne:acd wne:acdName="acd14"/>
    </wne:keymap>
    <wne:keymap wne:kcmPrimary="0547">
      <wne:acd wne:acdName="acd15"/>
    </wne:keymap>
    <wne:keymap wne:kcmPrimary="0550">
      <wne:acd wne:acdName="acd16"/>
    </wne:keymap>
    <wne:keymap wne:kcmPrimary="0634">
      <wne:acd wne:acdName="acd17"/>
    </wne:keymap>
    <wne:keymap wne:kcmPrimary="0635">
      <wne:acd wne:acdName="acd18"/>
    </wne:keymap>
    <wne:keymap wne:kcmPrimary="0636">
      <wne:acd wne:acdName="acd19"/>
    </wne:keymap>
    <wne:keymap wne:kcmPrimary="0637">
      <wne:acd wne:acdName="acd20"/>
    </wne:keymap>
    <wne:keymap wne:kcmPrimary="0638">
      <wne:acd wne:acdName="acd21"/>
    </wne:keymap>
    <wne:keymap wne:kcmPrimary="0642">
      <wne:acd wne:acdName="acd22"/>
    </wne:keymap>
    <wne:keymap wne:kcmPrimary="0647">
      <wne:acd wne:acdName="acd23"/>
    </wne:keymap>
    <wne:keymap wne:kcmPrimary="064A">
      <wne:acd wne:acdName="acd24"/>
    </wne:keymap>
    <wne:keymap wne:kcmPrimary="0650">
      <wne:acd wne:acdName="acd25"/>
    </wne:keymap>
  </wne:keymaps>
  <wne:acds>
    <wne:acd wne:argValue="AgAATqd+B2iYmDdoD18=" wne:acdName="acd0" wne:fciIndexBasedOn="0065"/>
    <wne:acd wne:argValue="AgCMTqd+B2iYmDdoD18=" wne:acdName="acd1" wne:fciIndexBasedOn="0065"/>
    <wne:acd wne:argValue="AgAJTqd+B2iYmDdoD18=" wne:acdName="acd2" wne:fciIndexBasedOn="0065"/>
    <wne:acd wne:argValue="AgAI/y1OCf8HaJiYN2gPXw==" wne:acdName="acd3" wne:fciIndexBasedOn="0065"/>
    <wne:acd wne:argValue="AgAI/y1OCf9cTwWA01kNVDdoD18=" wne:acdName="acd4" wne:fciIndexBasedOn="0065"/>
    <wne:acd wne:argValue="AgAI/y1OCf9cTwWAVVNNTzdoD18=" wne:acdName="acd5" wne:fciIndexBasedOn="0065"/>
    <wne:acd wne:argValue="AgAI/y1OCf9YZIGJN2gPXw==" wne:acdName="acd6" wne:fciIndexBasedOn="0065"/>
    <wne:acd wne:argValue="AgAI/y1OCf9zUS6VzYs3aA9f" wne:acdName="acd7" wne:fciIndexBasedOn="0065"/>
    <wne:acd wne:argValue="AgBoiDxoN2gPXw==" wne:acdName="acd8" wne:fciIndexBasedOn="0065"/>
    <wne:acd wne:argValue="AgBsUQ9fN2gPXw==" wne:acdName="acd9" wne:fciIndexBasedOn="0065"/>
    <wne:acd wne:argValue="AgAI/y1OCf/+VuhsN2gPXw==" wne:acdName="acd10" wne:fciIndexBasedOn="0065"/>
    <wne:acd wne:argValue="AgD+VjdoD18=" wne:acdName="acd11" wne:fciIndexBasedOn="0065"/>
    <wne:acd wne:argValue="AgDCUwOAh2Uuc4VRuVs3aA9f" wne:acdName="acd12" wne:fciIndexBasedOn="0065"/>
    <wne:acd wne:argValue="AgBja4dlN2gPXw==" wne:acdName="acd13" wne:fciIndexBasedOn="0065"/>
    <wne:acd wne:argValue="AgAI/y1OCf9oiJiYN2gPXw==" wne:acdName="acd14" wne:fciIndexBasedOn="0065"/>
    <wne:acd wne:argValue="AgAI/y1OCf9oiOhsN2gPXw==" wne:acdName="acd15" wne:fciIndexBasedOn="0065"/>
    <wne:acd wne:argValue="AgAI/y1OCf/+VpiYN2gPXw==" wne:acdName="acd16" wne:fciIndexBasedOn="0065"/>
    <wne:acd wne:argValue="AgAI//GCCf8HaJiYN2gPXw==" wne:acdName="acd17" wne:fciIndexBasedOn="0065"/>
    <wne:acd wne:argValue="AgAI//GCCf9cTwWA01kNVDdoD18=" wne:acdName="acd18" wne:fciIndexBasedOn="0065"/>
    <wne:acd wne:argValue="AgAI//GCCf9cTwWAVVNNTzdoD18=" wne:acdName="acd19" wne:fciIndexBasedOn="0065"/>
    <wne:acd wne:argValue="AgAI//GCCf9YZIGJN2gPXw==" wne:acdName="acd20" wne:fciIndexBasedOn="0065"/>
    <wne:acd wne:argValue="AgAI//GCCf9zUS6VzYs3aA9f" wne:acdName="acd21" wne:fciIndexBasedOn="0065"/>
    <wne:acd wne:argValue="AgAI//GCCf9oiJiYN2gPXw==" wne:acdName="acd22" wne:fciIndexBasedOn="0065"/>
    <wne:acd wne:argValue="AgAI//GCCf9oiOhsN2gPXw==" wne:acdName="acd23" wne:fciIndexBasedOn="0065"/>
    <wne:acd wne:argValue="AgAI//GCCf/+VuhsN2gPXw==" wne:acdName="acd24" wne:fciIndexBasedOn="0065"/>
    <wne:acd wne:argValue="AgAI//GCCf/+VpiYN2gPXw==" wne:acdName="acd25"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方正楷体_GBK">
    <w:panose1 w:val="02000000000000000000"/>
    <w:charset w:val="86"/>
    <w:family w:val="script"/>
    <w:pitch w:val="default"/>
    <w:sig w:usb0="800002BF" w:usb1="38CF7CFA" w:usb2="00000016"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657AA">
    <w:pPr>
      <w:pStyle w:val="12"/>
      <w:jc w:val="right"/>
      <w:rPr>
        <w:rStyle w:val="26"/>
      </w:rPr>
    </w:pPr>
    <w:r>
      <w:rPr>
        <w:rStyle w:val="26"/>
      </w:rPr>
      <w:fldChar w:fldCharType="begin"/>
    </w:r>
    <w:r>
      <w:rPr>
        <w:rStyle w:val="26"/>
      </w:rPr>
      <w:instrText xml:space="preserve"> PAGE </w:instrText>
    </w:r>
    <w:r>
      <w:rPr>
        <w:rStyle w:val="26"/>
      </w:rPr>
      <w:fldChar w:fldCharType="separate"/>
    </w:r>
    <w:r>
      <w:rPr>
        <w:rStyle w:val="26"/>
      </w:rPr>
      <w:t>15</w:t>
    </w:r>
    <w:r>
      <w:rPr>
        <w:rStyle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BF5C8">
    <w:pPr>
      <w:pStyle w:val="12"/>
      <w:rPr>
        <w:rStyle w:val="26"/>
      </w:rPr>
    </w:pPr>
    <w:r>
      <w:rPr>
        <w:rStyle w:val="26"/>
      </w:rPr>
      <w:fldChar w:fldCharType="begin"/>
    </w:r>
    <w:r>
      <w:rPr>
        <w:rStyle w:val="26"/>
      </w:rPr>
      <w:instrText xml:space="preserve"> PAGE </w:instrText>
    </w:r>
    <w:r>
      <w:rPr>
        <w:rStyle w:val="26"/>
      </w:rPr>
      <w:fldChar w:fldCharType="separate"/>
    </w:r>
    <w:r>
      <w:rPr>
        <w:rStyle w:val="26"/>
      </w:rPr>
      <w:t>14</w:t>
    </w:r>
    <w:r>
      <w:rPr>
        <w:rStyle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7D158">
    <w:pPr>
      <w:pStyle w:val="12"/>
      <w:jc w:val="right"/>
      <w:rPr>
        <w:rStyle w:val="26"/>
      </w:rPr>
    </w:pPr>
    <w:r>
      <w:rPr>
        <w:rStyle w:val="26"/>
      </w:rPr>
      <w:fldChar w:fldCharType="begin"/>
    </w:r>
    <w:r>
      <w:rPr>
        <w:rStyle w:val="26"/>
      </w:rPr>
      <w:instrText xml:space="preserve"> PAGE </w:instrText>
    </w:r>
    <w:r>
      <w:rPr>
        <w:rStyle w:val="26"/>
      </w:rPr>
      <w:fldChar w:fldCharType="separate"/>
    </w:r>
    <w:r>
      <w:rPr>
        <w:rStyle w:val="26"/>
      </w:rPr>
      <w:t>2</w:t>
    </w:r>
    <w:r>
      <w:rPr>
        <w:rStyle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0">
    <w:p>
      <w:r>
        <w:separator/>
      </w:r>
    </w:p>
  </w:footnote>
  <w:footnote w:type="continuationSeparator" w:id="81">
    <w:p>
      <w:r>
        <w:continuationSeparator/>
      </w:r>
    </w:p>
  </w:footnote>
  <w:footnote w:id="0">
    <w:p w14:paraId="142CB48E">
      <w:pPr>
        <w:pStyle w:val="12"/>
        <w:tabs>
          <w:tab w:val="clear" w:pos="4153"/>
          <w:tab w:val="clear" w:pos="8306"/>
        </w:tabs>
        <w:ind w:left="180" w:hanging="180" w:hangingChars="100"/>
      </w:pPr>
      <w:bookmarkStart w:id="92" w:name="[（中）基金项目]_1"/>
      <w:r>
        <w:rPr>
          <w:rStyle w:val="29"/>
          <w:sz w:val="18"/>
        </w:rPr>
        <w:t>*</w:t>
      </w:r>
      <w:r>
        <w:rPr>
          <w:szCs w:val="15"/>
        </w:rPr>
        <w:t xml:space="preserve"> </w:t>
      </w:r>
      <w:bookmarkEnd w:id="92"/>
    </w:p>
  </w:footnote>
  <w:footnote w:id="1">
    <w:p w14:paraId="3B5021FE">
      <w:pPr>
        <w:pStyle w:val="16"/>
        <w:spacing w:before="0" w:after="200" w:line="240" w:lineRule="auto"/>
        <w:ind w:left="0" w:right="0" w:firstLine="0"/>
        <w:jc w:val="left"/>
      </w:pPr>
      <w:bookmarkStart w:id="93" w:name="脚注_怀疑_2"/>
      <w:r>
        <w:rPr>
          <w:rFonts w:ascii="Times New Roman" w:hAnsi="Times New Roman" w:eastAsia="Times New Roman" w:cs="Times New Roman"/>
          <w:i w:val="0"/>
          <w:vanish w:val="0"/>
          <w:color w:val="auto"/>
          <w:sz w:val="15"/>
          <w:vertAlign w:val="superscript"/>
        </w:rPr>
        <w:t>①</w:t>
      </w:r>
      <w:r>
        <w:t xml:space="preserve"> </w:t>
      </w:r>
      <w:r>
        <w:rPr>
          <w:rFonts w:hint="eastAsia"/>
        </w:rPr>
        <w:t>许可：《人工智能的侵权责任：在理想与现实之间》，《东方法学》2023年第1期，第112-125页。</w:t>
      </w:r>
      <w:bookmarkEnd w:id="93"/>
    </w:p>
  </w:footnote>
  <w:footnote w:id="2">
    <w:p w14:paraId="4DE26324">
      <w:pPr>
        <w:pStyle w:val="16"/>
        <w:spacing w:before="0" w:after="200" w:line="240" w:lineRule="auto"/>
        <w:ind w:left="0" w:right="0" w:firstLine="0"/>
        <w:jc w:val="left"/>
      </w:pPr>
      <w:bookmarkStart w:id="94" w:name="脚注_怀疑_4"/>
      <w:r>
        <w:rPr>
          <w:rFonts w:ascii="Times New Roman" w:hAnsi="Times New Roman" w:eastAsia="Times New Roman" w:cs="Times New Roman"/>
          <w:i w:val="0"/>
          <w:vanish w:val="0"/>
          <w:color w:val="auto"/>
          <w:sz w:val="15"/>
          <w:vertAlign w:val="superscript"/>
        </w:rPr>
        <w:t>②</w:t>
      </w:r>
      <w:r>
        <w:t xml:space="preserve"> </w:t>
      </w:r>
      <w:r>
        <w:rPr>
          <w:rFonts w:hint="eastAsia"/>
        </w:rPr>
        <w:t>程啸：《侵权责任法》（第4版），法律出版社2024年版，第387-392页。</w:t>
      </w:r>
      <w:bookmarkEnd w:id="94"/>
    </w:p>
  </w:footnote>
  <w:footnote w:id="3">
    <w:p w14:paraId="4CA1B411">
      <w:pPr>
        <w:pStyle w:val="16"/>
        <w:spacing w:before="0" w:after="200" w:line="240" w:lineRule="auto"/>
        <w:ind w:left="0" w:right="0" w:firstLine="0"/>
        <w:jc w:val="left"/>
      </w:pPr>
      <w:bookmarkStart w:id="95" w:name="脚注_怀疑_6"/>
      <w:r>
        <w:rPr>
          <w:rFonts w:ascii="Times New Roman" w:hAnsi="Times New Roman" w:eastAsia="Times New Roman" w:cs="Times New Roman"/>
          <w:i w:val="0"/>
          <w:vanish w:val="0"/>
          <w:color w:val="auto"/>
          <w:sz w:val="15"/>
          <w:vertAlign w:val="superscript"/>
        </w:rPr>
        <w:t>③</w:t>
      </w:r>
      <w:r>
        <w:t xml:space="preserve"> </w:t>
      </w:r>
      <w:r>
        <w:rPr>
          <w:rFonts w:hint="eastAsia"/>
        </w:rPr>
        <w:t>张新宝：《中国民法典释评·侵权责任编》，中国人民大学出版社2020年版，第75-82页。</w:t>
      </w:r>
      <w:bookmarkEnd w:id="95"/>
    </w:p>
  </w:footnote>
  <w:footnote w:id="4">
    <w:p w14:paraId="691EE081">
      <w:pPr>
        <w:pStyle w:val="16"/>
        <w:spacing w:before="0" w:after="200" w:line="240" w:lineRule="auto"/>
        <w:ind w:left="0" w:right="0" w:firstLine="0"/>
        <w:jc w:val="left"/>
      </w:pPr>
      <w:bookmarkStart w:id="96" w:name="脚注_怀疑_8"/>
      <w:r>
        <w:rPr>
          <w:rFonts w:ascii="Times New Roman" w:hAnsi="Times New Roman" w:eastAsia="Times New Roman" w:cs="Times New Roman"/>
          <w:i w:val="0"/>
          <w:vanish w:val="0"/>
          <w:color w:val="auto"/>
          <w:sz w:val="15"/>
          <w:vertAlign w:val="superscript"/>
        </w:rPr>
        <w:t>④</w:t>
      </w:r>
      <w:r>
        <w:t xml:space="preserve"> </w:t>
      </w:r>
      <w:r>
        <w:rPr>
          <w:rFonts w:hint="eastAsia"/>
        </w:rPr>
        <w:t>程啸：《侵权责任法》（第4版），法律出版社2024年版，第393-395页。</w:t>
      </w:r>
      <w:bookmarkEnd w:id="96"/>
    </w:p>
  </w:footnote>
  <w:footnote w:id="5">
    <w:p w14:paraId="5F3CA557">
      <w:pPr>
        <w:pStyle w:val="16"/>
        <w:spacing w:before="0" w:after="200" w:line="240" w:lineRule="auto"/>
        <w:ind w:left="0" w:right="0" w:firstLine="0"/>
        <w:jc w:val="left"/>
      </w:pPr>
      <w:bookmarkStart w:id="97" w:name="脚注_怀疑_10"/>
      <w:r>
        <w:rPr>
          <w:rFonts w:ascii="Times New Roman" w:hAnsi="Times New Roman" w:eastAsia="Times New Roman" w:cs="Times New Roman"/>
          <w:i w:val="0"/>
          <w:vanish w:val="0"/>
          <w:color w:val="auto"/>
          <w:sz w:val="15"/>
          <w:vertAlign w:val="superscript"/>
        </w:rPr>
        <w:t>⑤</w:t>
      </w:r>
      <w:r>
        <w:t xml:space="preserve"> </w:t>
      </w:r>
      <w:r>
        <w:rPr>
          <w:rFonts w:hint="eastAsia"/>
        </w:rPr>
        <w:t>张新宝：《人工智能侵权的责任主体》，《中国法学》2024年第1期，第42-45页。</w:t>
      </w:r>
      <w:bookmarkEnd w:id="97"/>
    </w:p>
  </w:footnote>
  <w:footnote w:id="6">
    <w:p w14:paraId="3FB0CC5D">
      <w:pPr>
        <w:pStyle w:val="16"/>
        <w:spacing w:before="0" w:after="200" w:line="240" w:lineRule="auto"/>
        <w:ind w:left="0" w:right="0" w:firstLine="0"/>
        <w:jc w:val="left"/>
      </w:pPr>
      <w:bookmarkStart w:id="98" w:name="脚注_怀疑_12"/>
      <w:r>
        <w:rPr>
          <w:rFonts w:ascii="Times New Roman" w:hAnsi="Times New Roman" w:eastAsia="Times New Roman" w:cs="Times New Roman"/>
          <w:i w:val="0"/>
          <w:vanish w:val="0"/>
          <w:color w:val="auto"/>
          <w:sz w:val="15"/>
          <w:vertAlign w:val="superscript"/>
        </w:rPr>
        <w:t>⑥</w:t>
      </w:r>
      <w:r>
        <w:t xml:space="preserve"> </w:t>
      </w:r>
      <w:r>
        <w:rPr>
          <w:rFonts w:hint="eastAsia"/>
        </w:rPr>
        <w:t>最高人民法院民事审判第一庭：《最高人民法院〈关于审理人身损害赔偿案件适用法律若干问题的解释〉理解与适用》，人民法院出版社2022年版，第155-160页。</w:t>
      </w:r>
      <w:bookmarkEnd w:id="98"/>
    </w:p>
  </w:footnote>
  <w:footnote w:id="7">
    <w:p w14:paraId="5A35F8A5">
      <w:pPr>
        <w:pStyle w:val="16"/>
        <w:spacing w:before="0" w:after="200" w:line="240" w:lineRule="auto"/>
        <w:ind w:left="0" w:right="0" w:firstLine="0"/>
        <w:jc w:val="left"/>
      </w:pPr>
      <w:bookmarkStart w:id="99" w:name="脚注_怀疑_14"/>
      <w:r>
        <w:rPr>
          <w:rFonts w:ascii="Times New Roman" w:hAnsi="Times New Roman" w:eastAsia="Times New Roman" w:cs="Times New Roman"/>
          <w:i w:val="0"/>
          <w:vanish w:val="0"/>
          <w:color w:val="auto"/>
          <w:sz w:val="15"/>
          <w:vertAlign w:val="superscript"/>
        </w:rPr>
        <w:t>⑦</w:t>
      </w:r>
      <w:r>
        <w:t xml:space="preserve"> </w:t>
      </w:r>
      <w:r>
        <w:rPr>
          <w:rFonts w:hint="eastAsia"/>
        </w:rPr>
        <w:t>王泽鉴：《侵权行为》（最新版），北京大学出版社2022年版，第556-562页。</w:t>
      </w:r>
      <w:bookmarkEnd w:id="99"/>
    </w:p>
  </w:footnote>
  <w:footnote w:id="8">
    <w:p w14:paraId="4D4A8E09">
      <w:pPr>
        <w:pStyle w:val="16"/>
        <w:spacing w:before="0" w:after="200" w:line="240" w:lineRule="auto"/>
        <w:ind w:left="0" w:right="0" w:firstLine="0"/>
        <w:jc w:val="left"/>
      </w:pPr>
      <w:bookmarkStart w:id="100" w:name="脚注_怀疑_16"/>
      <w:r>
        <w:rPr>
          <w:rFonts w:ascii="Times New Roman" w:hAnsi="Times New Roman" w:eastAsia="Times New Roman" w:cs="Times New Roman"/>
          <w:i w:val="0"/>
          <w:vanish w:val="0"/>
          <w:color w:val="auto"/>
          <w:sz w:val="15"/>
          <w:vertAlign w:val="superscript"/>
        </w:rPr>
        <w:t>⑧</w:t>
      </w:r>
      <w:r>
        <w:t xml:space="preserve"> </w:t>
      </w:r>
      <w:r>
        <w:rPr>
          <w:rFonts w:hint="eastAsia"/>
        </w:rPr>
        <w:t>全国人大常委会法制工作委员会：《〈中华人民共和国民法典〉释义》，法律出版社2020年版，第1245-1249页。</w:t>
      </w:r>
      <w:bookmarkEnd w:id="100"/>
    </w:p>
  </w:footnote>
  <w:footnote w:id="9">
    <w:p w14:paraId="2D02E123">
      <w:pPr>
        <w:pStyle w:val="16"/>
        <w:spacing w:before="0" w:after="200" w:line="240" w:lineRule="auto"/>
        <w:ind w:left="0" w:right="0" w:firstLine="0"/>
        <w:jc w:val="left"/>
      </w:pPr>
      <w:bookmarkStart w:id="101" w:name="脚注_怀疑_18"/>
      <w:r>
        <w:rPr>
          <w:rFonts w:ascii="Times New Roman" w:hAnsi="Times New Roman" w:eastAsia="Times New Roman" w:cs="Times New Roman"/>
          <w:i w:val="0"/>
          <w:vanish w:val="0"/>
          <w:color w:val="auto"/>
          <w:sz w:val="15"/>
          <w:vertAlign w:val="superscript"/>
        </w:rPr>
        <w:t>⑨</w:t>
      </w:r>
      <w:r>
        <w:t xml:space="preserve"> </w:t>
      </w:r>
      <w:r>
        <w:rPr>
          <w:rFonts w:hint="eastAsia"/>
        </w:rPr>
        <w:t>金耀：《人工智能侵权责任的功能主义建构》，《法商研究》2023年第3期，第85-98页。</w:t>
      </w:r>
      <w:bookmarkEnd w:id="101"/>
    </w:p>
  </w:footnote>
  <w:footnote w:id="10">
    <w:p w14:paraId="4525F0DC">
      <w:pPr>
        <w:pStyle w:val="16"/>
        <w:spacing w:before="0" w:after="200" w:line="240" w:lineRule="auto"/>
        <w:ind w:left="0" w:right="0" w:firstLine="0"/>
        <w:jc w:val="left"/>
      </w:pPr>
      <w:bookmarkStart w:id="102" w:name="脚注_怀疑_20"/>
      <w:r>
        <w:rPr>
          <w:rFonts w:ascii="Times New Roman" w:hAnsi="Times New Roman" w:eastAsia="Times New Roman" w:cs="Times New Roman"/>
          <w:i w:val="0"/>
          <w:vanish w:val="0"/>
          <w:color w:val="auto"/>
          <w:sz w:val="15"/>
          <w:vertAlign w:val="superscript"/>
        </w:rPr>
        <w:t>⑩</w:t>
      </w:r>
      <w:r>
        <w:t xml:space="preserve"> </w:t>
      </w:r>
      <w:r>
        <w:rPr>
          <w:rFonts w:hint="eastAsia"/>
        </w:rPr>
        <w:t>全国人大常委会法制工作委员会：《〈中华人民共和国产品质量法〉释义》，法律出版社2019年版，第175-183页。</w:t>
      </w:r>
      <w:bookmarkEnd w:id="102"/>
    </w:p>
  </w:footnote>
  <w:footnote w:id="11">
    <w:p w14:paraId="5E49E2E1">
      <w:pPr>
        <w:pStyle w:val="16"/>
        <w:spacing w:before="0" w:after="200" w:line="240" w:lineRule="auto"/>
        <w:ind w:left="0" w:right="0" w:firstLine="0"/>
        <w:jc w:val="left"/>
      </w:pPr>
      <w:bookmarkStart w:id="103" w:name="脚注_怀疑_22"/>
      <w:r>
        <w:rPr>
          <w:rFonts w:ascii="Times New Roman" w:hAnsi="Times New Roman" w:eastAsia="Times New Roman" w:cs="Times New Roman"/>
          <w:i w:val="0"/>
          <w:vanish w:val="0"/>
          <w:color w:val="auto"/>
          <w:sz w:val="15"/>
          <w:vertAlign w:val="superscript"/>
        </w:rPr>
        <w:t>⑪</w:t>
      </w:r>
      <w:r>
        <w:t xml:space="preserve"> Sindell v. Abbott Laboratories, 26 Cal. 3d 588 (1980).</w:t>
      </w:r>
      <w:bookmarkEnd w:id="103"/>
    </w:p>
  </w:footnote>
  <w:footnote w:id="12">
    <w:p w14:paraId="59D6A140">
      <w:pPr>
        <w:pStyle w:val="16"/>
        <w:spacing w:before="0" w:after="200" w:line="240" w:lineRule="auto"/>
        <w:ind w:left="0" w:right="0" w:firstLine="0"/>
        <w:jc w:val="left"/>
      </w:pPr>
      <w:bookmarkStart w:id="104" w:name="脚注_怀疑_24"/>
      <w:r>
        <w:rPr>
          <w:rFonts w:ascii="Times New Roman" w:hAnsi="Times New Roman" w:eastAsia="Times New Roman" w:cs="Times New Roman"/>
          <w:i w:val="0"/>
          <w:vanish w:val="0"/>
          <w:color w:val="auto"/>
          <w:sz w:val="15"/>
          <w:vertAlign w:val="superscript"/>
        </w:rPr>
        <w:t>⑫</w:t>
      </w:r>
      <w:r>
        <w:t xml:space="preserve"> </w:t>
      </w:r>
      <w:r>
        <w:rPr>
          <w:rFonts w:hint="eastAsia"/>
        </w:rPr>
        <w:t>参见Deutsch,</w:t>
      </w:r>
      <w:r>
        <w:t xml:space="preserve"> “Das erlaubte Risiko im Zivilrecht”, JZ 1979, S. 513-519.</w:t>
      </w:r>
      <w:bookmarkEnd w:id="104"/>
    </w:p>
  </w:footnote>
  <w:footnote w:id="13">
    <w:p w14:paraId="4A52BCDD">
      <w:pPr>
        <w:pStyle w:val="16"/>
        <w:spacing w:before="0" w:after="200" w:line="240" w:lineRule="auto"/>
        <w:ind w:left="0" w:right="0" w:firstLine="0"/>
        <w:jc w:val="left"/>
      </w:pPr>
      <w:bookmarkStart w:id="105" w:name="脚注_怀疑_26"/>
      <w:r>
        <w:rPr>
          <w:rFonts w:ascii="Times New Roman" w:hAnsi="Times New Roman" w:eastAsia="Times New Roman" w:cs="Times New Roman"/>
          <w:i w:val="0"/>
          <w:vanish w:val="0"/>
          <w:color w:val="auto"/>
          <w:sz w:val="15"/>
          <w:vertAlign w:val="superscript"/>
        </w:rPr>
        <w:t>⑬</w:t>
      </w:r>
      <w:r>
        <w:t xml:space="preserve"> </w:t>
      </w:r>
      <w:r>
        <w:rPr>
          <w:rFonts w:hint="eastAsia"/>
        </w:rPr>
        <w:t>王泽鉴：《侵权行为》（最新版），北京大学出版社2022年版，第558-560页。</w:t>
      </w:r>
      <w:bookmarkEnd w:id="105"/>
    </w:p>
  </w:footnote>
  <w:footnote w:id="14">
    <w:p w14:paraId="4988F1A3">
      <w:pPr>
        <w:pStyle w:val="16"/>
        <w:spacing w:before="0" w:after="200" w:line="240" w:lineRule="auto"/>
        <w:ind w:left="0" w:right="0" w:firstLine="0"/>
        <w:jc w:val="left"/>
      </w:pPr>
      <w:bookmarkStart w:id="106" w:name="脚注_怀疑_28"/>
      <w:r>
        <w:rPr>
          <w:rFonts w:ascii="Times New Roman" w:hAnsi="Times New Roman" w:eastAsia="Times New Roman" w:cs="Times New Roman"/>
          <w:i w:val="0"/>
          <w:vanish w:val="0"/>
          <w:color w:val="auto"/>
          <w:sz w:val="15"/>
          <w:vertAlign w:val="superscript"/>
        </w:rPr>
        <w:t>⑭</w:t>
      </w:r>
      <w:r>
        <w:t xml:space="preserve"> </w:t>
      </w:r>
      <w:r>
        <w:rPr>
          <w:rFonts w:hint="eastAsia"/>
        </w:rPr>
        <w:t>徐伟：《人工智能侵权责任的经济分析》，《法学》2022年第6期，第88-100页。</w:t>
      </w:r>
      <w:bookmarkEnd w:id="106"/>
    </w:p>
  </w:footnote>
  <w:footnote w:id="15">
    <w:p w14:paraId="00F515C9">
      <w:pPr>
        <w:pStyle w:val="16"/>
        <w:spacing w:before="0" w:after="200" w:line="240" w:lineRule="auto"/>
        <w:ind w:left="0" w:right="0" w:firstLine="0"/>
        <w:jc w:val="left"/>
      </w:pPr>
      <w:bookmarkStart w:id="107" w:name="脚注_怀疑_30"/>
      <w:r>
        <w:rPr>
          <w:rFonts w:ascii="Times New Roman" w:hAnsi="Times New Roman" w:eastAsia="Times New Roman" w:cs="Times New Roman"/>
          <w:i w:val="0"/>
          <w:vanish w:val="0"/>
          <w:color w:val="auto"/>
          <w:sz w:val="15"/>
          <w:vertAlign w:val="superscript"/>
        </w:rPr>
        <w:t>⑮</w:t>
      </w:r>
      <w:r>
        <w:t xml:space="preserve"> United States v. Carroll Towing Co., 159 F.2d 169 (2d Cir. 1947).</w:t>
      </w:r>
      <w:bookmarkEnd w:id="107"/>
    </w:p>
  </w:footnote>
  <w:footnote w:id="16">
    <w:p w14:paraId="35144203">
      <w:pPr>
        <w:pStyle w:val="16"/>
        <w:spacing w:before="0" w:after="200" w:line="240" w:lineRule="auto"/>
        <w:ind w:left="0" w:right="0" w:firstLine="0"/>
        <w:jc w:val="left"/>
      </w:pPr>
      <w:bookmarkStart w:id="108" w:name="脚注_怀疑_32"/>
      <w:r>
        <w:rPr>
          <w:rFonts w:ascii="Times New Roman" w:hAnsi="Times New Roman" w:eastAsia="Times New Roman" w:cs="Times New Roman"/>
          <w:i w:val="0"/>
          <w:vanish w:val="0"/>
          <w:color w:val="auto"/>
          <w:sz w:val="15"/>
          <w:vertAlign w:val="superscript"/>
        </w:rPr>
        <w:t>⑯</w:t>
      </w:r>
      <w:r>
        <w:t xml:space="preserve"> </w:t>
      </w:r>
      <w:r>
        <w:rPr>
          <w:rFonts w:hint="eastAsia"/>
        </w:rPr>
        <w:t>张新宝：《侵权责任法》（第5版），中国人民大学出版社2024年版，第50-55页。</w:t>
      </w:r>
      <w:bookmarkEnd w:id="108"/>
    </w:p>
  </w:footnote>
  <w:footnote w:id="17">
    <w:p w14:paraId="623F25BD">
      <w:pPr>
        <w:pStyle w:val="16"/>
        <w:spacing w:before="0" w:after="200" w:line="240" w:lineRule="auto"/>
        <w:ind w:left="0" w:right="0" w:firstLine="0"/>
        <w:jc w:val="left"/>
      </w:pPr>
      <w:bookmarkStart w:id="109" w:name="脚注_怀疑_34"/>
      <w:r>
        <w:rPr>
          <w:rFonts w:ascii="Times New Roman" w:hAnsi="Times New Roman" w:eastAsia="Times New Roman" w:cs="Times New Roman"/>
          <w:i w:val="0"/>
          <w:vanish w:val="0"/>
          <w:color w:val="auto"/>
          <w:sz w:val="15"/>
          <w:vertAlign w:val="superscript"/>
        </w:rPr>
        <w:t>⑰</w:t>
      </w:r>
      <w:r>
        <w:t xml:space="preserve"> </w:t>
      </w:r>
      <w:r>
        <w:rPr>
          <w:rFonts w:hint="eastAsia"/>
        </w:rPr>
        <w:t>周友军：《交往安全义务理论研究》，中国人民大学出版社2008年版，第42-48页。</w:t>
      </w:r>
      <w:bookmarkEnd w:id="109"/>
    </w:p>
  </w:footnote>
  <w:footnote w:id="18">
    <w:p w14:paraId="26863443">
      <w:pPr>
        <w:pStyle w:val="16"/>
        <w:spacing w:before="0" w:after="200" w:line="240" w:lineRule="auto"/>
        <w:ind w:left="0" w:right="0" w:firstLine="0"/>
        <w:jc w:val="left"/>
      </w:pPr>
      <w:bookmarkStart w:id="110" w:name="脚注_怀疑_36"/>
      <w:r>
        <w:rPr>
          <w:rFonts w:ascii="Times New Roman" w:hAnsi="Times New Roman" w:eastAsia="Times New Roman" w:cs="Times New Roman"/>
          <w:i w:val="0"/>
          <w:vanish w:val="0"/>
          <w:color w:val="auto"/>
          <w:sz w:val="15"/>
          <w:vertAlign w:val="superscript"/>
        </w:rPr>
        <w:t>⑱</w:t>
      </w:r>
      <w:r>
        <w:t xml:space="preserve"> </w:t>
      </w:r>
      <w:r>
        <w:rPr>
          <w:rFonts w:hint="eastAsia"/>
        </w:rPr>
        <w:t>参见冯·巴尔：《欧洲比较侵权行为法》（下卷），焦美华译，法律出版社2001年版，第260-270页。</w:t>
      </w:r>
      <w:bookmarkEnd w:id="110"/>
    </w:p>
  </w:footnote>
  <w:footnote w:id="19">
    <w:p w14:paraId="662AA819">
      <w:pPr>
        <w:pStyle w:val="16"/>
        <w:spacing w:before="0" w:after="200" w:line="240" w:lineRule="auto"/>
        <w:ind w:left="0" w:right="0" w:firstLine="0"/>
        <w:jc w:val="left"/>
      </w:pPr>
      <w:bookmarkStart w:id="111" w:name="脚注_怀疑_38"/>
      <w:r>
        <w:rPr>
          <w:rFonts w:ascii="Times New Roman" w:hAnsi="Times New Roman" w:eastAsia="Times New Roman" w:cs="Times New Roman"/>
          <w:i w:val="0"/>
          <w:vanish w:val="0"/>
          <w:color w:val="auto"/>
          <w:sz w:val="15"/>
          <w:vertAlign w:val="superscript"/>
        </w:rPr>
        <w:t>⑲</w:t>
      </w:r>
      <w:r>
        <w:t xml:space="preserve"> </w:t>
      </w:r>
      <w:r>
        <w:rPr>
          <w:rFonts w:hint="eastAsia"/>
        </w:rPr>
        <w:t>吴峻：《人工智能系统安全责任研究》，《政法论坛》2023年第2期，第67-78页。</w:t>
      </w:r>
      <w:bookmarkEnd w:id="111"/>
    </w:p>
  </w:footnote>
  <w:footnote w:id="20">
    <w:p w14:paraId="252300D0">
      <w:pPr>
        <w:pStyle w:val="16"/>
        <w:spacing w:before="0" w:after="200" w:line="240" w:lineRule="auto"/>
        <w:ind w:left="0" w:right="0" w:firstLine="0"/>
        <w:jc w:val="left"/>
      </w:pPr>
      <w:bookmarkStart w:id="112" w:name="脚注_怀疑_40"/>
      <w:r>
        <w:rPr>
          <w:rFonts w:ascii="Times New Roman" w:hAnsi="Times New Roman" w:eastAsia="Times New Roman" w:cs="Times New Roman"/>
          <w:i w:val="0"/>
          <w:vanish w:val="0"/>
          <w:color w:val="auto"/>
          <w:sz w:val="15"/>
          <w:vertAlign w:val="superscript"/>
        </w:rPr>
        <w:t>⑳</w:t>
      </w:r>
      <w:r>
        <w:t xml:space="preserve"> </w:t>
      </w:r>
      <w:r>
        <w:rPr>
          <w:rFonts w:hint="eastAsia"/>
        </w:rPr>
        <w:t>王利明：《侵权责任法研究》（上卷）（第2版），中国人民大学出版社2022年版，第365-372页。</w:t>
      </w:r>
      <w:bookmarkEnd w:id="112"/>
    </w:p>
  </w:footnote>
  <w:footnote w:id="21">
    <w:p w14:paraId="7A841B1B">
      <w:pPr>
        <w:pStyle w:val="16"/>
        <w:spacing w:before="0" w:after="200" w:line="240" w:lineRule="auto"/>
        <w:ind w:left="0" w:right="0" w:firstLine="0"/>
        <w:jc w:val="left"/>
      </w:pPr>
      <w:bookmarkStart w:id="113" w:name="脚注_怀疑_42"/>
      <w:r>
        <w:rPr>
          <w:rFonts w:ascii="Times New Roman" w:hAnsi="Times New Roman" w:eastAsia="Times New Roman" w:cs="Times New Roman"/>
          <w:i w:val="0"/>
          <w:vanish w:val="0"/>
          <w:color w:val="auto"/>
          <w:sz w:val="15"/>
          <w:vertAlign w:val="superscript"/>
        </w:rPr>
        <w:t>㉑</w:t>
      </w:r>
      <w:r>
        <w:t xml:space="preserve"> </w:t>
      </w:r>
      <w:r>
        <w:rPr>
          <w:rFonts w:hint="eastAsia"/>
        </w:rPr>
        <w:t>最高人民法院民事审判第一庭：《最高人民法院〈关于审理人身损害赔偿案件适用法律若干问题的解释〉理解与适用》，人民法院出版社2022年版，第160-166页。</w:t>
      </w:r>
      <w:bookmarkEnd w:id="113"/>
    </w:p>
  </w:footnote>
  <w:footnote w:id="22">
    <w:p w14:paraId="796F7840">
      <w:pPr>
        <w:pStyle w:val="16"/>
        <w:spacing w:before="0" w:after="200" w:line="240" w:lineRule="auto"/>
        <w:ind w:left="0" w:right="0" w:firstLine="0"/>
        <w:jc w:val="left"/>
      </w:pPr>
      <w:bookmarkStart w:id="114" w:name="脚注_怀疑_44"/>
      <w:r>
        <w:rPr>
          <w:rFonts w:ascii="Times New Roman" w:hAnsi="Times New Roman" w:eastAsia="Times New Roman" w:cs="Times New Roman"/>
          <w:i w:val="0"/>
          <w:vanish w:val="0"/>
          <w:color w:val="auto"/>
          <w:sz w:val="15"/>
          <w:vertAlign w:val="superscript"/>
        </w:rPr>
        <w:t>㉒</w:t>
      </w:r>
      <w:r>
        <w:t xml:space="preserve"> </w:t>
      </w:r>
      <w:r>
        <w:rPr>
          <w:rFonts w:hint="eastAsia"/>
        </w:rPr>
        <w:t>冯·巴尔：《欧洲侵权法的基本原则》，张新宝译，《法学研究》2003年第2期，第112-125页。</w:t>
      </w:r>
      <w:bookmarkEnd w:id="114"/>
    </w:p>
  </w:footnote>
  <w:footnote w:id="23">
    <w:p w14:paraId="304308A7">
      <w:pPr>
        <w:pStyle w:val="16"/>
        <w:spacing w:before="0" w:after="200" w:line="240" w:lineRule="auto"/>
        <w:ind w:left="0" w:right="0" w:firstLine="0"/>
        <w:jc w:val="left"/>
      </w:pPr>
      <w:bookmarkStart w:id="115" w:name="脚注_怀疑_46"/>
      <w:r>
        <w:rPr>
          <w:rFonts w:ascii="Times New Roman" w:hAnsi="Times New Roman" w:eastAsia="Times New Roman" w:cs="Times New Roman"/>
          <w:i w:val="0"/>
          <w:vanish w:val="0"/>
          <w:color w:val="auto"/>
          <w:sz w:val="15"/>
          <w:vertAlign w:val="superscript"/>
        </w:rPr>
        <w:t>㉓</w:t>
      </w:r>
      <w:r>
        <w:t xml:space="preserve"> </w:t>
      </w:r>
      <w:r>
        <w:rPr>
          <w:rFonts w:hint="eastAsia"/>
        </w:rPr>
        <w:t>程啸：《民法典侵权责任编的体系解释》，《中国法学》2020年第4期，第45-62页。</w:t>
      </w:r>
      <w:bookmarkEnd w:id="115"/>
    </w:p>
  </w:footnote>
  <w:footnote w:id="24">
    <w:p w14:paraId="7A28B575">
      <w:pPr>
        <w:pStyle w:val="16"/>
        <w:spacing w:before="0" w:after="200" w:line="240" w:lineRule="auto"/>
        <w:ind w:left="0" w:right="0" w:firstLine="0"/>
        <w:jc w:val="left"/>
      </w:pPr>
      <w:bookmarkStart w:id="116" w:name="脚注_怀疑_48"/>
      <w:r>
        <w:rPr>
          <w:rFonts w:ascii="Times New Roman" w:hAnsi="Times New Roman" w:eastAsia="Times New Roman" w:cs="Times New Roman"/>
          <w:i w:val="0"/>
          <w:vanish w:val="0"/>
          <w:color w:val="auto"/>
          <w:sz w:val="15"/>
          <w:vertAlign w:val="superscript"/>
        </w:rPr>
        <w:t>㉔</w:t>
      </w:r>
      <w:r>
        <w:t xml:space="preserve"> </w:t>
      </w:r>
      <w:r>
        <w:rPr>
          <w:rFonts w:hint="eastAsia"/>
        </w:rPr>
        <w:t>全国人大常委会法制工作委员会：《〈中华人民共和国民法典〉释义》，法律出版社2020年版，第1308-1315页。</w:t>
      </w:r>
      <w:bookmarkEnd w:id="116"/>
    </w:p>
  </w:footnote>
  <w:footnote w:id="25">
    <w:p w14:paraId="6F033EDF">
      <w:pPr>
        <w:pStyle w:val="16"/>
        <w:spacing w:before="0" w:after="200" w:line="240" w:lineRule="auto"/>
        <w:ind w:left="0" w:right="0" w:firstLine="0"/>
        <w:jc w:val="left"/>
      </w:pPr>
      <w:bookmarkStart w:id="117" w:name="脚注_怀疑_50"/>
      <w:r>
        <w:rPr>
          <w:rFonts w:ascii="Times New Roman" w:hAnsi="Times New Roman" w:eastAsia="Times New Roman" w:cs="Times New Roman"/>
          <w:i w:val="0"/>
          <w:vanish w:val="0"/>
          <w:color w:val="auto"/>
          <w:sz w:val="15"/>
          <w:vertAlign w:val="superscript"/>
        </w:rPr>
        <w:t>㉕</w:t>
      </w:r>
      <w:r>
        <w:t xml:space="preserve"> </w:t>
      </w:r>
      <w:r>
        <w:rPr>
          <w:rFonts w:hint="eastAsia"/>
        </w:rPr>
        <w:t>张凌寒：《算法规制的迭代与革新》，《法学论坛》2021年第2期，第52-63页。</w:t>
      </w:r>
      <w:bookmarkEnd w:id="117"/>
    </w:p>
  </w:footnote>
  <w:footnote w:id="26">
    <w:p w14:paraId="70F3FFA7">
      <w:pPr>
        <w:pStyle w:val="16"/>
        <w:spacing w:before="0" w:after="200" w:line="240" w:lineRule="auto"/>
        <w:ind w:left="0" w:right="0" w:firstLine="0"/>
        <w:jc w:val="left"/>
      </w:pPr>
      <w:bookmarkStart w:id="118" w:name="脚注_怀疑_52"/>
      <w:r>
        <w:rPr>
          <w:rFonts w:ascii="Times New Roman" w:hAnsi="Times New Roman" w:eastAsia="Times New Roman" w:cs="Times New Roman"/>
          <w:i w:val="0"/>
          <w:vanish w:val="0"/>
          <w:color w:val="auto"/>
          <w:sz w:val="15"/>
          <w:vertAlign w:val="superscript"/>
        </w:rPr>
        <w:t>㉖</w:t>
      </w:r>
      <w:r>
        <w:t xml:space="preserve"> </w:t>
      </w:r>
      <w:r>
        <w:rPr>
          <w:rFonts w:hint="eastAsia"/>
        </w:rPr>
        <w:t>张新宝：《中国民法典释评·侵权责任编》，中国人民大学出版社2020年版，第75-82页。</w:t>
      </w:r>
      <w:bookmarkEnd w:id="118"/>
    </w:p>
  </w:footnote>
  <w:footnote w:id="27">
    <w:p w14:paraId="5227181A">
      <w:pPr>
        <w:pStyle w:val="16"/>
        <w:spacing w:before="0" w:after="200" w:line="240" w:lineRule="auto"/>
        <w:ind w:left="0" w:right="0" w:firstLine="0"/>
        <w:jc w:val="left"/>
      </w:pPr>
      <w:bookmarkStart w:id="119" w:name="脚注_怀疑_54"/>
      <w:r>
        <w:rPr>
          <w:rFonts w:ascii="Times New Roman" w:hAnsi="Times New Roman" w:eastAsia="Times New Roman" w:cs="Times New Roman"/>
          <w:i w:val="0"/>
          <w:vanish w:val="0"/>
          <w:color w:val="auto"/>
          <w:sz w:val="15"/>
          <w:vertAlign w:val="superscript"/>
        </w:rPr>
        <w:t>㉗</w:t>
      </w:r>
      <w:r>
        <w:t xml:space="preserve"> </w:t>
      </w:r>
      <w:r>
        <w:rPr>
          <w:rFonts w:hint="eastAsia"/>
        </w:rPr>
        <w:t>程啸：《算法产品责任的教义学构造》，《中国法学》2022年第4期，第182-200页。</w:t>
      </w:r>
      <w:bookmarkEnd w:id="119"/>
    </w:p>
  </w:footnote>
  <w:footnote w:id="28">
    <w:p w14:paraId="53A1E092">
      <w:pPr>
        <w:pStyle w:val="16"/>
        <w:spacing w:before="0" w:after="200" w:line="240" w:lineRule="auto"/>
        <w:ind w:left="0" w:right="0" w:firstLine="0"/>
        <w:jc w:val="left"/>
      </w:pPr>
      <w:bookmarkStart w:id="120" w:name="脚注_怀疑_56"/>
      <w:r>
        <w:rPr>
          <w:rFonts w:ascii="Times New Roman" w:hAnsi="Times New Roman" w:eastAsia="Times New Roman" w:cs="Times New Roman"/>
          <w:i w:val="0"/>
          <w:vanish w:val="0"/>
          <w:color w:val="auto"/>
          <w:sz w:val="15"/>
          <w:vertAlign w:val="superscript"/>
        </w:rPr>
        <w:t>㉘</w:t>
      </w:r>
      <w:r>
        <w:t xml:space="preserve"> Selbst et al., “Fairness and Abstraction in Sociotechnical Systems”, FAT* 2019, pp. 59-68.</w:t>
      </w:r>
      <w:bookmarkEnd w:id="120"/>
    </w:p>
  </w:footnote>
  <w:footnote w:id="29">
    <w:p w14:paraId="10D230D0">
      <w:pPr>
        <w:pStyle w:val="16"/>
        <w:spacing w:before="0" w:after="200" w:line="240" w:lineRule="auto"/>
        <w:ind w:left="0" w:right="0" w:firstLine="0"/>
        <w:jc w:val="left"/>
      </w:pPr>
      <w:bookmarkStart w:id="121" w:name="脚注_怀疑_58"/>
      <w:r>
        <w:rPr>
          <w:rFonts w:ascii="Times New Roman" w:hAnsi="Times New Roman" w:eastAsia="Times New Roman" w:cs="Times New Roman"/>
          <w:i w:val="0"/>
          <w:vanish w:val="0"/>
          <w:color w:val="auto"/>
          <w:sz w:val="15"/>
          <w:vertAlign w:val="superscript"/>
        </w:rPr>
        <w:t>㉙</w:t>
      </w:r>
      <w:r>
        <w:t xml:space="preserve"> </w:t>
      </w:r>
      <w:r>
        <w:rPr>
          <w:rFonts w:hint="eastAsia"/>
        </w:rPr>
        <w:t>王利明：《民法总则研究》（第4版），中国人民大学出版社2022年版，第665-672页。</w:t>
      </w:r>
      <w:bookmarkEnd w:id="121"/>
    </w:p>
  </w:footnote>
  <w:footnote w:id="30">
    <w:p w14:paraId="7822926D">
      <w:pPr>
        <w:pStyle w:val="16"/>
        <w:spacing w:before="0" w:after="200" w:line="240" w:lineRule="auto"/>
        <w:ind w:left="0" w:right="0" w:firstLine="0"/>
        <w:jc w:val="left"/>
      </w:pPr>
      <w:bookmarkStart w:id="122" w:name="脚注_怀疑_60"/>
      <w:r>
        <w:rPr>
          <w:rFonts w:ascii="Times New Roman" w:hAnsi="Times New Roman" w:eastAsia="Times New Roman" w:cs="Times New Roman"/>
          <w:i w:val="0"/>
          <w:vanish w:val="0"/>
          <w:color w:val="auto"/>
          <w:sz w:val="15"/>
          <w:vertAlign w:val="superscript"/>
        </w:rPr>
        <w:t>㉚</w:t>
      </w:r>
      <w:r>
        <w:t xml:space="preserve"> Calo, “Robotics and the Lessons of Cyberlaw”, 103 California Law Review 513 (2015), pp. 530-548.</w:t>
      </w:r>
      <w:bookmarkEnd w:id="122"/>
    </w:p>
  </w:footnote>
  <w:footnote w:id="31">
    <w:p w14:paraId="44A040E2">
      <w:pPr>
        <w:pStyle w:val="16"/>
        <w:spacing w:before="0" w:after="200" w:line="240" w:lineRule="auto"/>
        <w:ind w:left="0" w:right="0" w:firstLine="0"/>
        <w:jc w:val="left"/>
      </w:pPr>
      <w:bookmarkStart w:id="123" w:name="脚注_怀疑_62"/>
      <w:r>
        <w:rPr>
          <w:rFonts w:ascii="Times New Roman" w:hAnsi="Times New Roman" w:eastAsia="Times New Roman" w:cs="Times New Roman"/>
          <w:i w:val="0"/>
          <w:vanish w:val="0"/>
          <w:color w:val="auto"/>
          <w:sz w:val="15"/>
          <w:vertAlign w:val="superscript"/>
        </w:rPr>
        <w:t>㉛</w:t>
      </w:r>
      <w:r>
        <w:t xml:space="preserve"> </w:t>
      </w:r>
      <w:r>
        <w:rPr>
          <w:rFonts w:hint="eastAsia"/>
        </w:rPr>
        <w:t>程啸：《侵权责任法》（第4版），法律出版社2024年版，第622-630页。</w:t>
      </w:r>
      <w:bookmarkEnd w:id="123"/>
    </w:p>
  </w:footnote>
  <w:footnote w:id="32">
    <w:p w14:paraId="14910DF6">
      <w:pPr>
        <w:pStyle w:val="16"/>
        <w:spacing w:before="0" w:after="200" w:line="240" w:lineRule="auto"/>
        <w:ind w:left="0" w:right="0" w:firstLine="0"/>
        <w:jc w:val="left"/>
      </w:pPr>
      <w:bookmarkStart w:id="124" w:name="脚注_怀疑_64"/>
      <w:r>
        <w:rPr>
          <w:rFonts w:ascii="Times New Roman" w:hAnsi="Times New Roman" w:eastAsia="Times New Roman" w:cs="Times New Roman"/>
          <w:i w:val="0"/>
          <w:vanish w:val="0"/>
          <w:color w:val="auto"/>
          <w:sz w:val="15"/>
          <w:vertAlign w:val="superscript"/>
        </w:rPr>
        <w:t>㉜</w:t>
      </w:r>
      <w:r>
        <w:t xml:space="preserve"> </w:t>
      </w:r>
      <w:r>
        <w:rPr>
          <w:rFonts w:hint="eastAsia"/>
        </w:rPr>
        <w:t>梁慧星：《民法解释学》（第5版），法律出版社2020年版，第235-243页。</w:t>
      </w:r>
      <w:bookmarkEnd w:id="124"/>
    </w:p>
  </w:footnote>
  <w:footnote w:id="33">
    <w:p w14:paraId="6F36CABD">
      <w:pPr>
        <w:pStyle w:val="16"/>
        <w:spacing w:before="0" w:after="200" w:line="240" w:lineRule="auto"/>
        <w:ind w:left="0" w:right="0" w:firstLine="0"/>
        <w:jc w:val="left"/>
      </w:pPr>
      <w:bookmarkStart w:id="125" w:name="脚注_怀疑_66"/>
      <w:r>
        <w:rPr>
          <w:rFonts w:ascii="Times New Roman" w:hAnsi="Times New Roman" w:eastAsia="Times New Roman" w:cs="Times New Roman"/>
          <w:i w:val="0"/>
          <w:vanish w:val="0"/>
          <w:color w:val="auto"/>
          <w:sz w:val="15"/>
          <w:vertAlign w:val="superscript"/>
        </w:rPr>
        <w:t>㉝</w:t>
      </w:r>
      <w:r>
        <w:t xml:space="preserve"> </w:t>
      </w:r>
      <w:r>
        <w:rPr>
          <w:rFonts w:hint="eastAsia"/>
        </w:rPr>
        <w:t>刘文杰：《网络平台的安全保障义务》，《法学研究》2022年第5期，第92-110页。</w:t>
      </w:r>
      <w:bookmarkEnd w:id="125"/>
    </w:p>
  </w:footnote>
  <w:footnote w:id="34">
    <w:p w14:paraId="343BE78B">
      <w:pPr>
        <w:pStyle w:val="16"/>
        <w:spacing w:before="0" w:after="200" w:line="240" w:lineRule="auto"/>
        <w:ind w:left="0" w:right="0" w:firstLine="0"/>
        <w:jc w:val="left"/>
      </w:pPr>
      <w:bookmarkStart w:id="126" w:name="脚注_怀疑_68"/>
      <w:r>
        <w:rPr>
          <w:rFonts w:ascii="Times New Roman" w:hAnsi="Times New Roman" w:eastAsia="Times New Roman" w:cs="Times New Roman"/>
          <w:i w:val="0"/>
          <w:vanish w:val="0"/>
          <w:color w:val="auto"/>
          <w:sz w:val="15"/>
          <w:vertAlign w:val="superscript"/>
        </w:rPr>
        <w:t>㉞</w:t>
      </w:r>
      <w:r>
        <w:t xml:space="preserve"> Ebers, “Standardizing AI”, (2021) 12 European Journal of Risk Regulation 389-400.</w:t>
      </w:r>
      <w:bookmarkEnd w:id="126"/>
    </w:p>
  </w:footnote>
  <w:footnote w:id="35">
    <w:p w14:paraId="0D3355E4">
      <w:pPr>
        <w:pStyle w:val="16"/>
        <w:spacing w:before="0" w:after="200" w:line="240" w:lineRule="auto"/>
        <w:ind w:left="0" w:right="0" w:firstLine="0"/>
        <w:jc w:val="left"/>
      </w:pPr>
      <w:bookmarkStart w:id="127" w:name="脚注_怀疑_70"/>
      <w:r>
        <w:rPr>
          <w:rFonts w:ascii="Times New Roman" w:hAnsi="Times New Roman" w:eastAsia="Times New Roman" w:cs="Times New Roman"/>
          <w:i w:val="0"/>
          <w:vanish w:val="0"/>
          <w:color w:val="auto"/>
          <w:sz w:val="15"/>
          <w:vertAlign w:val="superscript"/>
        </w:rPr>
        <w:t>㉟</w:t>
      </w:r>
      <w:r>
        <w:t xml:space="preserve"> </w:t>
      </w:r>
      <w:r>
        <w:rPr>
          <w:rFonts w:hint="eastAsia"/>
        </w:rPr>
        <w:t>周友军：《交往安全义务理论研究》，中国人民大学出版社2008年版，第110-118页。</w:t>
      </w:r>
      <w:bookmarkEnd w:id="127"/>
    </w:p>
  </w:footnote>
  <w:footnote w:id="36">
    <w:p w14:paraId="3C65B339">
      <w:pPr>
        <w:pStyle w:val="16"/>
        <w:spacing w:before="0" w:after="200" w:line="240" w:lineRule="auto"/>
        <w:ind w:left="0" w:right="0" w:firstLine="0"/>
        <w:jc w:val="left"/>
      </w:pPr>
      <w:bookmarkStart w:id="128" w:name="脚注_怀疑_72"/>
      <w:r>
        <w:rPr>
          <w:rFonts w:ascii="Times New Roman" w:hAnsi="Times New Roman" w:eastAsia="Times New Roman" w:cs="Times New Roman"/>
          <w:i w:val="0"/>
          <w:vanish w:val="0"/>
          <w:color w:val="auto"/>
          <w:sz w:val="15"/>
          <w:vertAlign w:val="superscript"/>
        </w:rPr>
        <w:t>㊱</w:t>
      </w:r>
      <w:r>
        <w:t xml:space="preserve"> </w:t>
      </w:r>
      <w:r>
        <w:rPr>
          <w:rFonts w:hint="eastAsia"/>
        </w:rPr>
        <w:t>金耀：《人工智能侵权责任的功能主义建构》，《法商研究》2023年第3期，第92-96页。</w:t>
      </w:r>
      <w:bookmarkEnd w:id="128"/>
    </w:p>
  </w:footnote>
  <w:footnote w:id="37">
    <w:p w14:paraId="49C501E9">
      <w:pPr>
        <w:pStyle w:val="16"/>
        <w:spacing w:before="0" w:after="200" w:line="240" w:lineRule="auto"/>
        <w:ind w:left="0" w:right="0" w:firstLine="0"/>
        <w:jc w:val="left"/>
      </w:pPr>
      <w:bookmarkStart w:id="129" w:name="脚注_怀疑_74"/>
      <w:r>
        <w:rPr>
          <w:rFonts w:ascii="Times New Roman" w:hAnsi="Times New Roman" w:eastAsia="Times New Roman" w:cs="Times New Roman"/>
          <w:i w:val="0"/>
          <w:vanish w:val="0"/>
          <w:color w:val="auto"/>
          <w:sz w:val="15"/>
          <w:vertAlign w:val="superscript"/>
        </w:rPr>
        <w:t>㊲</w:t>
      </w:r>
      <w:r>
        <w:t xml:space="preserve"> </w:t>
      </w:r>
      <w:r>
        <w:rPr>
          <w:rFonts w:hint="eastAsia"/>
        </w:rPr>
        <w:t>最高人民法院：《关于民事诉讼证据的若干规定》（2019年修正），第7条。</w:t>
      </w:r>
      <w:bookmarkEnd w:id="129"/>
    </w:p>
  </w:footnote>
  <w:footnote w:id="38">
    <w:p w14:paraId="1CDFEEFA">
      <w:pPr>
        <w:pStyle w:val="16"/>
        <w:spacing w:before="0" w:after="200" w:line="240" w:lineRule="auto"/>
        <w:ind w:left="0" w:right="0" w:firstLine="0"/>
        <w:jc w:val="left"/>
      </w:pPr>
      <w:bookmarkStart w:id="130" w:name="脚注_怀疑_76"/>
      <w:r>
        <w:rPr>
          <w:rFonts w:ascii="Times New Roman" w:hAnsi="Times New Roman" w:eastAsia="Times New Roman" w:cs="Times New Roman"/>
          <w:i w:val="0"/>
          <w:vanish w:val="0"/>
          <w:color w:val="auto"/>
          <w:sz w:val="15"/>
          <w:vertAlign w:val="superscript"/>
        </w:rPr>
        <w:t>㊳</w:t>
      </w:r>
      <w:r>
        <w:t xml:space="preserve"> </w:t>
      </w:r>
      <w:r>
        <w:rPr>
          <w:rFonts w:hint="eastAsia"/>
        </w:rPr>
        <w:t>张凌寒：《算法规制的迭代与革新》，《法学论坛》2021年第2期，第58-62页。</w:t>
      </w:r>
      <w:bookmarkEnd w:id="130"/>
    </w:p>
  </w:footnote>
  <w:footnote w:id="39">
    <w:p w14:paraId="336AFD30">
      <w:pPr>
        <w:pStyle w:val="16"/>
        <w:spacing w:before="0" w:after="200" w:line="240" w:lineRule="auto"/>
        <w:ind w:left="0" w:right="0" w:firstLine="0"/>
        <w:jc w:val="left"/>
      </w:pPr>
      <w:bookmarkStart w:id="131" w:name="脚注_怀疑_78"/>
      <w:r>
        <w:rPr>
          <w:rFonts w:ascii="Times New Roman" w:hAnsi="Times New Roman" w:eastAsia="Times New Roman" w:cs="Times New Roman"/>
          <w:i w:val="0"/>
          <w:vanish w:val="0"/>
          <w:color w:val="auto"/>
          <w:sz w:val="15"/>
          <w:vertAlign w:val="superscript"/>
        </w:rPr>
        <w:t>㊴</w:t>
      </w:r>
      <w:r>
        <w:t xml:space="preserve"> </w:t>
      </w:r>
      <w:r>
        <w:rPr>
          <w:rFonts w:hint="eastAsia"/>
        </w:rPr>
        <w:t>刘文杰：《网络平台的安全保障义务》，《法学研究》2022年第5期，第105-108页。</w:t>
      </w:r>
      <w:bookmarkEnd w:id="13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52C1C">
    <w:pPr>
      <w:pStyle w:val="13"/>
      <w:pBdr>
        <w:bottom w:val="none" w:color="auto" w:sz="0" w:space="0"/>
      </w:pBdr>
      <w:tabs>
        <w:tab w:val="clear" w:pos="4153"/>
        <w:tab w:val="clear" w:pos="8306"/>
      </w:tabs>
      <w:rPr>
        <w:sz w:val="11"/>
        <w:szCs w:val="11"/>
      </w:rPr>
    </w:pPr>
  </w:p>
  <w:p w14:paraId="4864414D">
    <w:pPr>
      <w:pStyle w:val="13"/>
      <w:pBdr>
        <w:bottom w:val="none" w:color="auto" w:sz="0" w:space="0"/>
      </w:pBdr>
      <w:tabs>
        <w:tab w:val="clear" w:pos="4153"/>
        <w:tab w:val="clear" w:pos="8306"/>
      </w:tabs>
      <w:rPr>
        <w:sz w:val="11"/>
        <w:szCs w:val="11"/>
      </w:rPr>
    </w:pPr>
  </w:p>
  <w:tbl>
    <w:tblPr>
      <w:tblStyle w:val="22"/>
      <w:tblW w:w="5000" w:type="pct"/>
      <w:tblInd w:w="0" w:type="dxa"/>
      <w:tblLayout w:type="autofit"/>
      <w:tblCellMar>
        <w:top w:w="0" w:type="dxa"/>
        <w:left w:w="108" w:type="dxa"/>
        <w:bottom w:w="0" w:type="dxa"/>
        <w:right w:w="108" w:type="dxa"/>
      </w:tblCellMar>
    </w:tblPr>
    <w:tblGrid>
      <w:gridCol w:w="1478"/>
      <w:gridCol w:w="6898"/>
      <w:gridCol w:w="1478"/>
    </w:tblGrid>
    <w:tr w14:paraId="0D3A5EDC">
      <w:tblPrEx>
        <w:tblCellMar>
          <w:top w:w="0" w:type="dxa"/>
          <w:left w:w="108" w:type="dxa"/>
          <w:bottom w:w="0" w:type="dxa"/>
          <w:right w:w="108" w:type="dxa"/>
        </w:tblCellMar>
      </w:tblPrEx>
      <w:tc>
        <w:tcPr>
          <w:tcW w:w="750" w:type="pct"/>
          <w:tcBorders>
            <w:bottom w:val="single" w:color="auto" w:sz="6" w:space="0"/>
          </w:tcBorders>
          <w:noWrap w:val="0"/>
          <w:vAlign w:val="center"/>
        </w:tcPr>
        <w:p w14:paraId="7DF28854">
          <w:pPr>
            <w:rPr>
              <w:sz w:val="18"/>
              <w:szCs w:val="18"/>
            </w:rPr>
          </w:pPr>
        </w:p>
      </w:tc>
      <w:tc>
        <w:tcPr>
          <w:tcW w:w="3500" w:type="pct"/>
          <w:tcBorders>
            <w:bottom w:val="single" w:color="auto" w:sz="6" w:space="0"/>
          </w:tcBorders>
          <w:noWrap w:val="0"/>
          <w:vAlign w:val="center"/>
        </w:tcPr>
        <w:p w14:paraId="342A7904">
          <w:pPr>
            <w:jc w:val="center"/>
            <w:rPr>
              <w:rFonts w:hAnsi="宋体"/>
              <w:sz w:val="18"/>
              <w:szCs w:val="18"/>
            </w:rPr>
          </w:pPr>
          <w:r>
            <w:rPr>
              <w:rFonts w:hint="eastAsia" w:ascii="Times New Roman" w:hAnsi="Times New Roman" w:eastAsia="宋体" w:cs="Times New Roman"/>
              <w:b w:val="0"/>
              <w:i w:val="0"/>
              <w:color w:val="auto"/>
              <w:sz w:val="18"/>
              <w:vertAlign w:val="baseline"/>
            </w:rPr>
            <w:t>智能体致害的侵权归责：从产品缺陷到安全保障义务</w:t>
          </w:r>
        </w:p>
      </w:tc>
      <w:tc>
        <w:tcPr>
          <w:tcW w:w="750" w:type="pct"/>
          <w:tcBorders>
            <w:bottom w:val="single" w:color="auto" w:sz="6" w:space="0"/>
          </w:tcBorders>
          <w:noWrap w:val="0"/>
          <w:vAlign w:val="center"/>
        </w:tcPr>
        <w:p w14:paraId="08C4035F">
          <w:pPr>
            <w:jc w:val="right"/>
            <w:rPr>
              <w:sz w:val="18"/>
              <w:szCs w:val="18"/>
            </w:rPr>
          </w:pPr>
        </w:p>
      </w:tc>
    </w:tr>
  </w:tbl>
  <w:p w14:paraId="0C1A6204">
    <w:pPr>
      <w:pStyle w:val="13"/>
      <w:pBdr>
        <w:bottom w:val="none" w:color="auto" w:sz="0" w:space="0"/>
      </w:pBdr>
      <w:tabs>
        <w:tab w:val="clear" w:pos="4153"/>
        <w:tab w:val="clear" w:pos="8306"/>
      </w:tabs>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32095">
    <w:pPr>
      <w:pStyle w:val="13"/>
      <w:pBdr>
        <w:bottom w:val="none" w:color="auto" w:sz="0" w:space="0"/>
      </w:pBdr>
      <w:tabs>
        <w:tab w:val="clear" w:pos="4153"/>
        <w:tab w:val="clear" w:pos="8306"/>
      </w:tabs>
      <w:rPr>
        <w:sz w:val="11"/>
        <w:szCs w:val="11"/>
      </w:rPr>
    </w:pPr>
  </w:p>
  <w:p w14:paraId="10531578">
    <w:pPr>
      <w:pStyle w:val="13"/>
      <w:pBdr>
        <w:bottom w:val="none" w:color="auto" w:sz="0" w:space="0"/>
      </w:pBdr>
      <w:tabs>
        <w:tab w:val="clear" w:pos="4153"/>
        <w:tab w:val="clear" w:pos="8306"/>
      </w:tabs>
      <w:rPr>
        <w:sz w:val="11"/>
        <w:szCs w:val="11"/>
      </w:rPr>
    </w:pPr>
  </w:p>
  <w:tbl>
    <w:tblPr>
      <w:tblStyle w:val="22"/>
      <w:tblW w:w="5000" w:type="pct"/>
      <w:tblInd w:w="0" w:type="dxa"/>
      <w:tblLayout w:type="autofit"/>
      <w:tblCellMar>
        <w:top w:w="0" w:type="dxa"/>
        <w:left w:w="108" w:type="dxa"/>
        <w:bottom w:w="0" w:type="dxa"/>
        <w:right w:w="108" w:type="dxa"/>
      </w:tblCellMar>
    </w:tblPr>
    <w:tblGrid>
      <w:gridCol w:w="2319"/>
      <w:gridCol w:w="5073"/>
      <w:gridCol w:w="2462"/>
    </w:tblGrid>
    <w:tr w14:paraId="6D15C1C3">
      <w:tblPrEx>
        <w:tblCellMar>
          <w:top w:w="0" w:type="dxa"/>
          <w:left w:w="108" w:type="dxa"/>
          <w:bottom w:w="0" w:type="dxa"/>
          <w:right w:w="108" w:type="dxa"/>
        </w:tblCellMar>
      </w:tblPrEx>
      <w:tc>
        <w:tcPr>
          <w:tcW w:w="1177" w:type="pct"/>
          <w:tcBorders>
            <w:bottom w:val="single" w:color="auto" w:sz="6" w:space="0"/>
          </w:tcBorders>
          <w:noWrap w:val="0"/>
          <w:vAlign w:val="center"/>
        </w:tcPr>
        <w:p w14:paraId="3C20F48B">
          <w:pPr>
            <w:rPr>
              <w:sz w:val="18"/>
              <w:szCs w:val="18"/>
            </w:rPr>
          </w:pPr>
        </w:p>
      </w:tc>
      <w:tc>
        <w:tcPr>
          <w:tcW w:w="2574" w:type="pct"/>
          <w:tcBorders>
            <w:bottom w:val="single" w:color="auto" w:sz="6" w:space="0"/>
          </w:tcBorders>
          <w:noWrap w:val="0"/>
          <w:vAlign w:val="center"/>
        </w:tcPr>
        <w:p w14:paraId="1F2CFFE2">
          <w:pPr>
            <w:jc w:val="center"/>
            <w:rPr>
              <w:rFonts w:ascii="仿宋_GB2312" w:hAnsi="仿宋" w:eastAsia="仿宋_GB2312"/>
              <w:sz w:val="20"/>
              <w:szCs w:val="20"/>
              <w:highlight w:val="yellow"/>
            </w:rPr>
          </w:pPr>
          <w:r>
            <w:rPr>
              <w:rFonts w:hint="eastAsia" w:ascii="仿宋_GB2312" w:hAnsi="仿宋" w:eastAsia="仿宋_GB2312"/>
              <w:sz w:val="20"/>
              <w:szCs w:val="20"/>
            </w:rPr>
            <w:t>中国法学</w:t>
          </w:r>
        </w:p>
      </w:tc>
      <w:tc>
        <w:tcPr>
          <w:tcW w:w="1249" w:type="pct"/>
          <w:tcBorders>
            <w:bottom w:val="single" w:color="auto" w:sz="6" w:space="0"/>
          </w:tcBorders>
          <w:noWrap w:val="0"/>
          <w:vAlign w:val="center"/>
        </w:tcPr>
        <w:p w14:paraId="4A9714CA">
          <w:pPr>
            <w:jc w:val="right"/>
            <w:rPr>
              <w:rFonts w:ascii="仿宋_GB2312" w:eastAsia="仿宋_GB2312"/>
              <w:sz w:val="20"/>
              <w:szCs w:val="20"/>
            </w:rPr>
          </w:pPr>
          <w:r>
            <w:rPr>
              <w:rFonts w:ascii="仿宋_GB2312" w:hAnsi="仿宋_GB2312" w:eastAsia="仿宋_GB2312" w:cs="仿宋_GB2312"/>
              <w:b w:val="0"/>
              <w:i w:val="0"/>
              <w:sz w:val="20"/>
            </w:rPr>
            <w:t>****</w:t>
          </w:r>
          <w:r>
            <w:rPr>
              <w:rFonts w:hint="eastAsia" w:ascii="仿宋_GB2312" w:hAnsi="宋体" w:eastAsia="仿宋_GB2312"/>
              <w:sz w:val="20"/>
              <w:szCs w:val="20"/>
            </w:rPr>
            <w:t>年第</w:t>
          </w:r>
          <w:r>
            <w:rPr>
              <w:rFonts w:ascii="仿宋_GB2312" w:hAnsi="仿宋_GB2312" w:eastAsia="仿宋_GB2312" w:cs="仿宋_GB2312"/>
              <w:b w:val="0"/>
              <w:i w:val="0"/>
              <w:sz w:val="20"/>
            </w:rPr>
            <w:t>**</w:t>
          </w:r>
          <w:r>
            <w:rPr>
              <w:rFonts w:hint="eastAsia" w:ascii="仿宋_GB2312" w:hAnsi="宋体" w:eastAsia="仿宋_GB2312"/>
              <w:sz w:val="20"/>
              <w:szCs w:val="20"/>
            </w:rPr>
            <w:t>期</w:t>
          </w:r>
        </w:p>
      </w:tc>
    </w:tr>
  </w:tbl>
  <w:p w14:paraId="5EAFDB17">
    <w:pPr>
      <w:pStyle w:val="13"/>
      <w:pBdr>
        <w:bottom w:val="none" w:color="auto" w:sz="0" w:space="0"/>
      </w:pBdr>
      <w:tabs>
        <w:tab w:val="clear" w:pos="4153"/>
        <w:tab w:val="clear" w:pos="8306"/>
      </w:tabs>
      <w:rPr>
        <w:sz w:val="10"/>
        <w:szCs w:val="1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3EE2">
    <w:pPr>
      <w:pStyle w:val="13"/>
      <w:pBdr>
        <w:bottom w:val="none" w:color="auto" w:sz="0" w:space="0"/>
      </w:pBdr>
      <w:tabs>
        <w:tab w:val="clear" w:pos="4153"/>
        <w:tab w:val="clear" w:pos="8306"/>
      </w:tabs>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B700D6"/>
    <w:multiLevelType w:val="multilevel"/>
    <w:tmpl w:val="29B700D6"/>
    <w:lvl w:ilvl="0" w:tentative="0">
      <w:start w:val="1"/>
      <w:numFmt w:val="decimal"/>
      <w:pStyle w:val="75"/>
      <w:lvlText w:val="[%1]"/>
      <w:lvlJc w:val="left"/>
      <w:pPr>
        <w:tabs>
          <w:tab w:val="left" w:pos="473"/>
        </w:tabs>
        <w:ind w:left="47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ocumentProtection w:enforcement="0"/>
  <w:defaultTabStop w:val="420"/>
  <w:hyphenationZone w:val="360"/>
  <w:evenAndOddHeaders w:val="1"/>
  <w:drawingGridHorizontalSpacing w:val="105"/>
  <w:drawingGridVerticalSpacing w:val="156"/>
  <w:displayHorizontalDrawingGridEvery w:val="2"/>
  <w:displayVerticalDrawingGridEvery w:val="2"/>
  <w:noPunctuationKerning w:val="1"/>
  <w:characterSpacingControl w:val="compressPunctuation"/>
  <w:footnotePr>
    <w:numFmt w:val="decimalEnclosedCircleChinese"/>
    <w:footnote w:id="80"/>
    <w:footnote w:id="81"/>
  </w:footnotePr>
  <w:endnotePr>
    <w:numFmt w:val="decimal"/>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60C29"/>
    <w:rsid w:val="0000332D"/>
    <w:rsid w:val="00004124"/>
    <w:rsid w:val="00005C81"/>
    <w:rsid w:val="0001112B"/>
    <w:rsid w:val="0001197E"/>
    <w:rsid w:val="00014462"/>
    <w:rsid w:val="00015743"/>
    <w:rsid w:val="00017E00"/>
    <w:rsid w:val="000210B7"/>
    <w:rsid w:val="000211A6"/>
    <w:rsid w:val="00023B18"/>
    <w:rsid w:val="000309E2"/>
    <w:rsid w:val="00030B34"/>
    <w:rsid w:val="00037B43"/>
    <w:rsid w:val="000419CC"/>
    <w:rsid w:val="00042793"/>
    <w:rsid w:val="00043C7D"/>
    <w:rsid w:val="00045E14"/>
    <w:rsid w:val="00047F6F"/>
    <w:rsid w:val="00052100"/>
    <w:rsid w:val="0005297D"/>
    <w:rsid w:val="000529D3"/>
    <w:rsid w:val="0005534D"/>
    <w:rsid w:val="00055399"/>
    <w:rsid w:val="00055951"/>
    <w:rsid w:val="00062FFF"/>
    <w:rsid w:val="00070F5B"/>
    <w:rsid w:val="00071015"/>
    <w:rsid w:val="00071D2F"/>
    <w:rsid w:val="00072458"/>
    <w:rsid w:val="00077718"/>
    <w:rsid w:val="00077F9F"/>
    <w:rsid w:val="0008296D"/>
    <w:rsid w:val="00083893"/>
    <w:rsid w:val="000872BC"/>
    <w:rsid w:val="00090ADF"/>
    <w:rsid w:val="000942E4"/>
    <w:rsid w:val="00095BE8"/>
    <w:rsid w:val="000A2302"/>
    <w:rsid w:val="000A2307"/>
    <w:rsid w:val="000A2B0E"/>
    <w:rsid w:val="000A3FD0"/>
    <w:rsid w:val="000A44CE"/>
    <w:rsid w:val="000A4F21"/>
    <w:rsid w:val="000A5063"/>
    <w:rsid w:val="000A65D4"/>
    <w:rsid w:val="000B28E7"/>
    <w:rsid w:val="000B7F45"/>
    <w:rsid w:val="000C0410"/>
    <w:rsid w:val="000D443B"/>
    <w:rsid w:val="000D4CD6"/>
    <w:rsid w:val="000D64AE"/>
    <w:rsid w:val="000E2AC4"/>
    <w:rsid w:val="000E2B46"/>
    <w:rsid w:val="000E71E5"/>
    <w:rsid w:val="000F119D"/>
    <w:rsid w:val="000F1223"/>
    <w:rsid w:val="000F737E"/>
    <w:rsid w:val="000F7CA9"/>
    <w:rsid w:val="001010E5"/>
    <w:rsid w:val="00101FC2"/>
    <w:rsid w:val="00102468"/>
    <w:rsid w:val="0010260B"/>
    <w:rsid w:val="00102B00"/>
    <w:rsid w:val="00104831"/>
    <w:rsid w:val="0010561A"/>
    <w:rsid w:val="00106CA2"/>
    <w:rsid w:val="001104A2"/>
    <w:rsid w:val="00111C98"/>
    <w:rsid w:val="001125C2"/>
    <w:rsid w:val="00112920"/>
    <w:rsid w:val="00114650"/>
    <w:rsid w:val="00114715"/>
    <w:rsid w:val="00115696"/>
    <w:rsid w:val="00116E07"/>
    <w:rsid w:val="001219BB"/>
    <w:rsid w:val="0012452A"/>
    <w:rsid w:val="00127CFC"/>
    <w:rsid w:val="00130EF5"/>
    <w:rsid w:val="0013490A"/>
    <w:rsid w:val="00135D2C"/>
    <w:rsid w:val="001367B9"/>
    <w:rsid w:val="00136C1A"/>
    <w:rsid w:val="001378AD"/>
    <w:rsid w:val="001409EB"/>
    <w:rsid w:val="001410CC"/>
    <w:rsid w:val="00141C30"/>
    <w:rsid w:val="00143495"/>
    <w:rsid w:val="00143F82"/>
    <w:rsid w:val="0015005B"/>
    <w:rsid w:val="001510EA"/>
    <w:rsid w:val="00151515"/>
    <w:rsid w:val="00152BDF"/>
    <w:rsid w:val="00152F2C"/>
    <w:rsid w:val="0015305F"/>
    <w:rsid w:val="00154284"/>
    <w:rsid w:val="001545C1"/>
    <w:rsid w:val="00154C33"/>
    <w:rsid w:val="001661D7"/>
    <w:rsid w:val="00171C1F"/>
    <w:rsid w:val="0017335C"/>
    <w:rsid w:val="001746DD"/>
    <w:rsid w:val="001831AA"/>
    <w:rsid w:val="0018615D"/>
    <w:rsid w:val="00186C65"/>
    <w:rsid w:val="00186D62"/>
    <w:rsid w:val="001951C2"/>
    <w:rsid w:val="00196A95"/>
    <w:rsid w:val="001973AF"/>
    <w:rsid w:val="001A0D12"/>
    <w:rsid w:val="001A1C05"/>
    <w:rsid w:val="001A349E"/>
    <w:rsid w:val="001A3DA4"/>
    <w:rsid w:val="001A4454"/>
    <w:rsid w:val="001A4CDE"/>
    <w:rsid w:val="001A4EE8"/>
    <w:rsid w:val="001B3392"/>
    <w:rsid w:val="001B4CA9"/>
    <w:rsid w:val="001C145B"/>
    <w:rsid w:val="001C19E5"/>
    <w:rsid w:val="001C4D64"/>
    <w:rsid w:val="001C4ECE"/>
    <w:rsid w:val="001C6D6C"/>
    <w:rsid w:val="001D059C"/>
    <w:rsid w:val="001D0FC5"/>
    <w:rsid w:val="001D382B"/>
    <w:rsid w:val="001E10D1"/>
    <w:rsid w:val="001E33FF"/>
    <w:rsid w:val="001E5D2B"/>
    <w:rsid w:val="001E6148"/>
    <w:rsid w:val="001E6217"/>
    <w:rsid w:val="001E6FD4"/>
    <w:rsid w:val="001E719A"/>
    <w:rsid w:val="001F2AA3"/>
    <w:rsid w:val="001F71B7"/>
    <w:rsid w:val="00201089"/>
    <w:rsid w:val="00202560"/>
    <w:rsid w:val="00202B73"/>
    <w:rsid w:val="00202E68"/>
    <w:rsid w:val="00202ECF"/>
    <w:rsid w:val="00203CDD"/>
    <w:rsid w:val="00204DCF"/>
    <w:rsid w:val="0020532C"/>
    <w:rsid w:val="00205FE8"/>
    <w:rsid w:val="00207073"/>
    <w:rsid w:val="00207E0C"/>
    <w:rsid w:val="00213384"/>
    <w:rsid w:val="00215668"/>
    <w:rsid w:val="00216455"/>
    <w:rsid w:val="0021711C"/>
    <w:rsid w:val="002205F5"/>
    <w:rsid w:val="00225BAC"/>
    <w:rsid w:val="002307EA"/>
    <w:rsid w:val="00235B62"/>
    <w:rsid w:val="002408DD"/>
    <w:rsid w:val="0024176D"/>
    <w:rsid w:val="00241FE6"/>
    <w:rsid w:val="00245899"/>
    <w:rsid w:val="00247D2C"/>
    <w:rsid w:val="002501B5"/>
    <w:rsid w:val="00255138"/>
    <w:rsid w:val="00255E98"/>
    <w:rsid w:val="002565E1"/>
    <w:rsid w:val="002571B3"/>
    <w:rsid w:val="002602D7"/>
    <w:rsid w:val="00260619"/>
    <w:rsid w:val="0026166D"/>
    <w:rsid w:val="00265B9A"/>
    <w:rsid w:val="00270FE8"/>
    <w:rsid w:val="00272EBB"/>
    <w:rsid w:val="00280ECE"/>
    <w:rsid w:val="0028660B"/>
    <w:rsid w:val="002929FD"/>
    <w:rsid w:val="00293AD7"/>
    <w:rsid w:val="00293B20"/>
    <w:rsid w:val="0029417D"/>
    <w:rsid w:val="00295A27"/>
    <w:rsid w:val="00297166"/>
    <w:rsid w:val="002A17A5"/>
    <w:rsid w:val="002A2990"/>
    <w:rsid w:val="002B02D8"/>
    <w:rsid w:val="002B1DF0"/>
    <w:rsid w:val="002B4D7B"/>
    <w:rsid w:val="002B5482"/>
    <w:rsid w:val="002B6997"/>
    <w:rsid w:val="002B6D33"/>
    <w:rsid w:val="002B7A88"/>
    <w:rsid w:val="002C35B8"/>
    <w:rsid w:val="002C3624"/>
    <w:rsid w:val="002C77AE"/>
    <w:rsid w:val="002D0B7E"/>
    <w:rsid w:val="002D1159"/>
    <w:rsid w:val="002D1F11"/>
    <w:rsid w:val="002D2135"/>
    <w:rsid w:val="002D7892"/>
    <w:rsid w:val="002E15AE"/>
    <w:rsid w:val="002E2021"/>
    <w:rsid w:val="002E22EA"/>
    <w:rsid w:val="002E2F2E"/>
    <w:rsid w:val="002E6630"/>
    <w:rsid w:val="002E7C16"/>
    <w:rsid w:val="002F4248"/>
    <w:rsid w:val="002F45F1"/>
    <w:rsid w:val="002F461F"/>
    <w:rsid w:val="002F4A5B"/>
    <w:rsid w:val="002F561E"/>
    <w:rsid w:val="00303218"/>
    <w:rsid w:val="00303E99"/>
    <w:rsid w:val="003050BA"/>
    <w:rsid w:val="00307D7C"/>
    <w:rsid w:val="00310A97"/>
    <w:rsid w:val="00311143"/>
    <w:rsid w:val="00311715"/>
    <w:rsid w:val="00317EC9"/>
    <w:rsid w:val="00321559"/>
    <w:rsid w:val="00322197"/>
    <w:rsid w:val="003226DC"/>
    <w:rsid w:val="003233EF"/>
    <w:rsid w:val="003275B9"/>
    <w:rsid w:val="00330D02"/>
    <w:rsid w:val="00332E8D"/>
    <w:rsid w:val="0033327C"/>
    <w:rsid w:val="00335E1D"/>
    <w:rsid w:val="00335F4F"/>
    <w:rsid w:val="00337FEC"/>
    <w:rsid w:val="003416C7"/>
    <w:rsid w:val="003419B4"/>
    <w:rsid w:val="0034265E"/>
    <w:rsid w:val="0034348C"/>
    <w:rsid w:val="00344202"/>
    <w:rsid w:val="00346FA3"/>
    <w:rsid w:val="00346FEA"/>
    <w:rsid w:val="00347004"/>
    <w:rsid w:val="003533B4"/>
    <w:rsid w:val="00354CAA"/>
    <w:rsid w:val="00354E3C"/>
    <w:rsid w:val="00355885"/>
    <w:rsid w:val="00356C1B"/>
    <w:rsid w:val="00361F82"/>
    <w:rsid w:val="00363418"/>
    <w:rsid w:val="003640AB"/>
    <w:rsid w:val="00364659"/>
    <w:rsid w:val="003710DD"/>
    <w:rsid w:val="00371103"/>
    <w:rsid w:val="00372B1B"/>
    <w:rsid w:val="00372F05"/>
    <w:rsid w:val="00373497"/>
    <w:rsid w:val="0037444A"/>
    <w:rsid w:val="003762D7"/>
    <w:rsid w:val="00376688"/>
    <w:rsid w:val="00377054"/>
    <w:rsid w:val="003803DA"/>
    <w:rsid w:val="0038081E"/>
    <w:rsid w:val="00382B63"/>
    <w:rsid w:val="00383979"/>
    <w:rsid w:val="00383D17"/>
    <w:rsid w:val="00383F2B"/>
    <w:rsid w:val="0038432B"/>
    <w:rsid w:val="0038459F"/>
    <w:rsid w:val="00385DB4"/>
    <w:rsid w:val="00386EC4"/>
    <w:rsid w:val="003909B3"/>
    <w:rsid w:val="0039167C"/>
    <w:rsid w:val="00394D48"/>
    <w:rsid w:val="00396422"/>
    <w:rsid w:val="003A1B14"/>
    <w:rsid w:val="003A24E1"/>
    <w:rsid w:val="003A4336"/>
    <w:rsid w:val="003B022B"/>
    <w:rsid w:val="003B177D"/>
    <w:rsid w:val="003B1EC2"/>
    <w:rsid w:val="003B22BC"/>
    <w:rsid w:val="003B4A19"/>
    <w:rsid w:val="003B5C16"/>
    <w:rsid w:val="003B68B6"/>
    <w:rsid w:val="003C1775"/>
    <w:rsid w:val="003C3D65"/>
    <w:rsid w:val="003C4084"/>
    <w:rsid w:val="003C6816"/>
    <w:rsid w:val="003C7DB3"/>
    <w:rsid w:val="003D2A94"/>
    <w:rsid w:val="003D2CC0"/>
    <w:rsid w:val="003D4EBA"/>
    <w:rsid w:val="003E0DA2"/>
    <w:rsid w:val="003E0DAE"/>
    <w:rsid w:val="003E1950"/>
    <w:rsid w:val="003E1B2F"/>
    <w:rsid w:val="003E630D"/>
    <w:rsid w:val="003E64B1"/>
    <w:rsid w:val="003E663D"/>
    <w:rsid w:val="003E6FC3"/>
    <w:rsid w:val="003E791C"/>
    <w:rsid w:val="003F0CE2"/>
    <w:rsid w:val="003F1C80"/>
    <w:rsid w:val="003F4964"/>
    <w:rsid w:val="003F7227"/>
    <w:rsid w:val="004006AC"/>
    <w:rsid w:val="004075EF"/>
    <w:rsid w:val="004116CF"/>
    <w:rsid w:val="004118F7"/>
    <w:rsid w:val="00412E58"/>
    <w:rsid w:val="00412FFD"/>
    <w:rsid w:val="0041436F"/>
    <w:rsid w:val="00414404"/>
    <w:rsid w:val="00414D69"/>
    <w:rsid w:val="00421398"/>
    <w:rsid w:val="0042208B"/>
    <w:rsid w:val="00423339"/>
    <w:rsid w:val="004256F6"/>
    <w:rsid w:val="00425A1A"/>
    <w:rsid w:val="004305D5"/>
    <w:rsid w:val="00433E8E"/>
    <w:rsid w:val="00435D18"/>
    <w:rsid w:val="004368A9"/>
    <w:rsid w:val="004400AE"/>
    <w:rsid w:val="004436DA"/>
    <w:rsid w:val="004437AB"/>
    <w:rsid w:val="00443963"/>
    <w:rsid w:val="00446777"/>
    <w:rsid w:val="00446AE4"/>
    <w:rsid w:val="00450722"/>
    <w:rsid w:val="00451832"/>
    <w:rsid w:val="004518A4"/>
    <w:rsid w:val="00455AEC"/>
    <w:rsid w:val="00456620"/>
    <w:rsid w:val="004611F4"/>
    <w:rsid w:val="00462F24"/>
    <w:rsid w:val="00467176"/>
    <w:rsid w:val="004675F0"/>
    <w:rsid w:val="00471B3C"/>
    <w:rsid w:val="004740C1"/>
    <w:rsid w:val="00474452"/>
    <w:rsid w:val="00474894"/>
    <w:rsid w:val="004772CC"/>
    <w:rsid w:val="0047768D"/>
    <w:rsid w:val="004779C8"/>
    <w:rsid w:val="004800F8"/>
    <w:rsid w:val="00480717"/>
    <w:rsid w:val="00490915"/>
    <w:rsid w:val="00493593"/>
    <w:rsid w:val="0049594A"/>
    <w:rsid w:val="00495B85"/>
    <w:rsid w:val="0049628D"/>
    <w:rsid w:val="00496750"/>
    <w:rsid w:val="00497E09"/>
    <w:rsid w:val="004A1008"/>
    <w:rsid w:val="004A25B3"/>
    <w:rsid w:val="004A3F56"/>
    <w:rsid w:val="004B2E13"/>
    <w:rsid w:val="004C00C5"/>
    <w:rsid w:val="004C3BD4"/>
    <w:rsid w:val="004C3CA6"/>
    <w:rsid w:val="004C4BD8"/>
    <w:rsid w:val="004C5E87"/>
    <w:rsid w:val="004C6E53"/>
    <w:rsid w:val="004C7264"/>
    <w:rsid w:val="004D1BED"/>
    <w:rsid w:val="004D2669"/>
    <w:rsid w:val="004D5946"/>
    <w:rsid w:val="004D7855"/>
    <w:rsid w:val="004E1EFE"/>
    <w:rsid w:val="004E34C3"/>
    <w:rsid w:val="004E3877"/>
    <w:rsid w:val="004E50B5"/>
    <w:rsid w:val="004E6AA6"/>
    <w:rsid w:val="004F2123"/>
    <w:rsid w:val="004F24B3"/>
    <w:rsid w:val="004F2906"/>
    <w:rsid w:val="004F6F43"/>
    <w:rsid w:val="00500D46"/>
    <w:rsid w:val="0050107F"/>
    <w:rsid w:val="00503BA6"/>
    <w:rsid w:val="0050585E"/>
    <w:rsid w:val="00506409"/>
    <w:rsid w:val="00511B1C"/>
    <w:rsid w:val="00514A53"/>
    <w:rsid w:val="00517F12"/>
    <w:rsid w:val="005206DF"/>
    <w:rsid w:val="005248A3"/>
    <w:rsid w:val="00524F61"/>
    <w:rsid w:val="005259AE"/>
    <w:rsid w:val="0052694D"/>
    <w:rsid w:val="00526D4A"/>
    <w:rsid w:val="00530599"/>
    <w:rsid w:val="005315C5"/>
    <w:rsid w:val="00531784"/>
    <w:rsid w:val="00535DA3"/>
    <w:rsid w:val="00542064"/>
    <w:rsid w:val="00543218"/>
    <w:rsid w:val="00543285"/>
    <w:rsid w:val="00544458"/>
    <w:rsid w:val="00544A37"/>
    <w:rsid w:val="005470B1"/>
    <w:rsid w:val="00547BF9"/>
    <w:rsid w:val="00550189"/>
    <w:rsid w:val="00550920"/>
    <w:rsid w:val="0055187B"/>
    <w:rsid w:val="005550AD"/>
    <w:rsid w:val="00560807"/>
    <w:rsid w:val="00560EF6"/>
    <w:rsid w:val="005610FE"/>
    <w:rsid w:val="00562468"/>
    <w:rsid w:val="00562DF6"/>
    <w:rsid w:val="0056367A"/>
    <w:rsid w:val="00564C97"/>
    <w:rsid w:val="0057080A"/>
    <w:rsid w:val="00570E06"/>
    <w:rsid w:val="005719DD"/>
    <w:rsid w:val="00573AED"/>
    <w:rsid w:val="00574386"/>
    <w:rsid w:val="00575274"/>
    <w:rsid w:val="00585729"/>
    <w:rsid w:val="005901B4"/>
    <w:rsid w:val="00590541"/>
    <w:rsid w:val="0059207B"/>
    <w:rsid w:val="0059576A"/>
    <w:rsid w:val="005969E3"/>
    <w:rsid w:val="005A1CE5"/>
    <w:rsid w:val="005A2EE6"/>
    <w:rsid w:val="005A3EFB"/>
    <w:rsid w:val="005A4624"/>
    <w:rsid w:val="005A69B2"/>
    <w:rsid w:val="005A7BBB"/>
    <w:rsid w:val="005B46B1"/>
    <w:rsid w:val="005B4B5C"/>
    <w:rsid w:val="005B504C"/>
    <w:rsid w:val="005C5290"/>
    <w:rsid w:val="005D119A"/>
    <w:rsid w:val="005D22F9"/>
    <w:rsid w:val="005D2358"/>
    <w:rsid w:val="005D320C"/>
    <w:rsid w:val="005D4C7D"/>
    <w:rsid w:val="005D6832"/>
    <w:rsid w:val="005E017B"/>
    <w:rsid w:val="005E0DE1"/>
    <w:rsid w:val="005E209E"/>
    <w:rsid w:val="005E3FC8"/>
    <w:rsid w:val="005E4654"/>
    <w:rsid w:val="005E6508"/>
    <w:rsid w:val="005F0601"/>
    <w:rsid w:val="005F6CB2"/>
    <w:rsid w:val="006024A0"/>
    <w:rsid w:val="00604731"/>
    <w:rsid w:val="006048DF"/>
    <w:rsid w:val="00607C31"/>
    <w:rsid w:val="00610E20"/>
    <w:rsid w:val="006111DD"/>
    <w:rsid w:val="00614894"/>
    <w:rsid w:val="00616D6A"/>
    <w:rsid w:val="006204E1"/>
    <w:rsid w:val="00621926"/>
    <w:rsid w:val="006268B7"/>
    <w:rsid w:val="00627C8A"/>
    <w:rsid w:val="006314A6"/>
    <w:rsid w:val="00631D1A"/>
    <w:rsid w:val="00632316"/>
    <w:rsid w:val="00635402"/>
    <w:rsid w:val="006361A6"/>
    <w:rsid w:val="006367C4"/>
    <w:rsid w:val="00643074"/>
    <w:rsid w:val="00644EE7"/>
    <w:rsid w:val="00645DB4"/>
    <w:rsid w:val="006460CF"/>
    <w:rsid w:val="00646C87"/>
    <w:rsid w:val="00650158"/>
    <w:rsid w:val="00652A91"/>
    <w:rsid w:val="006554CF"/>
    <w:rsid w:val="0066557F"/>
    <w:rsid w:val="00667E95"/>
    <w:rsid w:val="00682B3B"/>
    <w:rsid w:val="006871C7"/>
    <w:rsid w:val="00687BAB"/>
    <w:rsid w:val="00693D10"/>
    <w:rsid w:val="00695492"/>
    <w:rsid w:val="0069549F"/>
    <w:rsid w:val="00696EF6"/>
    <w:rsid w:val="006A3CB1"/>
    <w:rsid w:val="006A3FD3"/>
    <w:rsid w:val="006A7961"/>
    <w:rsid w:val="006B0203"/>
    <w:rsid w:val="006B10D9"/>
    <w:rsid w:val="006C0375"/>
    <w:rsid w:val="006C1233"/>
    <w:rsid w:val="006C176A"/>
    <w:rsid w:val="006C1B8C"/>
    <w:rsid w:val="006C32BC"/>
    <w:rsid w:val="006C3E1C"/>
    <w:rsid w:val="006C4212"/>
    <w:rsid w:val="006C4F81"/>
    <w:rsid w:val="006D07B0"/>
    <w:rsid w:val="006D13CB"/>
    <w:rsid w:val="006D5200"/>
    <w:rsid w:val="006D5758"/>
    <w:rsid w:val="006D6E58"/>
    <w:rsid w:val="006E0A44"/>
    <w:rsid w:val="006E0D34"/>
    <w:rsid w:val="006E2C7B"/>
    <w:rsid w:val="006E3F55"/>
    <w:rsid w:val="006E7985"/>
    <w:rsid w:val="006F025F"/>
    <w:rsid w:val="006F0DF4"/>
    <w:rsid w:val="006F387E"/>
    <w:rsid w:val="006F3FD7"/>
    <w:rsid w:val="006F44EA"/>
    <w:rsid w:val="006F5DCA"/>
    <w:rsid w:val="006F74B9"/>
    <w:rsid w:val="00703A43"/>
    <w:rsid w:val="0070461A"/>
    <w:rsid w:val="00704765"/>
    <w:rsid w:val="00704BFA"/>
    <w:rsid w:val="007117A1"/>
    <w:rsid w:val="007124AB"/>
    <w:rsid w:val="00712871"/>
    <w:rsid w:val="007143D3"/>
    <w:rsid w:val="00716541"/>
    <w:rsid w:val="00717AF6"/>
    <w:rsid w:val="00723B9A"/>
    <w:rsid w:val="007252A7"/>
    <w:rsid w:val="0072560F"/>
    <w:rsid w:val="0072615D"/>
    <w:rsid w:val="00730A69"/>
    <w:rsid w:val="00732226"/>
    <w:rsid w:val="0073332B"/>
    <w:rsid w:val="0073720C"/>
    <w:rsid w:val="007407A3"/>
    <w:rsid w:val="007437CB"/>
    <w:rsid w:val="007454E1"/>
    <w:rsid w:val="00746091"/>
    <w:rsid w:val="00747194"/>
    <w:rsid w:val="00747435"/>
    <w:rsid w:val="00750728"/>
    <w:rsid w:val="00756542"/>
    <w:rsid w:val="00756EBD"/>
    <w:rsid w:val="007603FE"/>
    <w:rsid w:val="00760C29"/>
    <w:rsid w:val="0076138C"/>
    <w:rsid w:val="00761A9D"/>
    <w:rsid w:val="00767FFB"/>
    <w:rsid w:val="007737CD"/>
    <w:rsid w:val="00774CB3"/>
    <w:rsid w:val="007775BE"/>
    <w:rsid w:val="0078145F"/>
    <w:rsid w:val="007817BD"/>
    <w:rsid w:val="00782029"/>
    <w:rsid w:val="00783374"/>
    <w:rsid w:val="00783480"/>
    <w:rsid w:val="00785568"/>
    <w:rsid w:val="00787ADF"/>
    <w:rsid w:val="0079223F"/>
    <w:rsid w:val="00792704"/>
    <w:rsid w:val="00793057"/>
    <w:rsid w:val="00794E5A"/>
    <w:rsid w:val="007A47A7"/>
    <w:rsid w:val="007A4A89"/>
    <w:rsid w:val="007A520C"/>
    <w:rsid w:val="007A5B32"/>
    <w:rsid w:val="007B2818"/>
    <w:rsid w:val="007B4844"/>
    <w:rsid w:val="007B7895"/>
    <w:rsid w:val="007C1595"/>
    <w:rsid w:val="007C22CB"/>
    <w:rsid w:val="007C5BEF"/>
    <w:rsid w:val="007C5E5E"/>
    <w:rsid w:val="007C7EC6"/>
    <w:rsid w:val="007D3094"/>
    <w:rsid w:val="007D69DF"/>
    <w:rsid w:val="007D7B50"/>
    <w:rsid w:val="007E0BE7"/>
    <w:rsid w:val="007E305F"/>
    <w:rsid w:val="007E4AE7"/>
    <w:rsid w:val="007E551F"/>
    <w:rsid w:val="007E5589"/>
    <w:rsid w:val="007E73BC"/>
    <w:rsid w:val="007F0908"/>
    <w:rsid w:val="007F10CC"/>
    <w:rsid w:val="007F3391"/>
    <w:rsid w:val="007F58C2"/>
    <w:rsid w:val="007F6252"/>
    <w:rsid w:val="0080092A"/>
    <w:rsid w:val="00802A08"/>
    <w:rsid w:val="00803A6D"/>
    <w:rsid w:val="00805690"/>
    <w:rsid w:val="00805E90"/>
    <w:rsid w:val="0080711B"/>
    <w:rsid w:val="0082011D"/>
    <w:rsid w:val="008225A6"/>
    <w:rsid w:val="00823A3C"/>
    <w:rsid w:val="008251A9"/>
    <w:rsid w:val="00831531"/>
    <w:rsid w:val="00831F2F"/>
    <w:rsid w:val="00833FA4"/>
    <w:rsid w:val="008350A8"/>
    <w:rsid w:val="00835D8D"/>
    <w:rsid w:val="008449AA"/>
    <w:rsid w:val="00844BAA"/>
    <w:rsid w:val="00844BE9"/>
    <w:rsid w:val="00845C04"/>
    <w:rsid w:val="00855F04"/>
    <w:rsid w:val="0085602D"/>
    <w:rsid w:val="00861D02"/>
    <w:rsid w:val="00863E92"/>
    <w:rsid w:val="008675C9"/>
    <w:rsid w:val="008679F2"/>
    <w:rsid w:val="00870037"/>
    <w:rsid w:val="00870EEF"/>
    <w:rsid w:val="00876B3E"/>
    <w:rsid w:val="00881AF5"/>
    <w:rsid w:val="00883B1C"/>
    <w:rsid w:val="0088446E"/>
    <w:rsid w:val="0088514B"/>
    <w:rsid w:val="00887462"/>
    <w:rsid w:val="00890637"/>
    <w:rsid w:val="008915C5"/>
    <w:rsid w:val="008916F4"/>
    <w:rsid w:val="008920F6"/>
    <w:rsid w:val="0089728B"/>
    <w:rsid w:val="00897C5D"/>
    <w:rsid w:val="008B5A64"/>
    <w:rsid w:val="008B66CB"/>
    <w:rsid w:val="008C284E"/>
    <w:rsid w:val="008C286B"/>
    <w:rsid w:val="008C565D"/>
    <w:rsid w:val="008C56A4"/>
    <w:rsid w:val="008C63A2"/>
    <w:rsid w:val="008D1874"/>
    <w:rsid w:val="008D2484"/>
    <w:rsid w:val="008D3DC6"/>
    <w:rsid w:val="008D4981"/>
    <w:rsid w:val="008D7381"/>
    <w:rsid w:val="008F0F53"/>
    <w:rsid w:val="008F3618"/>
    <w:rsid w:val="008F74DD"/>
    <w:rsid w:val="00906F29"/>
    <w:rsid w:val="00907228"/>
    <w:rsid w:val="00907939"/>
    <w:rsid w:val="00910F67"/>
    <w:rsid w:val="009131ED"/>
    <w:rsid w:val="00915CF3"/>
    <w:rsid w:val="0091740E"/>
    <w:rsid w:val="00917860"/>
    <w:rsid w:val="00920E1E"/>
    <w:rsid w:val="00924DC0"/>
    <w:rsid w:val="00925046"/>
    <w:rsid w:val="009277C8"/>
    <w:rsid w:val="00930C70"/>
    <w:rsid w:val="009357FF"/>
    <w:rsid w:val="00936BCD"/>
    <w:rsid w:val="00937F8F"/>
    <w:rsid w:val="00940A1C"/>
    <w:rsid w:val="00941510"/>
    <w:rsid w:val="00941641"/>
    <w:rsid w:val="00943CC0"/>
    <w:rsid w:val="00945629"/>
    <w:rsid w:val="009462A4"/>
    <w:rsid w:val="009466D8"/>
    <w:rsid w:val="009529A9"/>
    <w:rsid w:val="0095380E"/>
    <w:rsid w:val="00955174"/>
    <w:rsid w:val="00955289"/>
    <w:rsid w:val="00955BBA"/>
    <w:rsid w:val="00960B0C"/>
    <w:rsid w:val="00961BF8"/>
    <w:rsid w:val="009650FC"/>
    <w:rsid w:val="00971881"/>
    <w:rsid w:val="00977175"/>
    <w:rsid w:val="0099251F"/>
    <w:rsid w:val="00994A8F"/>
    <w:rsid w:val="00996553"/>
    <w:rsid w:val="009A23AE"/>
    <w:rsid w:val="009A7357"/>
    <w:rsid w:val="009B3A06"/>
    <w:rsid w:val="009B3A66"/>
    <w:rsid w:val="009B572A"/>
    <w:rsid w:val="009B6E01"/>
    <w:rsid w:val="009B71F0"/>
    <w:rsid w:val="009B729D"/>
    <w:rsid w:val="009C3944"/>
    <w:rsid w:val="009C5205"/>
    <w:rsid w:val="009D19A3"/>
    <w:rsid w:val="009D1C0A"/>
    <w:rsid w:val="009D1FC3"/>
    <w:rsid w:val="009D7B6F"/>
    <w:rsid w:val="009D7FF0"/>
    <w:rsid w:val="009E0B17"/>
    <w:rsid w:val="009E0D49"/>
    <w:rsid w:val="009E36F4"/>
    <w:rsid w:val="009E4978"/>
    <w:rsid w:val="009E6FFA"/>
    <w:rsid w:val="009F015B"/>
    <w:rsid w:val="009F26A4"/>
    <w:rsid w:val="009F7276"/>
    <w:rsid w:val="009F7F31"/>
    <w:rsid w:val="00A00CBA"/>
    <w:rsid w:val="00A02373"/>
    <w:rsid w:val="00A03674"/>
    <w:rsid w:val="00A03728"/>
    <w:rsid w:val="00A03915"/>
    <w:rsid w:val="00A04636"/>
    <w:rsid w:val="00A07954"/>
    <w:rsid w:val="00A117D7"/>
    <w:rsid w:val="00A14750"/>
    <w:rsid w:val="00A147D8"/>
    <w:rsid w:val="00A155BB"/>
    <w:rsid w:val="00A15A4E"/>
    <w:rsid w:val="00A26965"/>
    <w:rsid w:val="00A30002"/>
    <w:rsid w:val="00A36CEA"/>
    <w:rsid w:val="00A40CF4"/>
    <w:rsid w:val="00A42F85"/>
    <w:rsid w:val="00A43FE3"/>
    <w:rsid w:val="00A552C6"/>
    <w:rsid w:val="00A55DAE"/>
    <w:rsid w:val="00A577B3"/>
    <w:rsid w:val="00A6274D"/>
    <w:rsid w:val="00A62E55"/>
    <w:rsid w:val="00A7052A"/>
    <w:rsid w:val="00A7092D"/>
    <w:rsid w:val="00A72416"/>
    <w:rsid w:val="00A76C13"/>
    <w:rsid w:val="00A8199F"/>
    <w:rsid w:val="00A82937"/>
    <w:rsid w:val="00A82C10"/>
    <w:rsid w:val="00A84994"/>
    <w:rsid w:val="00A8541C"/>
    <w:rsid w:val="00A8579B"/>
    <w:rsid w:val="00A860C5"/>
    <w:rsid w:val="00A86B75"/>
    <w:rsid w:val="00A90D2C"/>
    <w:rsid w:val="00A92739"/>
    <w:rsid w:val="00A9423F"/>
    <w:rsid w:val="00A94DC3"/>
    <w:rsid w:val="00A964D9"/>
    <w:rsid w:val="00A96E9E"/>
    <w:rsid w:val="00AA2AED"/>
    <w:rsid w:val="00AA3989"/>
    <w:rsid w:val="00AA3D27"/>
    <w:rsid w:val="00AA5087"/>
    <w:rsid w:val="00AA55F7"/>
    <w:rsid w:val="00AB3102"/>
    <w:rsid w:val="00AB3A07"/>
    <w:rsid w:val="00AB5CB4"/>
    <w:rsid w:val="00AB632D"/>
    <w:rsid w:val="00AB7760"/>
    <w:rsid w:val="00AC076B"/>
    <w:rsid w:val="00AC1FE1"/>
    <w:rsid w:val="00AD3EDD"/>
    <w:rsid w:val="00AD4B0D"/>
    <w:rsid w:val="00AD5A84"/>
    <w:rsid w:val="00AE217E"/>
    <w:rsid w:val="00AE2B2C"/>
    <w:rsid w:val="00AE3F7A"/>
    <w:rsid w:val="00AE46C8"/>
    <w:rsid w:val="00AF0C86"/>
    <w:rsid w:val="00AF0F7E"/>
    <w:rsid w:val="00AF6261"/>
    <w:rsid w:val="00AF7024"/>
    <w:rsid w:val="00B00890"/>
    <w:rsid w:val="00B01528"/>
    <w:rsid w:val="00B01A3C"/>
    <w:rsid w:val="00B07B88"/>
    <w:rsid w:val="00B11E20"/>
    <w:rsid w:val="00B127EF"/>
    <w:rsid w:val="00B14C23"/>
    <w:rsid w:val="00B21CF2"/>
    <w:rsid w:val="00B27A9F"/>
    <w:rsid w:val="00B27E2E"/>
    <w:rsid w:val="00B30710"/>
    <w:rsid w:val="00B34CAC"/>
    <w:rsid w:val="00B351B9"/>
    <w:rsid w:val="00B4066B"/>
    <w:rsid w:val="00B40791"/>
    <w:rsid w:val="00B45A2D"/>
    <w:rsid w:val="00B47711"/>
    <w:rsid w:val="00B47D68"/>
    <w:rsid w:val="00B51F6F"/>
    <w:rsid w:val="00B603EF"/>
    <w:rsid w:val="00B61A59"/>
    <w:rsid w:val="00B621BA"/>
    <w:rsid w:val="00B623EE"/>
    <w:rsid w:val="00B6445B"/>
    <w:rsid w:val="00B64DF3"/>
    <w:rsid w:val="00B66D95"/>
    <w:rsid w:val="00B66FA7"/>
    <w:rsid w:val="00B70201"/>
    <w:rsid w:val="00B70CB5"/>
    <w:rsid w:val="00B715D2"/>
    <w:rsid w:val="00B80110"/>
    <w:rsid w:val="00B80F6A"/>
    <w:rsid w:val="00B83787"/>
    <w:rsid w:val="00B8431F"/>
    <w:rsid w:val="00B86A62"/>
    <w:rsid w:val="00B878AF"/>
    <w:rsid w:val="00B944AA"/>
    <w:rsid w:val="00B9770D"/>
    <w:rsid w:val="00BA073C"/>
    <w:rsid w:val="00BA235E"/>
    <w:rsid w:val="00BA6B7F"/>
    <w:rsid w:val="00BA7721"/>
    <w:rsid w:val="00BB1A93"/>
    <w:rsid w:val="00BB21F7"/>
    <w:rsid w:val="00BB3982"/>
    <w:rsid w:val="00BB6343"/>
    <w:rsid w:val="00BB6909"/>
    <w:rsid w:val="00BC1FC4"/>
    <w:rsid w:val="00BC20B5"/>
    <w:rsid w:val="00BC33D1"/>
    <w:rsid w:val="00BC53BF"/>
    <w:rsid w:val="00BC6442"/>
    <w:rsid w:val="00BC746F"/>
    <w:rsid w:val="00BD0CCB"/>
    <w:rsid w:val="00BD448D"/>
    <w:rsid w:val="00BD7236"/>
    <w:rsid w:val="00BD72E0"/>
    <w:rsid w:val="00BE0BA7"/>
    <w:rsid w:val="00BE2C06"/>
    <w:rsid w:val="00BE31B8"/>
    <w:rsid w:val="00BE37B5"/>
    <w:rsid w:val="00BE68CB"/>
    <w:rsid w:val="00BE6C43"/>
    <w:rsid w:val="00BE72C1"/>
    <w:rsid w:val="00BF0487"/>
    <w:rsid w:val="00BF068B"/>
    <w:rsid w:val="00BF0758"/>
    <w:rsid w:val="00BF1910"/>
    <w:rsid w:val="00BF3187"/>
    <w:rsid w:val="00BF3534"/>
    <w:rsid w:val="00BF3A38"/>
    <w:rsid w:val="00BF53BC"/>
    <w:rsid w:val="00BF5878"/>
    <w:rsid w:val="00BF66A4"/>
    <w:rsid w:val="00C058EF"/>
    <w:rsid w:val="00C05FDC"/>
    <w:rsid w:val="00C0651B"/>
    <w:rsid w:val="00C06DD8"/>
    <w:rsid w:val="00C07568"/>
    <w:rsid w:val="00C07F2F"/>
    <w:rsid w:val="00C173F2"/>
    <w:rsid w:val="00C22C85"/>
    <w:rsid w:val="00C242C9"/>
    <w:rsid w:val="00C248B1"/>
    <w:rsid w:val="00C31450"/>
    <w:rsid w:val="00C321CB"/>
    <w:rsid w:val="00C35FA7"/>
    <w:rsid w:val="00C3725E"/>
    <w:rsid w:val="00C412E3"/>
    <w:rsid w:val="00C43319"/>
    <w:rsid w:val="00C439FB"/>
    <w:rsid w:val="00C51EFC"/>
    <w:rsid w:val="00C54226"/>
    <w:rsid w:val="00C548B8"/>
    <w:rsid w:val="00C54E31"/>
    <w:rsid w:val="00C6020B"/>
    <w:rsid w:val="00C61F99"/>
    <w:rsid w:val="00C66917"/>
    <w:rsid w:val="00C70491"/>
    <w:rsid w:val="00C70F3B"/>
    <w:rsid w:val="00C75E4A"/>
    <w:rsid w:val="00C80A70"/>
    <w:rsid w:val="00C813A3"/>
    <w:rsid w:val="00C85799"/>
    <w:rsid w:val="00C93FA1"/>
    <w:rsid w:val="00C95B64"/>
    <w:rsid w:val="00CA1365"/>
    <w:rsid w:val="00CA1D2F"/>
    <w:rsid w:val="00CA2D2C"/>
    <w:rsid w:val="00CA2F03"/>
    <w:rsid w:val="00CA4329"/>
    <w:rsid w:val="00CA7F68"/>
    <w:rsid w:val="00CB16EC"/>
    <w:rsid w:val="00CB7955"/>
    <w:rsid w:val="00CC0080"/>
    <w:rsid w:val="00CC7041"/>
    <w:rsid w:val="00CC76CE"/>
    <w:rsid w:val="00CC7AED"/>
    <w:rsid w:val="00CD02FA"/>
    <w:rsid w:val="00CD0C7E"/>
    <w:rsid w:val="00CD143C"/>
    <w:rsid w:val="00CD24F6"/>
    <w:rsid w:val="00CD6449"/>
    <w:rsid w:val="00CE11CC"/>
    <w:rsid w:val="00CE251A"/>
    <w:rsid w:val="00CE362F"/>
    <w:rsid w:val="00CE5D77"/>
    <w:rsid w:val="00CE618B"/>
    <w:rsid w:val="00CF1431"/>
    <w:rsid w:val="00CF5C4F"/>
    <w:rsid w:val="00CF6B0C"/>
    <w:rsid w:val="00CF73B3"/>
    <w:rsid w:val="00CF7DFC"/>
    <w:rsid w:val="00D04CD4"/>
    <w:rsid w:val="00D07E4F"/>
    <w:rsid w:val="00D112ED"/>
    <w:rsid w:val="00D13EB0"/>
    <w:rsid w:val="00D15465"/>
    <w:rsid w:val="00D16199"/>
    <w:rsid w:val="00D16427"/>
    <w:rsid w:val="00D16818"/>
    <w:rsid w:val="00D16AC0"/>
    <w:rsid w:val="00D22C4D"/>
    <w:rsid w:val="00D23F93"/>
    <w:rsid w:val="00D24CE2"/>
    <w:rsid w:val="00D27FE8"/>
    <w:rsid w:val="00D31FFE"/>
    <w:rsid w:val="00D403B2"/>
    <w:rsid w:val="00D43D0C"/>
    <w:rsid w:val="00D5086B"/>
    <w:rsid w:val="00D50941"/>
    <w:rsid w:val="00D52D8C"/>
    <w:rsid w:val="00D57564"/>
    <w:rsid w:val="00D57CAF"/>
    <w:rsid w:val="00D629F1"/>
    <w:rsid w:val="00D64808"/>
    <w:rsid w:val="00D64CF3"/>
    <w:rsid w:val="00D654BB"/>
    <w:rsid w:val="00D70225"/>
    <w:rsid w:val="00D708F2"/>
    <w:rsid w:val="00D723FD"/>
    <w:rsid w:val="00D731B0"/>
    <w:rsid w:val="00D73B73"/>
    <w:rsid w:val="00D74831"/>
    <w:rsid w:val="00D767B5"/>
    <w:rsid w:val="00D76D4C"/>
    <w:rsid w:val="00D776AC"/>
    <w:rsid w:val="00D80D03"/>
    <w:rsid w:val="00D82D25"/>
    <w:rsid w:val="00D86EF0"/>
    <w:rsid w:val="00D877E4"/>
    <w:rsid w:val="00D910E3"/>
    <w:rsid w:val="00D9624E"/>
    <w:rsid w:val="00D97573"/>
    <w:rsid w:val="00DA25B6"/>
    <w:rsid w:val="00DA27C5"/>
    <w:rsid w:val="00DB0439"/>
    <w:rsid w:val="00DB0FE6"/>
    <w:rsid w:val="00DB114F"/>
    <w:rsid w:val="00DB36C5"/>
    <w:rsid w:val="00DB3EC4"/>
    <w:rsid w:val="00DB3F6E"/>
    <w:rsid w:val="00DB4516"/>
    <w:rsid w:val="00DB4AA3"/>
    <w:rsid w:val="00DB5F57"/>
    <w:rsid w:val="00DB6CF0"/>
    <w:rsid w:val="00DC2690"/>
    <w:rsid w:val="00DC6474"/>
    <w:rsid w:val="00DC7CEE"/>
    <w:rsid w:val="00DE0F20"/>
    <w:rsid w:val="00DE62AF"/>
    <w:rsid w:val="00DF2F3C"/>
    <w:rsid w:val="00E00BAE"/>
    <w:rsid w:val="00E01F3F"/>
    <w:rsid w:val="00E04EB9"/>
    <w:rsid w:val="00E05041"/>
    <w:rsid w:val="00E11896"/>
    <w:rsid w:val="00E13501"/>
    <w:rsid w:val="00E160A0"/>
    <w:rsid w:val="00E16921"/>
    <w:rsid w:val="00E212A7"/>
    <w:rsid w:val="00E21659"/>
    <w:rsid w:val="00E347E7"/>
    <w:rsid w:val="00E362C9"/>
    <w:rsid w:val="00E408BF"/>
    <w:rsid w:val="00E40D62"/>
    <w:rsid w:val="00E4225A"/>
    <w:rsid w:val="00E423A8"/>
    <w:rsid w:val="00E437A6"/>
    <w:rsid w:val="00E469BC"/>
    <w:rsid w:val="00E520F5"/>
    <w:rsid w:val="00E54612"/>
    <w:rsid w:val="00E578AC"/>
    <w:rsid w:val="00E60057"/>
    <w:rsid w:val="00E6522A"/>
    <w:rsid w:val="00E73C36"/>
    <w:rsid w:val="00E7498F"/>
    <w:rsid w:val="00E773A3"/>
    <w:rsid w:val="00E7797B"/>
    <w:rsid w:val="00E82099"/>
    <w:rsid w:val="00E84522"/>
    <w:rsid w:val="00E90E1D"/>
    <w:rsid w:val="00E91309"/>
    <w:rsid w:val="00E92A25"/>
    <w:rsid w:val="00E97DB4"/>
    <w:rsid w:val="00EA0E21"/>
    <w:rsid w:val="00EA7AA0"/>
    <w:rsid w:val="00EB457E"/>
    <w:rsid w:val="00EB608A"/>
    <w:rsid w:val="00EB6BA5"/>
    <w:rsid w:val="00EC019B"/>
    <w:rsid w:val="00EC2DEB"/>
    <w:rsid w:val="00EC53DA"/>
    <w:rsid w:val="00EC67D9"/>
    <w:rsid w:val="00EC7758"/>
    <w:rsid w:val="00EC7C69"/>
    <w:rsid w:val="00ED0F9E"/>
    <w:rsid w:val="00ED1207"/>
    <w:rsid w:val="00ED3124"/>
    <w:rsid w:val="00ED32F0"/>
    <w:rsid w:val="00ED4E8C"/>
    <w:rsid w:val="00EE127E"/>
    <w:rsid w:val="00EE3927"/>
    <w:rsid w:val="00EE3B98"/>
    <w:rsid w:val="00EE5F4E"/>
    <w:rsid w:val="00EF2B82"/>
    <w:rsid w:val="00EF302E"/>
    <w:rsid w:val="00EF3BDE"/>
    <w:rsid w:val="00EF3EA2"/>
    <w:rsid w:val="00EF634D"/>
    <w:rsid w:val="00EF692C"/>
    <w:rsid w:val="00F010E2"/>
    <w:rsid w:val="00F01C1A"/>
    <w:rsid w:val="00F02E6E"/>
    <w:rsid w:val="00F03F21"/>
    <w:rsid w:val="00F0587A"/>
    <w:rsid w:val="00F06EEF"/>
    <w:rsid w:val="00F07FD1"/>
    <w:rsid w:val="00F13014"/>
    <w:rsid w:val="00F14121"/>
    <w:rsid w:val="00F15409"/>
    <w:rsid w:val="00F22C15"/>
    <w:rsid w:val="00F258EC"/>
    <w:rsid w:val="00F26EC3"/>
    <w:rsid w:val="00F309AF"/>
    <w:rsid w:val="00F33A00"/>
    <w:rsid w:val="00F342CB"/>
    <w:rsid w:val="00F34395"/>
    <w:rsid w:val="00F3696C"/>
    <w:rsid w:val="00F378E6"/>
    <w:rsid w:val="00F4019C"/>
    <w:rsid w:val="00F40C3E"/>
    <w:rsid w:val="00F4202F"/>
    <w:rsid w:val="00F43C57"/>
    <w:rsid w:val="00F43FFF"/>
    <w:rsid w:val="00F46AEE"/>
    <w:rsid w:val="00F47846"/>
    <w:rsid w:val="00F53866"/>
    <w:rsid w:val="00F54D4E"/>
    <w:rsid w:val="00F56F21"/>
    <w:rsid w:val="00F62704"/>
    <w:rsid w:val="00F63765"/>
    <w:rsid w:val="00F6411D"/>
    <w:rsid w:val="00F66BAB"/>
    <w:rsid w:val="00F673BC"/>
    <w:rsid w:val="00F67FCC"/>
    <w:rsid w:val="00F71D00"/>
    <w:rsid w:val="00F8381C"/>
    <w:rsid w:val="00F83EE2"/>
    <w:rsid w:val="00F84E93"/>
    <w:rsid w:val="00F856C4"/>
    <w:rsid w:val="00F9187D"/>
    <w:rsid w:val="00F928AC"/>
    <w:rsid w:val="00F9290D"/>
    <w:rsid w:val="00F92FC8"/>
    <w:rsid w:val="00F954E3"/>
    <w:rsid w:val="00F95B9D"/>
    <w:rsid w:val="00FA01DB"/>
    <w:rsid w:val="00FA23A9"/>
    <w:rsid w:val="00FA3CFF"/>
    <w:rsid w:val="00FA3D90"/>
    <w:rsid w:val="00FA3DDB"/>
    <w:rsid w:val="00FA62B3"/>
    <w:rsid w:val="00FB1D47"/>
    <w:rsid w:val="00FB2085"/>
    <w:rsid w:val="00FB6BB2"/>
    <w:rsid w:val="00FB71E2"/>
    <w:rsid w:val="00FC27F8"/>
    <w:rsid w:val="00FC3F80"/>
    <w:rsid w:val="00FC542B"/>
    <w:rsid w:val="00FC5A4E"/>
    <w:rsid w:val="00FD110D"/>
    <w:rsid w:val="00FD1D64"/>
    <w:rsid w:val="00FD2B49"/>
    <w:rsid w:val="00FD6701"/>
    <w:rsid w:val="00FE1681"/>
    <w:rsid w:val="00FE62AF"/>
    <w:rsid w:val="00FF3787"/>
    <w:rsid w:val="00FF476D"/>
    <w:rsid w:val="00FF4CE4"/>
    <w:rsid w:val="00FF510F"/>
    <w:rsid w:val="041532AF"/>
    <w:rsid w:val="103537C6"/>
    <w:rsid w:val="107F6913"/>
    <w:rsid w:val="1D3407A3"/>
    <w:rsid w:val="221D1711"/>
    <w:rsid w:val="23D71AF9"/>
    <w:rsid w:val="24F47900"/>
    <w:rsid w:val="256C48DC"/>
    <w:rsid w:val="25C13A4C"/>
    <w:rsid w:val="25CD40A6"/>
    <w:rsid w:val="265F7320"/>
    <w:rsid w:val="26A427CC"/>
    <w:rsid w:val="27434DB4"/>
    <w:rsid w:val="28040C15"/>
    <w:rsid w:val="29F762BC"/>
    <w:rsid w:val="2B0C55CA"/>
    <w:rsid w:val="2CD87DED"/>
    <w:rsid w:val="30D84D01"/>
    <w:rsid w:val="34D72AFA"/>
    <w:rsid w:val="35D01B33"/>
    <w:rsid w:val="369530AE"/>
    <w:rsid w:val="3991180D"/>
    <w:rsid w:val="3CD73D9A"/>
    <w:rsid w:val="42121562"/>
    <w:rsid w:val="44D777C8"/>
    <w:rsid w:val="46812423"/>
    <w:rsid w:val="47AE31B1"/>
    <w:rsid w:val="48D92773"/>
    <w:rsid w:val="4BD93EAB"/>
    <w:rsid w:val="53A9718A"/>
    <w:rsid w:val="561E74A2"/>
    <w:rsid w:val="589D2B8C"/>
    <w:rsid w:val="5C8929E3"/>
    <w:rsid w:val="5F061996"/>
    <w:rsid w:val="6375705B"/>
    <w:rsid w:val="63BF45E5"/>
    <w:rsid w:val="63E72823"/>
    <w:rsid w:val="65BB0967"/>
    <w:rsid w:val="66C07F14"/>
    <w:rsid w:val="66D7010C"/>
    <w:rsid w:val="69D17AB0"/>
    <w:rsid w:val="6A660AEF"/>
    <w:rsid w:val="6CED7022"/>
    <w:rsid w:val="79221B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semiHidden="0" w:name="toc 1"/>
    <w:lsdException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uiPriority="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nhideWhenUsed="0" w:uiPriority="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1"/>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32"/>
    <w:unhideWhenUsed/>
    <w:qFormat/>
    <w:uiPriority w:val="0"/>
    <w:pPr>
      <w:keepNext/>
      <w:keepLines/>
      <w:spacing w:before="260" w:after="260" w:line="416" w:lineRule="auto"/>
      <w:outlineLvl w:val="2"/>
    </w:pPr>
    <w:rPr>
      <w:b/>
      <w:bCs/>
      <w:sz w:val="32"/>
      <w:szCs w:val="32"/>
    </w:rPr>
  </w:style>
  <w:style w:type="character" w:default="1" w:styleId="25">
    <w:name w:val="Default Paragraph Font"/>
    <w:unhideWhenUsed/>
    <w:qFormat/>
    <w:uiPriority w:val="1"/>
  </w:style>
  <w:style w:type="table" w:default="1" w:styleId="22">
    <w:name w:val="Normal Table"/>
    <w:unhideWhenUsed/>
    <w:qFormat/>
    <w:uiPriority w:val="99"/>
    <w:tblPr>
      <w:tblStyle w:val="22"/>
      <w:tblCellMar>
        <w:top w:w="0" w:type="dxa"/>
        <w:left w:w="108" w:type="dxa"/>
        <w:bottom w:w="0" w:type="dxa"/>
        <w:right w:w="108" w:type="dxa"/>
      </w:tblCellMar>
    </w:tblPr>
  </w:style>
  <w:style w:type="paragraph" w:styleId="5">
    <w:name w:val="toc 7"/>
    <w:basedOn w:val="1"/>
    <w:next w:val="1"/>
    <w:unhideWhenUsed/>
    <w:qFormat/>
    <w:uiPriority w:val="0"/>
    <w:pPr>
      <w:ind w:left="1260"/>
      <w:jc w:val="left"/>
    </w:pPr>
    <w:rPr>
      <w:rFonts w:ascii="Calibri" w:hAnsi="Calibri" w:cs="Calibri"/>
      <w:sz w:val="20"/>
      <w:szCs w:val="20"/>
    </w:rPr>
  </w:style>
  <w:style w:type="paragraph" w:styleId="6">
    <w:name w:val="annotation text"/>
    <w:basedOn w:val="1"/>
    <w:semiHidden/>
    <w:qFormat/>
    <w:uiPriority w:val="0"/>
    <w:pPr>
      <w:jc w:val="left"/>
    </w:pPr>
  </w:style>
  <w:style w:type="paragraph" w:styleId="7">
    <w:name w:val="Body Text"/>
    <w:basedOn w:val="1"/>
    <w:link w:val="33"/>
    <w:qFormat/>
    <w:uiPriority w:val="0"/>
    <w:pPr>
      <w:widowControl/>
      <w:spacing w:before="180" w:after="180"/>
      <w:jc w:val="left"/>
    </w:pPr>
    <w:rPr>
      <w:rFonts w:ascii="Aptos" w:hAnsi="Aptos" w:eastAsia="等线"/>
      <w:kern w:val="0"/>
      <w:sz w:val="24"/>
    </w:rPr>
  </w:style>
  <w:style w:type="paragraph" w:styleId="8">
    <w:name w:val="toc 5"/>
    <w:basedOn w:val="1"/>
    <w:next w:val="1"/>
    <w:unhideWhenUsed/>
    <w:qFormat/>
    <w:uiPriority w:val="0"/>
    <w:pPr>
      <w:ind w:left="840"/>
      <w:jc w:val="left"/>
    </w:pPr>
    <w:rPr>
      <w:rFonts w:ascii="Calibri" w:hAnsi="Calibri" w:cs="Calibri"/>
      <w:sz w:val="20"/>
      <w:szCs w:val="20"/>
    </w:rPr>
  </w:style>
  <w:style w:type="paragraph" w:styleId="9">
    <w:name w:val="toc 3"/>
    <w:basedOn w:val="1"/>
    <w:next w:val="1"/>
    <w:unhideWhenUsed/>
    <w:qFormat/>
    <w:uiPriority w:val="39"/>
    <w:pPr>
      <w:ind w:left="420"/>
      <w:jc w:val="left"/>
    </w:pPr>
    <w:rPr>
      <w:rFonts w:ascii="Calibri" w:hAnsi="Calibri" w:cs="Calibri"/>
      <w:sz w:val="20"/>
      <w:szCs w:val="20"/>
    </w:rPr>
  </w:style>
  <w:style w:type="paragraph" w:styleId="10">
    <w:name w:val="toc 8"/>
    <w:basedOn w:val="1"/>
    <w:next w:val="1"/>
    <w:unhideWhenUsed/>
    <w:qFormat/>
    <w:uiPriority w:val="0"/>
    <w:pPr>
      <w:ind w:left="1470"/>
      <w:jc w:val="left"/>
    </w:pPr>
    <w:rPr>
      <w:rFonts w:ascii="Calibri" w:hAnsi="Calibri" w:cs="Calibri"/>
      <w:sz w:val="20"/>
      <w:szCs w:val="20"/>
    </w:rPr>
  </w:style>
  <w:style w:type="paragraph" w:styleId="11">
    <w:name w:val="Balloon Text"/>
    <w:basedOn w:val="1"/>
    <w:semiHidden/>
    <w:qFormat/>
    <w:uiPriority w:val="0"/>
    <w:rPr>
      <w:sz w:val="18"/>
      <w:szCs w:val="18"/>
    </w:rPr>
  </w:style>
  <w:style w:type="paragraph" w:styleId="12">
    <w:name w:val="footer"/>
    <w:basedOn w:val="1"/>
    <w:link w:val="34"/>
    <w:qFormat/>
    <w:uiPriority w:val="0"/>
    <w:pPr>
      <w:tabs>
        <w:tab w:val="center" w:pos="4153"/>
        <w:tab w:val="right" w:pos="8306"/>
      </w:tabs>
      <w:snapToGrid w:val="0"/>
    </w:pPr>
    <w:rPr>
      <w:sz w:val="15"/>
      <w:szCs w:val="18"/>
    </w:rPr>
  </w:style>
  <w:style w:type="paragraph" w:styleId="13">
    <w:name w:val="header"/>
    <w:basedOn w:val="1"/>
    <w:link w:val="35"/>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pPr>
      <w:spacing w:before="240" w:after="120"/>
      <w:jc w:val="left"/>
    </w:pPr>
    <w:rPr>
      <w:rFonts w:ascii="Calibri" w:hAnsi="Calibri" w:cs="Calibri"/>
      <w:b/>
      <w:bCs/>
      <w:sz w:val="20"/>
      <w:szCs w:val="20"/>
    </w:rPr>
  </w:style>
  <w:style w:type="paragraph" w:styleId="15">
    <w:name w:val="toc 4"/>
    <w:basedOn w:val="1"/>
    <w:next w:val="1"/>
    <w:unhideWhenUsed/>
    <w:qFormat/>
    <w:uiPriority w:val="0"/>
    <w:pPr>
      <w:ind w:left="630"/>
      <w:jc w:val="left"/>
    </w:pPr>
    <w:rPr>
      <w:rFonts w:ascii="Calibri" w:hAnsi="Calibri" w:cs="Calibri"/>
      <w:sz w:val="20"/>
      <w:szCs w:val="20"/>
    </w:rPr>
  </w:style>
  <w:style w:type="paragraph" w:styleId="16">
    <w:name w:val="footnote text"/>
    <w:basedOn w:val="1"/>
    <w:semiHidden/>
    <w:qFormat/>
    <w:uiPriority w:val="0"/>
    <w:pPr>
      <w:snapToGrid w:val="0"/>
      <w:ind w:left="100" w:hanging="100" w:hangingChars="100"/>
    </w:pPr>
    <w:rPr>
      <w:sz w:val="15"/>
      <w:szCs w:val="18"/>
    </w:rPr>
  </w:style>
  <w:style w:type="paragraph" w:styleId="17">
    <w:name w:val="toc 6"/>
    <w:basedOn w:val="1"/>
    <w:next w:val="1"/>
    <w:unhideWhenUsed/>
    <w:qFormat/>
    <w:uiPriority w:val="0"/>
    <w:pPr>
      <w:ind w:left="1050"/>
      <w:jc w:val="left"/>
    </w:pPr>
    <w:rPr>
      <w:rFonts w:ascii="Calibri" w:hAnsi="Calibri" w:cs="Calibri"/>
      <w:sz w:val="20"/>
      <w:szCs w:val="20"/>
    </w:rPr>
  </w:style>
  <w:style w:type="paragraph" w:styleId="18">
    <w:name w:val="toc 2"/>
    <w:basedOn w:val="1"/>
    <w:next w:val="1"/>
    <w:unhideWhenUsed/>
    <w:uiPriority w:val="39"/>
    <w:pPr>
      <w:spacing w:before="120"/>
      <w:ind w:left="210"/>
      <w:jc w:val="left"/>
    </w:pPr>
    <w:rPr>
      <w:rFonts w:ascii="Calibri" w:hAnsi="Calibri" w:cs="Calibri"/>
      <w:i/>
      <w:iCs/>
      <w:sz w:val="20"/>
      <w:szCs w:val="20"/>
    </w:rPr>
  </w:style>
  <w:style w:type="paragraph" w:styleId="19">
    <w:name w:val="toc 9"/>
    <w:basedOn w:val="1"/>
    <w:next w:val="1"/>
    <w:unhideWhenUsed/>
    <w:qFormat/>
    <w:uiPriority w:val="0"/>
    <w:pPr>
      <w:ind w:left="1680"/>
      <w:jc w:val="left"/>
    </w:pPr>
    <w:rPr>
      <w:rFonts w:ascii="Calibri" w:hAnsi="Calibri" w:cs="Calibri"/>
      <w:sz w:val="20"/>
      <w:szCs w:val="20"/>
    </w:rPr>
  </w:style>
  <w:style w:type="paragraph" w:styleId="20">
    <w:name w:val="Normal (Web)"/>
    <w:basedOn w:val="1"/>
    <w:unhideWhenUsed/>
    <w:qFormat/>
    <w:uiPriority w:val="99"/>
    <w:pPr>
      <w:spacing w:before="100" w:beforeAutospacing="1" w:after="100" w:afterAutospacing="1"/>
      <w:jc w:val="left"/>
    </w:pPr>
    <w:rPr>
      <w:kern w:val="0"/>
      <w:sz w:val="24"/>
    </w:rPr>
  </w:style>
  <w:style w:type="paragraph" w:styleId="21">
    <w:name w:val="annotation subject"/>
    <w:basedOn w:val="6"/>
    <w:next w:val="6"/>
    <w:semiHidden/>
    <w:qFormat/>
    <w:uiPriority w:val="0"/>
    <w:rPr>
      <w:b/>
      <w:bCs/>
    </w:rPr>
  </w:style>
  <w:style w:type="table" w:styleId="23">
    <w:name w:val="Table Grid"/>
    <w:basedOn w:val="22"/>
    <w:qFormat/>
    <w:uiPriority w:val="0"/>
    <w:pPr>
      <w:widowControl w:val="0"/>
      <w:jc w:val="both"/>
    </w:pPr>
    <w:tblPr>
      <w:tblStyle w:val="2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4">
    <w:name w:val="Table Classic 1"/>
    <w:basedOn w:val="22"/>
    <w:qFormat/>
    <w:uiPriority w:val="0"/>
    <w:pPr>
      <w:widowControl w:val="0"/>
      <w:jc w:val="both"/>
    </w:pPr>
    <w:tblPr>
      <w:tblStyle w:val="22"/>
      <w:tblBorders>
        <w:top w:val="single" w:color="000000" w:sz="12" w:space="0"/>
        <w:bottom w:val="single" w:color="000000" w:sz="12" w:space="0"/>
      </w:tblBorders>
    </w:tblPr>
    <w:tcPr>
      <w:shd w:val="clear" w:color="auto" w:fill="auto"/>
    </w:tcPr>
    <w:tblStylePr w:type="firstRow">
      <w:rPr>
        <w:i/>
        <w:iCs/>
      </w:rPr>
      <w:tblPr>
        <w:tblStyle w:val="22"/>
      </w:tblPr>
      <w:tcPr>
        <w:tcBorders>
          <w:top w:val="nil"/>
          <w:left w:val="nil"/>
          <w:bottom w:val="single" w:color="000000" w:sz="6" w:space="0"/>
          <w:right w:val="nil"/>
          <w:insideH w:val="nil"/>
          <w:insideV w:val="nil"/>
          <w:tl2br w:val="nil"/>
          <w:tr2bl w:val="nil"/>
        </w:tcBorders>
      </w:tcPr>
    </w:tblStylePr>
    <w:tblStylePr w:type="lastRow">
      <w:rPr>
        <w:color w:val="auto"/>
      </w:rPr>
      <w:tblPr>
        <w:tblStyle w:val="22"/>
      </w:tblPr>
      <w:tcPr>
        <w:tcBorders>
          <w:top w:val="single" w:color="000000" w:sz="6" w:space="0"/>
          <w:left w:val="nil"/>
          <w:bottom w:val="nil"/>
          <w:right w:val="nil"/>
          <w:insideH w:val="nil"/>
          <w:insideV w:val="nil"/>
          <w:tl2br w:val="nil"/>
          <w:tr2bl w:val="nil"/>
        </w:tcBorders>
      </w:tcPr>
    </w:tblStylePr>
    <w:tblStylePr w:type="firstCol">
      <w:tblPr>
        <w:tblStyle w:val="22"/>
      </w:tblPr>
      <w:tcPr>
        <w:tcBorders>
          <w:top w:val="nil"/>
          <w:left w:val="nil"/>
          <w:bottom w:val="nil"/>
          <w:right w:val="single" w:color="000000" w:sz="6" w:space="0"/>
          <w:insideH w:val="nil"/>
          <w:insideV w:val="nil"/>
          <w:tl2br w:val="nil"/>
          <w:tr2bl w:val="nil"/>
        </w:tcBorders>
      </w:tcPr>
    </w:tblStylePr>
    <w:tblStylePr w:type="neCell">
      <w:rPr>
        <w:b/>
        <w:bCs/>
        <w:i w:val="0"/>
        <w:iCs w:val="0"/>
      </w:rPr>
      <w:tblPr>
        <w:tblStyle w:val="22"/>
      </w:tblPr>
      <w:tcPr>
        <w:tcBorders>
          <w:top w:val="nil"/>
          <w:left w:val="nil"/>
          <w:bottom w:val="nil"/>
          <w:right w:val="nil"/>
          <w:insideH w:val="nil"/>
          <w:insideV w:val="nil"/>
          <w:tl2br w:val="nil"/>
          <w:tr2bl w:val="nil"/>
        </w:tcBorders>
      </w:tcPr>
    </w:tblStylePr>
    <w:tblStylePr w:type="swCell">
      <w:rPr>
        <w:b/>
        <w:bCs/>
      </w:rPr>
      <w:tblPr>
        <w:tblStyle w:val="22"/>
      </w:tblPr>
      <w:tcPr>
        <w:tcBorders>
          <w:top w:val="nil"/>
          <w:left w:val="nil"/>
          <w:bottom w:val="nil"/>
          <w:right w:val="nil"/>
          <w:insideH w:val="nil"/>
          <w:insideV w:val="nil"/>
          <w:tl2br w:val="nil"/>
          <w:tr2bl w:val="nil"/>
        </w:tcBorders>
      </w:tcPr>
    </w:tblStylePr>
  </w:style>
  <w:style w:type="character" w:styleId="26">
    <w:name w:val="page number"/>
    <w:basedOn w:val="25"/>
    <w:qFormat/>
    <w:uiPriority w:val="0"/>
    <w:rPr>
      <w:rFonts w:ascii="Times New Roman" w:hAnsi="Times New Roman" w:eastAsia="宋体"/>
      <w:sz w:val="20"/>
    </w:rPr>
  </w:style>
  <w:style w:type="character" w:styleId="27">
    <w:name w:val="Hyperlink"/>
    <w:qFormat/>
    <w:uiPriority w:val="99"/>
    <w:rPr>
      <w:color w:val="0000FF"/>
      <w:u w:val="single"/>
    </w:rPr>
  </w:style>
  <w:style w:type="character" w:styleId="28">
    <w:name w:val="annotation reference"/>
    <w:semiHidden/>
    <w:qFormat/>
    <w:uiPriority w:val="0"/>
    <w:rPr>
      <w:sz w:val="21"/>
      <w:szCs w:val="21"/>
    </w:rPr>
  </w:style>
  <w:style w:type="character" w:styleId="29">
    <w:name w:val="footnote reference"/>
    <w:semiHidden/>
    <w:qFormat/>
    <w:uiPriority w:val="0"/>
    <w:rPr>
      <w:vertAlign w:val="superscript"/>
    </w:rPr>
  </w:style>
  <w:style w:type="character" w:customStyle="1" w:styleId="30">
    <w:name w:val="标题 1 字符"/>
    <w:link w:val="2"/>
    <w:qFormat/>
    <w:uiPriority w:val="0"/>
    <w:rPr>
      <w:b/>
      <w:bCs/>
      <w:kern w:val="44"/>
      <w:sz w:val="44"/>
      <w:szCs w:val="44"/>
    </w:rPr>
  </w:style>
  <w:style w:type="character" w:customStyle="1" w:styleId="31">
    <w:name w:val="标题 2 字符"/>
    <w:link w:val="3"/>
    <w:qFormat/>
    <w:uiPriority w:val="0"/>
    <w:rPr>
      <w:rFonts w:ascii="Cambria" w:hAnsi="Cambria"/>
      <w:b/>
      <w:bCs/>
      <w:kern w:val="2"/>
      <w:sz w:val="32"/>
      <w:szCs w:val="32"/>
    </w:rPr>
  </w:style>
  <w:style w:type="character" w:customStyle="1" w:styleId="32">
    <w:name w:val="标题 3 字符"/>
    <w:basedOn w:val="25"/>
    <w:link w:val="4"/>
    <w:semiHidden/>
    <w:qFormat/>
    <w:uiPriority w:val="0"/>
    <w:rPr>
      <w:b/>
      <w:bCs/>
      <w:kern w:val="2"/>
      <w:sz w:val="32"/>
      <w:szCs w:val="32"/>
    </w:rPr>
  </w:style>
  <w:style w:type="character" w:customStyle="1" w:styleId="33">
    <w:name w:val="正文文本 字符"/>
    <w:basedOn w:val="25"/>
    <w:link w:val="7"/>
    <w:qFormat/>
    <w:uiPriority w:val="0"/>
  </w:style>
  <w:style w:type="character" w:customStyle="1" w:styleId="34">
    <w:name w:val="页脚 字符"/>
    <w:link w:val="12"/>
    <w:qFormat/>
    <w:locked/>
    <w:uiPriority w:val="0"/>
    <w:rPr>
      <w:kern w:val="2"/>
      <w:sz w:val="15"/>
      <w:szCs w:val="18"/>
    </w:rPr>
  </w:style>
  <w:style w:type="character" w:customStyle="1" w:styleId="35">
    <w:name w:val="页眉 字符"/>
    <w:link w:val="13"/>
    <w:semiHidden/>
    <w:qFormat/>
    <w:locked/>
    <w:uiPriority w:val="0"/>
    <w:rPr>
      <w:rFonts w:eastAsia="宋体"/>
      <w:kern w:val="2"/>
      <w:sz w:val="18"/>
      <w:szCs w:val="18"/>
      <w:lang w:val="en-US" w:eastAsia="zh-CN" w:bidi="ar-SA"/>
    </w:rPr>
  </w:style>
  <w:style w:type="character" w:customStyle="1" w:styleId="36">
    <w:name w:val="Char Char2"/>
    <w:qFormat/>
    <w:locked/>
    <w:uiPriority w:val="0"/>
    <w:rPr>
      <w:rFonts w:eastAsia="宋体"/>
      <w:kern w:val="2"/>
      <w:sz w:val="18"/>
      <w:szCs w:val="18"/>
      <w:lang w:val="en-US" w:eastAsia="zh-CN" w:bidi="ar-SA"/>
    </w:rPr>
  </w:style>
  <w:style w:type="character" w:customStyle="1" w:styleId="37">
    <w:name w:val="未处理的提及1"/>
    <w:unhideWhenUsed/>
    <w:qFormat/>
    <w:uiPriority w:val="99"/>
    <w:rPr>
      <w:color w:val="605E5C"/>
      <w:shd w:val="clear" w:color="auto" w:fill="E1DFDD"/>
    </w:rPr>
  </w:style>
  <w:style w:type="paragraph" w:customStyle="1" w:styleId="38">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39">
    <w:name w:val="p0"/>
    <w:basedOn w:val="1"/>
    <w:qFormat/>
    <w:uiPriority w:val="0"/>
    <w:pPr>
      <w:widowControl/>
    </w:pPr>
    <w:rPr>
      <w:kern w:val="0"/>
      <w:szCs w:val="21"/>
    </w:rPr>
  </w:style>
  <w:style w:type="paragraph" w:customStyle="1" w:styleId="40">
    <w:name w:val="（中）标题样式"/>
    <w:qFormat/>
    <w:uiPriority w:val="0"/>
    <w:pPr>
      <w:jc w:val="center"/>
    </w:pPr>
    <w:rPr>
      <w:rFonts w:ascii="Times New Roman" w:hAnsi="黑体" w:eastAsia="宋体" w:cs="Times New Roman"/>
      <w:b/>
      <w:kern w:val="2"/>
      <w:sz w:val="44"/>
      <w:szCs w:val="36"/>
      <w:lang w:val="en-US" w:eastAsia="zh-CN" w:bidi="ar-SA"/>
    </w:rPr>
  </w:style>
  <w:style w:type="paragraph" w:customStyle="1" w:styleId="41">
    <w:name w:val="（中）作者姓名样式"/>
    <w:qFormat/>
    <w:uiPriority w:val="0"/>
    <w:pPr>
      <w:jc w:val="center"/>
    </w:pPr>
    <w:rPr>
      <w:rFonts w:ascii="Times New Roman" w:hAnsi="华文楷体" w:eastAsia="楷体_GB2312" w:cs="Times New Roman"/>
      <w:kern w:val="2"/>
      <w:sz w:val="28"/>
      <w:szCs w:val="21"/>
      <w:lang w:val="en-US" w:eastAsia="zh-CN" w:bidi="ar-SA"/>
    </w:rPr>
  </w:style>
  <w:style w:type="paragraph" w:customStyle="1" w:styleId="42">
    <w:name w:val="（中）作者单位样式"/>
    <w:qFormat/>
    <w:uiPriority w:val="0"/>
    <w:pPr>
      <w:jc w:val="right"/>
    </w:pPr>
    <w:rPr>
      <w:rFonts w:ascii="Times New Roman" w:hAnsi="宋体" w:eastAsia="宋体" w:cs="Times New Roman"/>
      <w:kern w:val="2"/>
      <w:sz w:val="18"/>
      <w:szCs w:val="18"/>
      <w:lang w:val="en-US" w:eastAsia="zh-CN" w:bidi="ar-SA"/>
    </w:rPr>
  </w:style>
  <w:style w:type="character" w:customStyle="1" w:styleId="43">
    <w:name w:val="中文摘要特征词样式"/>
    <w:basedOn w:val="25"/>
    <w:qFormat/>
    <w:uiPriority w:val="0"/>
    <w:rPr>
      <w:rFonts w:ascii="黑体" w:hAnsi="黑体" w:eastAsia="黑体"/>
      <w:sz w:val="22"/>
    </w:rPr>
  </w:style>
  <w:style w:type="character" w:customStyle="1" w:styleId="44">
    <w:name w:val="中文关键词特征词样式"/>
    <w:basedOn w:val="25"/>
    <w:qFormat/>
    <w:uiPriority w:val="0"/>
    <w:rPr>
      <w:rFonts w:ascii="黑体" w:hAnsi="黑体" w:eastAsia="黑体"/>
      <w:sz w:val="22"/>
    </w:rPr>
  </w:style>
  <w:style w:type="character" w:customStyle="1" w:styleId="45">
    <w:name w:val="（中）关键词样式"/>
    <w:uiPriority w:val="0"/>
    <w:rPr>
      <w:rFonts w:ascii="Times New Roman" w:hAnsi="Times New Roman" w:eastAsia="楷体_GB2312"/>
      <w:sz w:val="22"/>
    </w:rPr>
  </w:style>
  <w:style w:type="paragraph" w:customStyle="1" w:styleId="46">
    <w:name w:val="（英）标题样式"/>
    <w:qFormat/>
    <w:uiPriority w:val="0"/>
    <w:pPr>
      <w:spacing w:line="360" w:lineRule="exact"/>
      <w:jc w:val="center"/>
      <w:outlineLvl w:val="0"/>
    </w:pPr>
    <w:rPr>
      <w:rFonts w:ascii="Times New Roman" w:hAnsi="Times New Roman" w:eastAsia="宋体" w:cs="Times New Roman"/>
      <w:b/>
      <w:kern w:val="2"/>
      <w:sz w:val="28"/>
      <w:szCs w:val="24"/>
      <w:lang w:val="en-US" w:eastAsia="zh-CN" w:bidi="ar-SA"/>
    </w:rPr>
  </w:style>
  <w:style w:type="paragraph" w:customStyle="1" w:styleId="47">
    <w:name w:val="（英）作者姓名样式"/>
    <w:qFormat/>
    <w:uiPriority w:val="0"/>
    <w:pPr>
      <w:jc w:val="center"/>
    </w:pPr>
    <w:rPr>
      <w:rFonts w:ascii="Times New Roman" w:hAnsi="Times New Roman" w:eastAsia="宋体" w:cs="Times New Roman"/>
      <w:spacing w:val="-4"/>
      <w:kern w:val="2"/>
      <w:sz w:val="21"/>
      <w:szCs w:val="21"/>
      <w:lang w:val="en-US" w:eastAsia="zh-CN" w:bidi="ar-SA"/>
    </w:rPr>
  </w:style>
  <w:style w:type="paragraph" w:customStyle="1" w:styleId="48">
    <w:name w:val="（英）作者单位样式"/>
    <w:qFormat/>
    <w:uiPriority w:val="0"/>
    <w:pPr>
      <w:jc w:val="center"/>
    </w:pPr>
    <w:rPr>
      <w:rFonts w:ascii="Times New Roman" w:hAnsi="Times New Roman" w:eastAsia="宋体" w:cs="Times New Roman"/>
      <w:kern w:val="2"/>
      <w:sz w:val="18"/>
      <w:szCs w:val="24"/>
      <w:lang w:val="en-US" w:eastAsia="zh-CN" w:bidi="ar-SA"/>
    </w:rPr>
  </w:style>
  <w:style w:type="character" w:customStyle="1" w:styleId="49">
    <w:name w:val="英文摘要特征词样式"/>
    <w:basedOn w:val="25"/>
    <w:qFormat/>
    <w:uiPriority w:val="0"/>
    <w:rPr>
      <w:b/>
    </w:rPr>
  </w:style>
  <w:style w:type="character" w:customStyle="1" w:styleId="50">
    <w:name w:val="英文关键词特征词样式"/>
    <w:basedOn w:val="25"/>
    <w:uiPriority w:val="0"/>
    <w:rPr>
      <w:b/>
    </w:rPr>
  </w:style>
  <w:style w:type="character" w:customStyle="1" w:styleId="51">
    <w:name w:val="（英）关键词样式"/>
    <w:basedOn w:val="25"/>
    <w:qFormat/>
    <w:uiPriority w:val="0"/>
    <w:rPr>
      <w:rFonts w:ascii="Times New Roman" w:hAnsi="Times New Roman"/>
      <w:kern w:val="0"/>
    </w:rPr>
  </w:style>
  <w:style w:type="paragraph" w:customStyle="1" w:styleId="52">
    <w:name w:val="正文样式"/>
    <w:basedOn w:val="1"/>
    <w:qFormat/>
    <w:uiPriority w:val="0"/>
    <w:pPr>
      <w:autoSpaceDE w:val="0"/>
      <w:autoSpaceDN w:val="0"/>
      <w:ind w:firstLine="200" w:firstLineChars="200"/>
    </w:pPr>
    <w:rPr>
      <w:sz w:val="22"/>
    </w:rPr>
  </w:style>
  <w:style w:type="paragraph" w:customStyle="1" w:styleId="53">
    <w:name w:val="一级标题样式"/>
    <w:qFormat/>
    <w:uiPriority w:val="0"/>
    <w:pPr>
      <w:spacing w:before="100" w:beforeAutospacing="1" w:after="100" w:afterAutospacing="1"/>
      <w:jc w:val="center"/>
      <w:outlineLvl w:val="0"/>
    </w:pPr>
    <w:rPr>
      <w:rFonts w:ascii="Times New Roman" w:hAnsi="Times New Roman" w:eastAsia="黑体" w:cs="Times New Roman"/>
      <w:b/>
      <w:kern w:val="2"/>
      <w:sz w:val="28"/>
      <w:szCs w:val="24"/>
      <w:lang w:val="en-US" w:eastAsia="zh-CN" w:bidi="ar-SA"/>
    </w:rPr>
  </w:style>
  <w:style w:type="paragraph" w:customStyle="1" w:styleId="54">
    <w:name w:val="二级标题样式"/>
    <w:qFormat/>
    <w:uiPriority w:val="0"/>
    <w:pPr>
      <w:ind w:firstLine="200" w:firstLineChars="200"/>
      <w:jc w:val="both"/>
    </w:pPr>
    <w:rPr>
      <w:rFonts w:ascii="Times New Roman" w:hAnsi="Times New Roman" w:eastAsia="黑体" w:cs="Times New Roman"/>
      <w:b/>
      <w:kern w:val="2"/>
      <w:sz w:val="22"/>
      <w:szCs w:val="24"/>
      <w:lang w:val="en-US" w:eastAsia="zh-CN" w:bidi="ar-SA"/>
    </w:rPr>
  </w:style>
  <w:style w:type="paragraph" w:customStyle="1" w:styleId="55">
    <w:name w:val="三级标题样式"/>
    <w:qFormat/>
    <w:uiPriority w:val="0"/>
    <w:pPr>
      <w:ind w:firstLine="200" w:firstLineChars="200"/>
      <w:jc w:val="both"/>
    </w:pPr>
    <w:rPr>
      <w:rFonts w:ascii="Times New Roman" w:hAnsi="Times New Roman" w:eastAsia="楷体_GB2312" w:cs="Times New Roman"/>
      <w:kern w:val="2"/>
      <w:sz w:val="22"/>
      <w:szCs w:val="24"/>
      <w:lang w:val="en-US" w:eastAsia="zh-CN" w:bidi="ar-SA"/>
    </w:rPr>
  </w:style>
  <w:style w:type="character" w:customStyle="1" w:styleId="56">
    <w:name w:val="（中）收稿日期样式"/>
    <w:basedOn w:val="25"/>
    <w:qFormat/>
    <w:uiPriority w:val="0"/>
    <w:rPr>
      <w:rFonts w:eastAsia="宋体"/>
      <w:sz w:val="16"/>
      <w:szCs w:val="16"/>
    </w:rPr>
  </w:style>
  <w:style w:type="character" w:customStyle="1" w:styleId="57">
    <w:name w:val="（中）基金项目样式"/>
    <w:basedOn w:val="25"/>
    <w:qFormat/>
    <w:uiPriority w:val="0"/>
    <w:rPr>
      <w:rFonts w:ascii="Times New Roman" w:hAnsi="Times New Roman" w:eastAsia="宋体"/>
      <w:sz w:val="15"/>
      <w:szCs w:val="16"/>
    </w:rPr>
  </w:style>
  <w:style w:type="character" w:customStyle="1" w:styleId="58">
    <w:name w:val="并列作者样式"/>
    <w:basedOn w:val="25"/>
    <w:uiPriority w:val="0"/>
    <w:rPr>
      <w:sz w:val="18"/>
      <w:szCs w:val="18"/>
    </w:rPr>
  </w:style>
  <w:style w:type="character" w:customStyle="1" w:styleId="59">
    <w:name w:val="（中）栏目样式"/>
    <w:basedOn w:val="25"/>
    <w:qFormat/>
    <w:uiPriority w:val="0"/>
  </w:style>
  <w:style w:type="character" w:customStyle="1" w:styleId="60">
    <w:name w:val="中图分类号样式"/>
    <w:basedOn w:val="25"/>
    <w:qFormat/>
    <w:uiPriority w:val="1"/>
    <w:rPr>
      <w:rFonts w:eastAsia="宋体"/>
    </w:rPr>
  </w:style>
  <w:style w:type="character" w:customStyle="1" w:styleId="61">
    <w:name w:val="文献标志码样式"/>
    <w:basedOn w:val="25"/>
    <w:qFormat/>
    <w:uiPriority w:val="1"/>
    <w:rPr>
      <w:rFonts w:eastAsia="宋体"/>
    </w:rPr>
  </w:style>
  <w:style w:type="character" w:customStyle="1" w:styleId="62">
    <w:name w:val="文章编号样式"/>
    <w:basedOn w:val="25"/>
    <w:qFormat/>
    <w:uiPriority w:val="1"/>
    <w:rPr>
      <w:rFonts w:eastAsia="宋体"/>
    </w:rPr>
  </w:style>
  <w:style w:type="paragraph" w:customStyle="1" w:styleId="63">
    <w:name w:val="（中）图题样式"/>
    <w:qFormat/>
    <w:uiPriority w:val="0"/>
    <w:pPr>
      <w:spacing w:after="50" w:afterLines="50"/>
      <w:jc w:val="center"/>
    </w:pPr>
    <w:rPr>
      <w:rFonts w:ascii="Times New Roman" w:hAnsi="Times New Roman" w:eastAsia="黑体" w:cs="Times New Roman"/>
      <w:kern w:val="2"/>
      <w:szCs w:val="18"/>
      <w:lang w:val="en-US" w:eastAsia="zh-CN" w:bidi="ar-SA"/>
    </w:rPr>
  </w:style>
  <w:style w:type="paragraph" w:customStyle="1" w:styleId="64">
    <w:name w:val="（英）图题样式"/>
    <w:link w:val="65"/>
    <w:qFormat/>
    <w:uiPriority w:val="0"/>
    <w:pPr>
      <w:jc w:val="center"/>
    </w:pPr>
    <w:rPr>
      <w:rFonts w:ascii="Times New Roman" w:hAnsi="Times New Roman" w:eastAsia="宋体" w:cs="Times New Roman"/>
      <w:kern w:val="2"/>
      <w:szCs w:val="18"/>
      <w:lang w:val="en-US" w:eastAsia="zh-CN" w:bidi="ar-SA"/>
    </w:rPr>
  </w:style>
  <w:style w:type="character" w:customStyle="1" w:styleId="65">
    <w:name w:val="（英）图题样式 Char"/>
    <w:basedOn w:val="25"/>
    <w:link w:val="64"/>
    <w:uiPriority w:val="0"/>
    <w:rPr>
      <w:kern w:val="2"/>
      <w:szCs w:val="18"/>
    </w:rPr>
  </w:style>
  <w:style w:type="paragraph" w:customStyle="1" w:styleId="66">
    <w:name w:val="（中）表题样式"/>
    <w:link w:val="67"/>
    <w:qFormat/>
    <w:uiPriority w:val="0"/>
    <w:pPr>
      <w:spacing w:before="50" w:beforeLines="50"/>
      <w:jc w:val="center"/>
    </w:pPr>
    <w:rPr>
      <w:rFonts w:ascii="Times New Roman" w:hAnsi="Times New Roman" w:eastAsia="黑体" w:cs="Times New Roman"/>
      <w:b/>
      <w:kern w:val="2"/>
      <w:sz w:val="21"/>
      <w:szCs w:val="18"/>
      <w:lang w:val="en-US" w:eastAsia="zh-CN" w:bidi="ar-SA"/>
    </w:rPr>
  </w:style>
  <w:style w:type="character" w:customStyle="1" w:styleId="67">
    <w:name w:val="（中）表题样式 Char"/>
    <w:basedOn w:val="25"/>
    <w:link w:val="66"/>
    <w:qFormat/>
    <w:uiPriority w:val="0"/>
    <w:rPr>
      <w:rFonts w:eastAsia="黑体"/>
      <w:b/>
      <w:kern w:val="2"/>
      <w:sz w:val="21"/>
      <w:szCs w:val="18"/>
    </w:rPr>
  </w:style>
  <w:style w:type="paragraph" w:customStyle="1" w:styleId="68">
    <w:name w:val="（英）表题样式"/>
    <w:qFormat/>
    <w:uiPriority w:val="0"/>
    <w:pPr>
      <w:jc w:val="center"/>
    </w:pPr>
    <w:rPr>
      <w:rFonts w:ascii="Times New Roman" w:hAnsi="Times New Roman" w:eastAsia="宋体" w:cs="Times New Roman"/>
      <w:b/>
      <w:kern w:val="2"/>
      <w:sz w:val="18"/>
      <w:szCs w:val="18"/>
      <w:lang w:val="en-US" w:eastAsia="zh-CN" w:bidi="ar-SA"/>
    </w:rPr>
  </w:style>
  <w:style w:type="paragraph" w:customStyle="1" w:styleId="69">
    <w:name w:val="表格样式"/>
    <w:qFormat/>
    <w:uiPriority w:val="0"/>
    <w:pPr>
      <w:jc w:val="both"/>
    </w:pPr>
    <w:rPr>
      <w:rFonts w:ascii="Times New Roman" w:hAnsi="Times New Roman" w:eastAsia="楷体_GB2312" w:cs="Times New Roman"/>
      <w:kern w:val="2"/>
      <w:sz w:val="21"/>
      <w:szCs w:val="21"/>
      <w:lang w:val="en-US" w:eastAsia="zh-CN" w:bidi="ar-SA"/>
    </w:rPr>
  </w:style>
  <w:style w:type="paragraph" w:customStyle="1" w:styleId="70">
    <w:name w:val="（中）表注样式"/>
    <w:basedOn w:val="1"/>
    <w:qFormat/>
    <w:uiPriority w:val="0"/>
    <w:rPr>
      <w:rFonts w:hAnsi="宋体"/>
      <w:sz w:val="15"/>
      <w:szCs w:val="15"/>
    </w:rPr>
  </w:style>
  <w:style w:type="paragraph" w:customStyle="1" w:styleId="71">
    <w:name w:val="（英）表注样式"/>
    <w:basedOn w:val="70"/>
    <w:qFormat/>
    <w:uiPriority w:val="0"/>
  </w:style>
  <w:style w:type="paragraph" w:customStyle="1" w:styleId="72">
    <w:name w:val="（英）图注样式"/>
    <w:basedOn w:val="71"/>
    <w:qFormat/>
    <w:uiPriority w:val="0"/>
    <w:pPr>
      <w:jc w:val="center"/>
    </w:pPr>
  </w:style>
  <w:style w:type="paragraph" w:customStyle="1" w:styleId="73">
    <w:name w:val="（中）图注样式"/>
    <w:qFormat/>
    <w:uiPriority w:val="0"/>
    <w:pPr>
      <w:jc w:val="center"/>
    </w:pPr>
    <w:rPr>
      <w:rFonts w:ascii="Times New Roman" w:hAnsi="宋体" w:eastAsia="宋体" w:cs="Times New Roman"/>
      <w:kern w:val="2"/>
      <w:sz w:val="15"/>
      <w:szCs w:val="15"/>
      <w:lang w:val="en-US" w:eastAsia="zh-CN" w:bidi="ar-SA"/>
    </w:rPr>
  </w:style>
  <w:style w:type="paragraph" w:customStyle="1" w:styleId="74">
    <w:name w:val="参考文献样式"/>
    <w:basedOn w:val="1"/>
    <w:qFormat/>
    <w:uiPriority w:val="0"/>
    <w:pPr>
      <w:spacing w:before="100" w:beforeLines="100" w:after="100" w:afterLines="100"/>
    </w:pPr>
    <w:rPr>
      <w:b/>
    </w:rPr>
  </w:style>
  <w:style w:type="paragraph" w:customStyle="1" w:styleId="75">
    <w:name w:val="参考文献内容样式"/>
    <w:basedOn w:val="1"/>
    <w:qFormat/>
    <w:uiPriority w:val="0"/>
    <w:pPr>
      <w:numPr>
        <w:ilvl w:val="0"/>
        <w:numId w:val="1"/>
      </w:numPr>
      <w:tabs>
        <w:tab w:val="left" w:pos="420"/>
        <w:tab w:val="clear" w:pos="473"/>
      </w:tabs>
      <w:ind w:left="0" w:hanging="200" w:hangingChars="200"/>
    </w:pPr>
    <w:rPr>
      <w:sz w:val="18"/>
      <w:szCs w:val="18"/>
    </w:rPr>
  </w:style>
  <w:style w:type="character" w:customStyle="1" w:styleId="76">
    <w:name w:val="（中）通信作者样式"/>
    <w:basedOn w:val="58"/>
    <w:qFormat/>
    <w:uiPriority w:val="1"/>
    <w:rPr>
      <w:rFonts w:eastAsia="宋体"/>
      <w:sz w:val="16"/>
      <w:szCs w:val="18"/>
    </w:rPr>
  </w:style>
  <w:style w:type="paragraph" w:customStyle="1" w:styleId="77">
    <w:name w:val="公式样式"/>
    <w:basedOn w:val="1"/>
    <w:qFormat/>
    <w:uiPriority w:val="0"/>
    <w:pPr>
      <w:tabs>
        <w:tab w:val="center" w:pos="2268"/>
        <w:tab w:val="right" w:pos="4536"/>
      </w:tabs>
      <w:jc w:val="right"/>
    </w:pPr>
    <w:rPr>
      <w:sz w:val="22"/>
    </w:rPr>
  </w:style>
  <w:style w:type="paragraph" w:customStyle="1" w:styleId="78">
    <w:name w:val="DOI样式"/>
    <w:qFormat/>
    <w:uiPriority w:val="0"/>
    <w:pPr>
      <w:jc w:val="both"/>
    </w:pPr>
    <w:rPr>
      <w:rFonts w:ascii="Times New Roman" w:hAnsi="Times New Roman" w:eastAsia="宋体" w:cs="Times New Roman"/>
      <w:kern w:val="2"/>
      <w:sz w:val="18"/>
      <w:szCs w:val="18"/>
      <w:lang w:val="en-US" w:eastAsia="zh-CN" w:bidi="ar-SA"/>
    </w:rPr>
  </w:style>
  <w:style w:type="paragraph" w:customStyle="1" w:styleId="79">
    <w:name w:val="引用样式"/>
    <w:qFormat/>
    <w:uiPriority w:val="0"/>
    <w:pPr>
      <w:jc w:val="both"/>
    </w:pPr>
    <w:rPr>
      <w:rFonts w:ascii="Times New Roman" w:hAnsi="Times New Roman" w:eastAsia="宋体" w:cs="Times New Roman"/>
      <w:kern w:val="2"/>
      <w:sz w:val="18"/>
      <w:szCs w:val="18"/>
      <w:lang w:val="en-US" w:eastAsia="zh-CN" w:bidi="ar-SA"/>
    </w:rPr>
  </w:style>
  <w:style w:type="paragraph" w:customStyle="1" w:styleId="80">
    <w:name w:val="CITE样式"/>
    <w:qFormat/>
    <w:uiPriority w:val="0"/>
    <w:pPr>
      <w:jc w:val="both"/>
    </w:pPr>
    <w:rPr>
      <w:rFonts w:ascii="Times New Roman" w:hAnsi="Times New Roman" w:eastAsia="宋体" w:cs="Times New Roman"/>
      <w:kern w:val="2"/>
      <w:sz w:val="18"/>
      <w:szCs w:val="18"/>
      <w:lang w:val="en-US" w:eastAsia="zh-CN" w:bidi="ar-SA"/>
    </w:rPr>
  </w:style>
  <w:style w:type="paragraph" w:customStyle="1" w:styleId="81">
    <w:name w:val="（中）副标题样式"/>
    <w:basedOn w:val="1"/>
    <w:qFormat/>
    <w:uiPriority w:val="0"/>
    <w:pPr>
      <w:jc w:val="center"/>
    </w:pPr>
    <w:rPr>
      <w:rFonts w:eastAsia="楷体"/>
      <w:sz w:val="24"/>
      <w:szCs w:val="21"/>
    </w:rPr>
  </w:style>
  <w:style w:type="paragraph" w:customStyle="1" w:styleId="82">
    <w:name w:val="（英）副标题样式"/>
    <w:basedOn w:val="81"/>
    <w:qFormat/>
    <w:uiPriority w:val="0"/>
  </w:style>
  <w:style w:type="paragraph" w:customStyle="1" w:styleId="83">
    <w:name w:val="致谢样式"/>
    <w:qFormat/>
    <w:uiPriority w:val="0"/>
    <w:pPr>
      <w:jc w:val="both"/>
    </w:pPr>
    <w:rPr>
      <w:rFonts w:ascii="Times New Roman" w:hAnsi="Times New Roman" w:eastAsia="宋体" w:cs="Times New Roman"/>
      <w:b/>
      <w:kern w:val="2"/>
      <w:sz w:val="18"/>
      <w:szCs w:val="18"/>
      <w:lang w:val="en-US" w:eastAsia="zh-CN" w:bidi="ar-SA"/>
    </w:rPr>
  </w:style>
  <w:style w:type="paragraph" w:customStyle="1" w:styleId="84">
    <w:name w:val="编辑样式"/>
    <w:qFormat/>
    <w:uiPriority w:val="0"/>
    <w:pPr>
      <w:spacing w:before="100" w:beforeLines="100"/>
      <w:jc w:val="right"/>
    </w:pPr>
    <w:rPr>
      <w:rFonts w:ascii="Times New Roman" w:hAnsi="Times New Roman" w:eastAsia="黑体" w:cs="Times New Roman"/>
      <w:kern w:val="2"/>
      <w:sz w:val="22"/>
      <w:szCs w:val="18"/>
      <w:lang w:val="en-US" w:eastAsia="zh-CN" w:bidi="ar-SA"/>
    </w:rPr>
  </w:style>
  <w:style w:type="character" w:customStyle="1" w:styleId="85">
    <w:name w:val="一级标题序号样式"/>
    <w:basedOn w:val="25"/>
    <w:qFormat/>
    <w:uiPriority w:val="1"/>
    <w:rPr>
      <w:rFonts w:ascii="Times New Roman" w:hAnsi="Times New Roman" w:eastAsia="黑体"/>
      <w:b/>
      <w:sz w:val="28"/>
    </w:rPr>
  </w:style>
  <w:style w:type="paragraph" w:customStyle="1" w:styleId="86">
    <w:name w:val="中文表序样式"/>
    <w:basedOn w:val="66"/>
    <w:link w:val="87"/>
    <w:qFormat/>
    <w:uiPriority w:val="0"/>
  </w:style>
  <w:style w:type="character" w:customStyle="1" w:styleId="87">
    <w:name w:val="中文表序样式 Char"/>
    <w:basedOn w:val="67"/>
    <w:link w:val="86"/>
    <w:uiPriority w:val="0"/>
    <w:rPr>
      <w:rFonts w:eastAsia="黑体"/>
      <w:kern w:val="2"/>
      <w:sz w:val="18"/>
      <w:szCs w:val="18"/>
    </w:rPr>
  </w:style>
  <w:style w:type="character" w:customStyle="1" w:styleId="88">
    <w:name w:val="英文表序样式"/>
    <w:basedOn w:val="25"/>
    <w:qFormat/>
    <w:uiPriority w:val="1"/>
  </w:style>
  <w:style w:type="paragraph" w:customStyle="1" w:styleId="89">
    <w:name w:val="中文图序样式"/>
    <w:basedOn w:val="63"/>
    <w:qFormat/>
    <w:uiPriority w:val="0"/>
  </w:style>
  <w:style w:type="paragraph" w:customStyle="1" w:styleId="90">
    <w:name w:val="英文图序样式"/>
    <w:basedOn w:val="64"/>
    <w:qFormat/>
    <w:uiPriority w:val="0"/>
  </w:style>
  <w:style w:type="paragraph" w:customStyle="1" w:styleId="91">
    <w:name w:val="图样式"/>
    <w:qFormat/>
    <w:uiPriority w:val="0"/>
    <w:pPr>
      <w:jc w:val="center"/>
    </w:pPr>
    <w:rPr>
      <w:rFonts w:ascii="Times New Roman" w:hAnsi="Times New Roman" w:eastAsia="宋体" w:cs="Times New Roman"/>
      <w:b/>
      <w:kern w:val="2"/>
      <w:sz w:val="18"/>
      <w:szCs w:val="18"/>
      <w:lang w:val="en-US" w:eastAsia="zh-CN" w:bidi="ar-SA"/>
    </w:rPr>
  </w:style>
  <w:style w:type="paragraph" w:customStyle="1" w:styleId="92">
    <w:name w:val="MTDisplayEquation"/>
    <w:basedOn w:val="64"/>
    <w:next w:val="1"/>
    <w:link w:val="93"/>
    <w:uiPriority w:val="0"/>
    <w:pPr>
      <w:tabs>
        <w:tab w:val="center" w:pos="4820"/>
        <w:tab w:val="right" w:pos="9640"/>
      </w:tabs>
    </w:pPr>
  </w:style>
  <w:style w:type="character" w:customStyle="1" w:styleId="93">
    <w:name w:val="MTDisplayEquation Char"/>
    <w:basedOn w:val="65"/>
    <w:link w:val="92"/>
    <w:uiPriority w:val="0"/>
    <w:rPr>
      <w:kern w:val="2"/>
      <w:sz w:val="18"/>
      <w:szCs w:val="18"/>
    </w:rPr>
  </w:style>
  <w:style w:type="paragraph" w:customStyle="1" w:styleId="94">
    <w:name w:val="参考文献中英文对照样式"/>
    <w:uiPriority w:val="0"/>
    <w:pPr>
      <w:widowControl w:val="0"/>
      <w:ind w:left="200" w:hanging="200" w:hangingChars="200"/>
      <w:jc w:val="both"/>
    </w:pPr>
    <w:rPr>
      <w:rFonts w:ascii="Times New Roman" w:hAnsi="Times New Roman" w:eastAsia="Times New Roman" w:cs="Times New Roman"/>
      <w:kern w:val="2"/>
      <w:sz w:val="18"/>
      <w:lang w:val="en-US" w:eastAsia="zh-CN" w:bidi="ar-SA"/>
    </w:rPr>
  </w:style>
  <w:style w:type="character" w:customStyle="1" w:styleId="95">
    <w:name w:val="（中）修回日期样式"/>
    <w:basedOn w:val="56"/>
    <w:qFormat/>
    <w:uiPriority w:val="1"/>
    <w:rPr>
      <w:rFonts w:eastAsia="宋体"/>
      <w:sz w:val="16"/>
      <w:szCs w:val="16"/>
    </w:rPr>
  </w:style>
  <w:style w:type="character" w:customStyle="1" w:styleId="96">
    <w:name w:val="（中）作者简介样式"/>
    <w:basedOn w:val="58"/>
    <w:qFormat/>
    <w:uiPriority w:val="1"/>
    <w:rPr>
      <w:rFonts w:eastAsia="宋体"/>
      <w:sz w:val="16"/>
      <w:szCs w:val="18"/>
    </w:rPr>
  </w:style>
  <w:style w:type="character" w:customStyle="1" w:styleId="97">
    <w:name w:val="三级标题序号样式"/>
    <w:uiPriority w:val="0"/>
    <w:rPr>
      <w:rFonts w:ascii="Times New Roman" w:hAnsi="Times New Roman" w:eastAsia="楷体_GB2312" w:cs="Times New Roman"/>
      <w:color w:val="auto"/>
      <w:w w:val="100"/>
      <w:kern w:val="2"/>
      <w:sz w:val="22"/>
      <w:u w:val="none"/>
      <w:vertAlign w:val="baseline"/>
    </w:rPr>
  </w:style>
  <w:style w:type="character" w:customStyle="1" w:styleId="98">
    <w:name w:val="二级标题序号样式"/>
    <w:uiPriority w:val="0"/>
    <w:rPr>
      <w:rFonts w:ascii="Times New Roman" w:hAnsi="Times New Roman" w:eastAsia="黑体" w:cs="Times New Roman"/>
      <w:b/>
      <w:color w:val="auto"/>
      <w:w w:val="100"/>
      <w:kern w:val="2"/>
      <w:sz w:val="21"/>
      <w:u w:val="none"/>
      <w:vertAlign w:val="baseline"/>
    </w:rPr>
  </w:style>
  <w:style w:type="paragraph" w:customStyle="1" w:styleId="99">
    <w:name w:val="（中）摘要样式"/>
    <w:uiPriority w:val="0"/>
    <w:pPr>
      <w:widowControl w:val="0"/>
      <w:spacing w:line="264" w:lineRule="auto"/>
      <w:ind w:left="200" w:leftChars="200" w:right="200" w:rightChars="200" w:firstLine="200" w:firstLineChars="200"/>
      <w:jc w:val="both"/>
    </w:pPr>
    <w:rPr>
      <w:rFonts w:ascii="Times New Roman" w:hAnsi="楷体" w:eastAsia="楷体_GB2312" w:cs="Times New Roman"/>
      <w:sz w:val="22"/>
      <w:lang w:val="en-US" w:eastAsia="zh-CN" w:bidi="ar-SA"/>
    </w:rPr>
  </w:style>
  <w:style w:type="paragraph" w:customStyle="1" w:styleId="100">
    <w:name w:val="（英）摘要样式"/>
    <w:qFormat/>
    <w:uiPriority w:val="0"/>
    <w:pPr>
      <w:widowControl w:val="0"/>
      <w:ind w:firstLine="200" w:firstLineChars="200"/>
      <w:jc w:val="both"/>
    </w:pPr>
    <w:rPr>
      <w:rFonts w:ascii="Times New Roman" w:hAnsi="Times New Roman" w:eastAsia="宋体" w:cs="Times New Roman"/>
      <w:sz w:val="22"/>
      <w:lang w:val="en-US" w:eastAsia="zh-CN" w:bidi="ar-SA"/>
    </w:rPr>
  </w:style>
  <w:style w:type="paragraph" w:customStyle="1" w:styleId="101">
    <w:name w:val="Pa0"/>
    <w:basedOn w:val="1"/>
    <w:next w:val="1"/>
    <w:uiPriority w:val="99"/>
    <w:pPr>
      <w:autoSpaceDE w:val="0"/>
      <w:autoSpaceDN w:val="0"/>
      <w:adjustRightInd w:val="0"/>
      <w:spacing w:line="217" w:lineRule="atLeast"/>
      <w:jc w:val="left"/>
    </w:pPr>
    <w:rPr>
      <w:rFonts w:ascii="方正楷体_GBK" w:eastAsia="方正楷体_GBK"/>
      <w:kern w:val="0"/>
      <w:sz w:val="24"/>
    </w:rPr>
  </w:style>
  <w:style w:type="paragraph" w:customStyle="1" w:styleId="102">
    <w:name w:val="TOC Heading"/>
    <w:basedOn w:val="2"/>
    <w:next w:val="1"/>
    <w:unhideWhenUsed/>
    <w:qFormat/>
    <w:uiPriority w:val="39"/>
    <w:pPr>
      <w:widowControl/>
      <w:spacing w:before="240" w:after="0" w:line="259" w:lineRule="auto"/>
      <w:jc w:val="left"/>
      <w:outlineLvl w:val="9"/>
    </w:pPr>
    <w:rPr>
      <w:rFonts w:ascii="Cambria" w:hAnsi="Cambria" w:eastAsia="宋体" w:cs="Times New Roman"/>
      <w:b w:val="0"/>
      <w:bCs w:val="0"/>
      <w:color w:val="366091"/>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7565</Words>
  <Characters>7697</Characters>
  <Lines>3</Lines>
  <Paragraphs>1</Paragraphs>
  <TotalTime>3865.79166666667</TotalTime>
  <ScaleCrop>false</ScaleCrop>
  <LinksUpToDate>false</LinksUpToDate>
  <CharactersWithSpaces>7774</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2021-03-15T06:31:00Z</dcterms:created>
  <dc:creator>lenovo</dc:creator>
  <cp:lastModifiedBy>小周同志</cp:lastModifiedBy>
  <cp:lastPrinted>2021-01-26T02:16:00Z</cp:lastPrinted>
  <dcterms:modified xsi:type="dcterms:W3CDTF">2026-10-18T22:41:53Z</dcterms:modified>
  <dc:title>排版要求：</dc:title>
  <cp:revision>174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r8>1051714</vt:r8>
  </property>
  <property fmtid="{D5CDD505-2E9C-101B-9397-08002B2CF9AE}" pid="3" name="KSOProductBuildVer">
    <vt:lpwstr>2052-12.1.0.28802</vt:lpwstr>
  </property>
  <property fmtid="{D5CDD505-2E9C-101B-9397-08002B2CF9AE}" pid="4" name="MTWinEqns">
    <vt:bool>true</vt:bool>
  </property>
  <property fmtid="{D5CDD505-2E9C-101B-9397-08002B2CF9AE}" pid="5" name="ICV">
    <vt:lpwstr>A854CBBF5B47469D9BBEEB1526C7B271_13</vt:lpwstr>
  </property>
</Properties>
</file>