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Versioning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February 2022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Added missing channel 49 to Group 3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January 2022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 latest plugs as of 2022 are uploaded the the repositories, in RT Systems and CHIRP versions for groups 1 through 6, consistent with the CSV files.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YELLOW version# 110121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Note - The radios will display the Plug color and group upon turn on after programming as follows: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YLW-1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YLW-2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YLW-3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YLW-4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YLW-5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YLW-6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The radios that are programmed will be identified with a yellow band on the antenna.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October, 2021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The plugs in this revision are the new YELLOW versions for each type of radio, including the groups 3, 4 and 5 versions.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Plugs include RT Systems and CHIRP files for each type of radio.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YELLOW version# 100121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Progress Upload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10/24/2021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Types as follows: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1- CERT Standard - Baofeng UV-82HP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2 - MOFD Standard - Wouxun UV9D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