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D2D" w:rsidRDefault="007C4978" w:rsidP="00314007">
      <w:pPr>
        <w:spacing w:after="0" w:line="240" w:lineRule="auto"/>
        <w:rPr>
          <w:u w:val="single"/>
        </w:rPr>
      </w:pPr>
      <w:bookmarkStart w:id="0" w:name="OLE_LINK1"/>
      <w:r>
        <w:rPr>
          <w:u w:val="single"/>
        </w:rPr>
        <w:t>ARCHIVOS TABLAS DE MORTALIDAD.</w:t>
      </w:r>
    </w:p>
    <w:p w:rsidR="007C4978" w:rsidRDefault="007C4978" w:rsidP="00CD2787">
      <w:pPr>
        <w:spacing w:after="0" w:line="240" w:lineRule="auto"/>
        <w:jc w:val="both"/>
        <w:rPr>
          <w:u w:val="single"/>
        </w:rPr>
      </w:pPr>
    </w:p>
    <w:p w:rsidR="00CD2787" w:rsidRDefault="00E1626F" w:rsidP="00B44D2D">
      <w:pPr>
        <w:spacing w:after="0" w:line="240" w:lineRule="auto"/>
        <w:jc w:val="both"/>
      </w:pPr>
      <w:r>
        <w:t>A</w:t>
      </w:r>
      <w:r w:rsidR="00CD2787">
        <w:t xml:space="preserve"> continuación se </w:t>
      </w:r>
      <w:r>
        <w:t>describe</w:t>
      </w:r>
      <w:r w:rsidR="00556D35">
        <w:t xml:space="preserve">n los archivos utilizados en la construcción de las tablas de mortalidad 2014, más los archivos que contienen </w:t>
      </w:r>
      <w:r w:rsidR="00913C92">
        <w:t xml:space="preserve"> las</w:t>
      </w:r>
      <w:r w:rsidR="00556D35">
        <w:t xml:space="preserve"> tablas de mortalidad</w:t>
      </w:r>
      <w:r w:rsidR="00913C92">
        <w:t xml:space="preserve"> resultantes</w:t>
      </w:r>
      <w:r w:rsidR="00556D35">
        <w:t>.</w:t>
      </w:r>
    </w:p>
    <w:p w:rsidR="00CD2787" w:rsidRDefault="00CD2787" w:rsidP="00B44D2D">
      <w:pPr>
        <w:spacing w:after="0" w:line="240" w:lineRule="auto"/>
        <w:jc w:val="both"/>
      </w:pPr>
    </w:p>
    <w:p w:rsidR="00CD2787" w:rsidRPr="006022AF" w:rsidRDefault="00F7198D" w:rsidP="000B0F81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b/>
          <w:i/>
        </w:rPr>
      </w:pPr>
      <w:r w:rsidRPr="006022AF">
        <w:rPr>
          <w:b/>
          <w:i/>
        </w:rPr>
        <w:t xml:space="preserve">Bases </w:t>
      </w:r>
      <w:r w:rsidR="00EE0F52">
        <w:rPr>
          <w:b/>
          <w:i/>
        </w:rPr>
        <w:t>de datos</w:t>
      </w:r>
    </w:p>
    <w:p w:rsidR="00F7198D" w:rsidRDefault="00F7198D" w:rsidP="00F7198D">
      <w:pPr>
        <w:spacing w:after="0" w:line="240" w:lineRule="auto"/>
        <w:jc w:val="both"/>
        <w:rPr>
          <w:i/>
        </w:rPr>
      </w:pPr>
    </w:p>
    <w:p w:rsidR="00F7198D" w:rsidRDefault="00961830" w:rsidP="000B0F81">
      <w:pPr>
        <w:spacing w:after="0" w:line="240" w:lineRule="auto"/>
        <w:jc w:val="both"/>
      </w:pPr>
      <w:r>
        <w:t>El</w:t>
      </w:r>
      <w:r w:rsidR="00765DA3">
        <w:t xml:space="preserve"> archivo</w:t>
      </w:r>
      <w:r>
        <w:t xml:space="preserve"> </w:t>
      </w:r>
      <w:r w:rsidR="00765DA3">
        <w:t>“</w:t>
      </w:r>
      <w:r w:rsidR="00765DA3" w:rsidRPr="00765DA3">
        <w:t>bd_consolidada.tx</w:t>
      </w:r>
      <w:r w:rsidR="00765DA3">
        <w:t xml:space="preserve">t” es la base de datos final </w:t>
      </w:r>
      <w:r w:rsidR="006022AF">
        <w:t>utilizada para el cálculo de expuestos y fallecidos</w:t>
      </w:r>
      <w:r w:rsidR="000B0F81">
        <w:t xml:space="preserve">, de las </w:t>
      </w:r>
      <w:r w:rsidR="00765DA3">
        <w:t xml:space="preserve">nuevas </w:t>
      </w:r>
      <w:r w:rsidR="000B0F81">
        <w:t xml:space="preserve">tablas de mortalidad 2014. </w:t>
      </w:r>
      <w:r w:rsidR="00765DA3">
        <w:t>La construcción de esta base está detallada en la Nota Técnica</w:t>
      </w:r>
      <w:r>
        <w:t>. El archivo “</w:t>
      </w:r>
      <w:r w:rsidRPr="00961830">
        <w:t>bd_por_origen.txt</w:t>
      </w:r>
      <w:r>
        <w:t>”</w:t>
      </w:r>
      <w:r w:rsidRPr="00961830">
        <w:t xml:space="preserve"> </w:t>
      </w:r>
      <w:r w:rsidR="008377AA">
        <w:t xml:space="preserve">muestra los datos según </w:t>
      </w:r>
      <w:r w:rsidR="00D94F8E">
        <w:t>origen</w:t>
      </w:r>
      <w:r w:rsidR="008377AA">
        <w:t xml:space="preserve"> de</w:t>
      </w:r>
      <w:r w:rsidR="00D94F8E">
        <w:t xml:space="preserve"> la</w:t>
      </w:r>
      <w:r w:rsidR="008377AA">
        <w:t xml:space="preserve"> información, antes de</w:t>
      </w:r>
      <w:r w:rsidR="006C0C80">
        <w:t xml:space="preserve"> aplicar los criterios de consolidación de las bases de datos, en el caso del IPS se informan solo registros correspondientes a mujeres inválidas</w:t>
      </w:r>
      <w:r>
        <w:t>.</w:t>
      </w:r>
      <w:r w:rsidR="00765DA3">
        <w:t xml:space="preserve"> </w:t>
      </w:r>
      <w:r>
        <w:t>L</w:t>
      </w:r>
      <w:r w:rsidR="000B0F81">
        <w:t xml:space="preserve">a estructura de datos </w:t>
      </w:r>
      <w:r>
        <w:t xml:space="preserve">de ambos archivos </w:t>
      </w:r>
      <w:r w:rsidR="000B0F81">
        <w:t>es la siguiente:</w:t>
      </w:r>
    </w:p>
    <w:p w:rsidR="000B0F81" w:rsidRPr="000B0F81" w:rsidRDefault="000B0F81" w:rsidP="000B0F81">
      <w:pPr>
        <w:spacing w:after="0" w:line="240" w:lineRule="auto"/>
        <w:rPr>
          <w:sz w:val="20"/>
          <w:szCs w:val="20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2"/>
        <w:gridCol w:w="194"/>
        <w:gridCol w:w="7603"/>
      </w:tblGrid>
      <w:tr w:rsidR="000B0F81" w:rsidRPr="000B0F81" w:rsidTr="000B0F8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Origen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542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Origen de la información. 1: IPS, 2: SP, 3: SVS, 4: SP</w:t>
            </w:r>
            <w:r w:rsidR="005425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 xml:space="preserve"> y </w:t>
            </w: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SVS.</w:t>
            </w:r>
          </w:p>
        </w:tc>
      </w:tr>
      <w:tr w:rsidR="000B0F81" w:rsidRPr="000B0F81" w:rsidTr="000B0F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Identificador interno SP-SVS</w:t>
            </w:r>
          </w:p>
        </w:tc>
      </w:tr>
      <w:tr w:rsidR="000B0F81" w:rsidRPr="000B0F81" w:rsidTr="000B0F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Tabla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Tabla de mortalidad de referencia. 1: Causantes, 2: Beneficiarios no inválidos,</w:t>
            </w:r>
          </w:p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3: Causantes y Beneficiarios no inválidos, 4: Inválidos.</w:t>
            </w:r>
          </w:p>
        </w:tc>
      </w:tr>
      <w:tr w:rsidR="000B0F81" w:rsidRPr="000B0F81" w:rsidTr="000B0F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TM_FEC_VIG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 inicio de vigencia de la pensión, en formato AAAAMMDD.</w:t>
            </w:r>
          </w:p>
        </w:tc>
      </w:tr>
      <w:tr w:rsidR="000B0F81" w:rsidRPr="000B0F81" w:rsidTr="000B0F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FinExposic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 de fin de exposición de la pensión, en formato AAAAMMDD.</w:t>
            </w:r>
          </w:p>
        </w:tc>
      </w:tr>
      <w:tr w:rsidR="000B0F81" w:rsidRPr="000B0F81" w:rsidTr="000B0F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TM_SEXO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Sexo.</w:t>
            </w:r>
          </w:p>
        </w:tc>
      </w:tr>
      <w:tr w:rsidR="000B0F81" w:rsidRPr="000B0F81" w:rsidTr="000B0F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TM_COD_REL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Parentesco definido según la Circular 1194 de la SVS. En el caso de los datos del IPS, se usa 0.</w:t>
            </w:r>
          </w:p>
        </w:tc>
      </w:tr>
      <w:tr w:rsidR="000B0F81" w:rsidRPr="000B0F81" w:rsidTr="000B0F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BEN_COD_INV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Código de invalidez. N: No inválido, P: Inválido parcial, T: Inválido total,</w:t>
            </w:r>
          </w:p>
          <w:p w:rsidR="000B0F81" w:rsidRPr="000B0F81" w:rsidRDefault="000B0F81" w:rsidP="009618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 xml:space="preserve">X: Inválido </w:t>
            </w:r>
            <w:r w:rsidR="005425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 xml:space="preserve">sin </w:t>
            </w:r>
            <w:r w:rsidR="00AD25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 xml:space="preserve">clasificación </w:t>
            </w:r>
            <w:r w:rsidR="005F66F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 xml:space="preserve">del tipo de invalidez </w:t>
            </w:r>
            <w:r w:rsidR="00AD25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(IPS)</w:t>
            </w: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.</w:t>
            </w:r>
          </w:p>
        </w:tc>
      </w:tr>
      <w:tr w:rsidR="000B0F81" w:rsidRPr="000B0F81" w:rsidTr="000B0F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TM_FEC_NAC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 de nacimiento del beneficiario, en formato AAAAMMDD.</w:t>
            </w:r>
          </w:p>
        </w:tc>
      </w:tr>
      <w:tr w:rsidR="000B0F81" w:rsidRPr="000B0F81" w:rsidTr="00343A4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TM_FEC_FALL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 de fallecimiento del beneficiario, en formato AAAAMMDD.</w:t>
            </w:r>
          </w:p>
          <w:p w:rsidR="000B0F81" w:rsidRPr="000B0F81" w:rsidRDefault="000B0F81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Si beneficiario vivo, se informa 0.</w:t>
            </w:r>
          </w:p>
        </w:tc>
      </w:tr>
      <w:tr w:rsidR="00061393" w:rsidRPr="000B0F81" w:rsidTr="00343A4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393" w:rsidRPr="000B0F81" w:rsidRDefault="00061393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0613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ben_h_duplicado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393" w:rsidRPr="000B0F81" w:rsidRDefault="00061393" w:rsidP="000B0F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1393" w:rsidRDefault="00061393" w:rsidP="00061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Este campo se incluye en el caso de la BD por origen, el cual indica si se trata de un beneficiario duplicado o no, al momento de juntar la tabla de causantes y beneficiarios no inválidos hombres. Donde,</w:t>
            </w:r>
          </w:p>
          <w:p w:rsidR="00061393" w:rsidRPr="000B0F81" w:rsidRDefault="00061393" w:rsidP="00061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0: No es un registro duplicado, 1: Dato de beneficiario duplicado, por lo que no se debe considerar en la contabilización de expuestos y fallecidos en la tabla CB-Hombres.</w:t>
            </w:r>
          </w:p>
        </w:tc>
      </w:tr>
    </w:tbl>
    <w:p w:rsidR="000B0F81" w:rsidRPr="006022AF" w:rsidRDefault="000B0F81" w:rsidP="000B0F81">
      <w:pPr>
        <w:spacing w:after="0" w:line="240" w:lineRule="auto"/>
        <w:jc w:val="both"/>
      </w:pPr>
    </w:p>
    <w:p w:rsidR="00E1626F" w:rsidRDefault="00E1626F" w:rsidP="00E1626F">
      <w:pPr>
        <w:pStyle w:val="Prrafodelista"/>
        <w:spacing w:after="0" w:line="240" w:lineRule="auto"/>
        <w:ind w:left="426"/>
        <w:jc w:val="both"/>
        <w:rPr>
          <w:b/>
          <w:i/>
        </w:rPr>
      </w:pPr>
    </w:p>
    <w:p w:rsidR="00765DA3" w:rsidRDefault="00765DA3" w:rsidP="00765DA3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b/>
          <w:i/>
        </w:rPr>
      </w:pPr>
      <w:r>
        <w:rPr>
          <w:b/>
          <w:i/>
        </w:rPr>
        <w:t>Tablas de mortalidad INE</w:t>
      </w:r>
    </w:p>
    <w:p w:rsidR="00EE0F52" w:rsidRDefault="00EE0F52" w:rsidP="00EE0F52">
      <w:pPr>
        <w:spacing w:after="0" w:line="240" w:lineRule="auto"/>
        <w:jc w:val="both"/>
        <w:rPr>
          <w:b/>
          <w:i/>
        </w:rPr>
      </w:pPr>
    </w:p>
    <w:p w:rsidR="00EE0F52" w:rsidRDefault="00EE0F52" w:rsidP="00EE0F52">
      <w:pPr>
        <w:spacing w:after="0" w:line="240" w:lineRule="auto"/>
        <w:jc w:val="both"/>
      </w:pPr>
      <w:r>
        <w:t xml:space="preserve">Están disponibles </w:t>
      </w:r>
      <w:r w:rsidR="00537BAA">
        <w:t>los archivos</w:t>
      </w:r>
      <w:r>
        <w:t xml:space="preserve"> “</w:t>
      </w:r>
      <w:r w:rsidRPr="00EE0F52">
        <w:t>tablas_ine-hombres.xlsx</w:t>
      </w:r>
      <w:r>
        <w:t>” y “</w:t>
      </w:r>
      <w:r w:rsidRPr="00EE0F52">
        <w:t>tablas_ine-mujeres.xlsx</w:t>
      </w:r>
      <w:r>
        <w:t>”</w:t>
      </w:r>
      <w:r w:rsidR="00537BAA">
        <w:t>. Amb</w:t>
      </w:r>
      <w:r w:rsidR="00D22066">
        <w:t>a</w:t>
      </w:r>
      <w:r w:rsidR="00537BAA">
        <w:t xml:space="preserve">s </w:t>
      </w:r>
      <w:r w:rsidR="00D22066">
        <w:t>planillas</w:t>
      </w:r>
      <w:r w:rsidR="00537BAA">
        <w:t xml:space="preserve"> contienen</w:t>
      </w:r>
      <w:r>
        <w:t xml:space="preserve"> la siguiente información:</w:t>
      </w:r>
    </w:p>
    <w:p w:rsidR="00EE0F52" w:rsidRDefault="00EE0F52" w:rsidP="00EE0F52">
      <w:pPr>
        <w:spacing w:after="0" w:line="240" w:lineRule="auto"/>
        <w:jc w:val="both"/>
      </w:pPr>
    </w:p>
    <w:p w:rsidR="00CD2787" w:rsidRDefault="00EE0F52" w:rsidP="00B44D2D">
      <w:pPr>
        <w:spacing w:after="0" w:line="240" w:lineRule="auto"/>
        <w:jc w:val="both"/>
      </w:pPr>
      <w:r w:rsidRPr="00537BAA">
        <w:rPr>
          <w:i/>
        </w:rPr>
        <w:t>Hoja “Quinquenales</w:t>
      </w:r>
      <w:r w:rsidR="00C060D0">
        <w:rPr>
          <w:i/>
        </w:rPr>
        <w:t>”</w:t>
      </w:r>
      <w:r w:rsidRPr="00537BAA">
        <w:rPr>
          <w:i/>
        </w:rPr>
        <w:t>:</w:t>
      </w:r>
      <w:r>
        <w:t xml:space="preserve"> Tablas </w:t>
      </w:r>
      <w:r w:rsidR="00537BAA">
        <w:t xml:space="preserve">de mortalidad abreviadas </w:t>
      </w:r>
      <w:r>
        <w:t>quinquenales</w:t>
      </w:r>
      <w:r w:rsidR="00537BAA">
        <w:t xml:space="preserve"> </w:t>
      </w:r>
      <w:r w:rsidR="00C060D0">
        <w:t xml:space="preserve">(5x5) </w:t>
      </w:r>
      <w:r w:rsidR="00537BAA">
        <w:t>proporcionadas por el INE,</w:t>
      </w:r>
      <w:r w:rsidR="00537BAA" w:rsidRPr="00537BAA">
        <w:t xml:space="preserve"> es decir, con tasas abreviadas por rango de edad y que abarcan 5 años calendario, </w:t>
      </w:r>
      <w:r w:rsidR="00537BAA">
        <w:t>desde el año 1950 al año 2005.</w:t>
      </w:r>
    </w:p>
    <w:p w:rsidR="00537BAA" w:rsidRDefault="00537BAA" w:rsidP="00B44D2D">
      <w:pPr>
        <w:spacing w:after="0" w:line="240" w:lineRule="auto"/>
        <w:jc w:val="both"/>
      </w:pPr>
    </w:p>
    <w:p w:rsidR="00537BAA" w:rsidRDefault="00537BAA" w:rsidP="00537BAA">
      <w:pPr>
        <w:spacing w:after="0" w:line="240" w:lineRule="auto"/>
        <w:jc w:val="both"/>
      </w:pPr>
      <w:r w:rsidRPr="00537BAA">
        <w:rPr>
          <w:i/>
        </w:rPr>
        <w:t>Hoja “</w:t>
      </w:r>
      <w:r w:rsidR="00C755AB" w:rsidRPr="00C755AB">
        <w:rPr>
          <w:i/>
        </w:rPr>
        <w:t>Nota T. Completas</w:t>
      </w:r>
      <w:r w:rsidR="00C060D0">
        <w:rPr>
          <w:i/>
        </w:rPr>
        <w:t>”</w:t>
      </w:r>
      <w:r w:rsidRPr="00537BAA">
        <w:rPr>
          <w:i/>
        </w:rPr>
        <w:t>:</w:t>
      </w:r>
      <w:r>
        <w:t xml:space="preserve"> </w:t>
      </w:r>
      <w:r w:rsidR="00C755AB">
        <w:t>N</w:t>
      </w:r>
      <w:r>
        <w:t xml:space="preserve">ota </w:t>
      </w:r>
      <w:r w:rsidR="00C755AB">
        <w:t>sobre</w:t>
      </w:r>
      <w:r>
        <w:t xml:space="preserve"> las tablas de mortalidad completas.</w:t>
      </w:r>
    </w:p>
    <w:p w:rsidR="00537BAA" w:rsidRDefault="00537BAA" w:rsidP="00537BAA">
      <w:pPr>
        <w:spacing w:after="0" w:line="240" w:lineRule="auto"/>
        <w:jc w:val="both"/>
      </w:pPr>
    </w:p>
    <w:p w:rsidR="00537BAA" w:rsidRDefault="00537BAA" w:rsidP="00537BAA">
      <w:pPr>
        <w:spacing w:after="0" w:line="240" w:lineRule="auto"/>
        <w:jc w:val="both"/>
      </w:pPr>
      <w:r w:rsidRPr="00537BAA">
        <w:rPr>
          <w:i/>
        </w:rPr>
        <w:lastRenderedPageBreak/>
        <w:t>Hoja “Completas</w:t>
      </w:r>
      <w:r w:rsidR="00C060D0">
        <w:rPr>
          <w:i/>
        </w:rPr>
        <w:t>”</w:t>
      </w:r>
      <w:r w:rsidRPr="00537BAA">
        <w:rPr>
          <w:i/>
        </w:rPr>
        <w:t>:</w:t>
      </w:r>
      <w:r>
        <w:t xml:space="preserve"> </w:t>
      </w:r>
      <w:r w:rsidR="00C060D0">
        <w:t>T</w:t>
      </w:r>
      <w:r w:rsidR="00C060D0" w:rsidRPr="00C060D0">
        <w:t>ablas de mortalidad</w:t>
      </w:r>
      <w:r w:rsidR="00C060D0">
        <w:t xml:space="preserve"> </w:t>
      </w:r>
      <w:r w:rsidR="00C060D0" w:rsidRPr="00C060D0">
        <w:t>completas individuales (1x1)</w:t>
      </w:r>
      <w:r w:rsidR="00C060D0">
        <w:t xml:space="preserve"> proporcionadas por el INE</w:t>
      </w:r>
      <w:r w:rsidR="00C060D0" w:rsidRPr="00C060D0">
        <w:t xml:space="preserve">, es decir, tasas para cada edad y para años </w:t>
      </w:r>
      <w:proofErr w:type="gramStart"/>
      <w:r w:rsidR="00C060D0" w:rsidRPr="00C060D0">
        <w:t>calendario individuales</w:t>
      </w:r>
      <w:proofErr w:type="gramEnd"/>
      <w:r w:rsidR="00C060D0" w:rsidRPr="00C060D0">
        <w:t>, para el período comprendido entre los años 2002 y 2012.</w:t>
      </w:r>
    </w:p>
    <w:p w:rsidR="00602BAA" w:rsidRDefault="00602BAA" w:rsidP="00537BAA">
      <w:pPr>
        <w:spacing w:after="0" w:line="240" w:lineRule="auto"/>
        <w:jc w:val="both"/>
      </w:pPr>
    </w:p>
    <w:p w:rsidR="00602BAA" w:rsidRDefault="00602BAA" w:rsidP="00602BAA">
      <w:pPr>
        <w:spacing w:after="0" w:line="240" w:lineRule="auto"/>
        <w:jc w:val="both"/>
      </w:pPr>
      <w:r w:rsidRPr="00537BAA">
        <w:rPr>
          <w:i/>
        </w:rPr>
        <w:t>Hoja “</w:t>
      </w:r>
      <w:r w:rsidRPr="00602BAA">
        <w:rPr>
          <w:i/>
        </w:rPr>
        <w:t>Interpolación</w:t>
      </w:r>
      <w:r>
        <w:rPr>
          <w:i/>
        </w:rPr>
        <w:t>”</w:t>
      </w:r>
      <w:r w:rsidRPr="00537BAA">
        <w:rPr>
          <w:i/>
        </w:rPr>
        <w:t>:</w:t>
      </w:r>
      <w:r>
        <w:t xml:space="preserve"> Ta</w:t>
      </w:r>
      <w:r w:rsidR="00877501">
        <w:t>s</w:t>
      </w:r>
      <w:r>
        <w:t>as de mortalidad (</w:t>
      </w:r>
      <w:proofErr w:type="spellStart"/>
      <w:r>
        <w:t>qx</w:t>
      </w:r>
      <w:proofErr w:type="spellEnd"/>
      <w:r>
        <w:t xml:space="preserve">) </w:t>
      </w:r>
      <w:r w:rsidR="00877501">
        <w:t>utilizadas para el cálculo d</w:t>
      </w:r>
      <w:r w:rsidR="00283843">
        <w:t xml:space="preserve">e los factores de mejoramiento. Se obtuvieron de la </w:t>
      </w:r>
      <w:r w:rsidR="00107D58">
        <w:t>unión</w:t>
      </w:r>
      <w:r w:rsidR="00283843">
        <w:t xml:space="preserve"> de las tasas </w:t>
      </w:r>
      <w:r w:rsidRPr="00602BAA">
        <w:t>interpoladas</w:t>
      </w:r>
      <w:r>
        <w:t xml:space="preserve"> </w:t>
      </w:r>
      <w:r w:rsidR="00107D58">
        <w:t xml:space="preserve">con las tasas individuales completas </w:t>
      </w:r>
      <w:r w:rsidRPr="00602BAA">
        <w:t>ya disponibles</w:t>
      </w:r>
      <w:r w:rsidR="00047E5C">
        <w:t>.</w:t>
      </w:r>
    </w:p>
    <w:p w:rsidR="00556D35" w:rsidRDefault="00556D35">
      <w:pPr>
        <w:rPr>
          <w:b/>
          <w:i/>
        </w:rPr>
      </w:pPr>
    </w:p>
    <w:p w:rsidR="00C5329A" w:rsidRDefault="00C5329A" w:rsidP="00C5329A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b/>
          <w:i/>
        </w:rPr>
      </w:pPr>
      <w:r>
        <w:rPr>
          <w:b/>
          <w:i/>
        </w:rPr>
        <w:t>Tablas de mortalidad 2014</w:t>
      </w:r>
    </w:p>
    <w:p w:rsidR="00C5329A" w:rsidRDefault="00C5329A" w:rsidP="00C5329A">
      <w:pPr>
        <w:spacing w:after="0" w:line="240" w:lineRule="auto"/>
        <w:jc w:val="both"/>
        <w:rPr>
          <w:b/>
          <w:i/>
        </w:rPr>
      </w:pPr>
    </w:p>
    <w:p w:rsidR="00537BAA" w:rsidRDefault="00136890" w:rsidP="002A0464">
      <w:pPr>
        <w:spacing w:after="0" w:line="240" w:lineRule="auto"/>
        <w:jc w:val="both"/>
      </w:pPr>
      <w:r>
        <w:t xml:space="preserve">Estas cinco planillas </w:t>
      </w:r>
      <w:r w:rsidR="00C5329A">
        <w:t>corresponden a las nuevas tablas de mortalidad 2014</w:t>
      </w:r>
      <w:r>
        <w:t xml:space="preserve">. </w:t>
      </w:r>
      <w:r w:rsidR="00A055B9">
        <w:t>L</w:t>
      </w:r>
      <w:r w:rsidR="00C5329A">
        <w:t xml:space="preserve">a primera </w:t>
      </w:r>
      <w:r w:rsidR="00AE4C3D">
        <w:t xml:space="preserve">hoja </w:t>
      </w:r>
      <w:r w:rsidR="00A055B9">
        <w:t xml:space="preserve">de cada planilla contiene </w:t>
      </w:r>
      <w:r>
        <w:t>el número de personas expuesta</w:t>
      </w:r>
      <w:bookmarkStart w:id="1" w:name="_GoBack"/>
      <w:bookmarkEnd w:id="1"/>
      <w:r>
        <w:t xml:space="preserve">s y muertas </w:t>
      </w:r>
      <w:r w:rsidR="00A055B9">
        <w:t>en</w:t>
      </w:r>
      <w:r>
        <w:t xml:space="preserve"> cada edad, con su respectiv</w:t>
      </w:r>
      <w:r w:rsidR="002A0464">
        <w:t>a</w:t>
      </w:r>
      <w:r>
        <w:t xml:space="preserve"> </w:t>
      </w:r>
      <w:r w:rsidR="002A0464">
        <w:t>tasa</w:t>
      </w:r>
      <w:r w:rsidR="00C5329A">
        <w:t xml:space="preserve"> brut</w:t>
      </w:r>
      <w:r w:rsidR="002A0464">
        <w:t>a</w:t>
      </w:r>
      <w:r>
        <w:t>, todo</w:t>
      </w:r>
      <w:r w:rsidR="00C5329A">
        <w:t xml:space="preserve"> obtenido de la base de datos </w:t>
      </w:r>
      <w:r w:rsidR="00897FBD">
        <w:t>“</w:t>
      </w:r>
      <w:r w:rsidR="00897FBD" w:rsidRPr="00765DA3">
        <w:t>bd_consolidada.tx</w:t>
      </w:r>
      <w:r w:rsidR="00897FBD">
        <w:t xml:space="preserve">t” </w:t>
      </w:r>
      <w:r>
        <w:t xml:space="preserve">descrita </w:t>
      </w:r>
      <w:r w:rsidR="00C5329A">
        <w:t>en la primera sección</w:t>
      </w:r>
      <w:r w:rsidR="00A055B9">
        <w:t>. L</w:t>
      </w:r>
      <w:r w:rsidR="0004072F">
        <w:t xml:space="preserve">a segunda hoja </w:t>
      </w:r>
      <w:r w:rsidR="00A055B9">
        <w:t xml:space="preserve">contiene </w:t>
      </w:r>
      <w:r w:rsidR="0004072F">
        <w:t>l</w:t>
      </w:r>
      <w:r w:rsidR="002A0464">
        <w:t>a</w:t>
      </w:r>
      <w:r w:rsidR="0004072F">
        <w:t xml:space="preserve"> </w:t>
      </w:r>
      <w:r w:rsidR="002A0464">
        <w:t>tasa</w:t>
      </w:r>
      <w:r w:rsidR="0004072F">
        <w:t xml:space="preserve"> </w:t>
      </w:r>
      <w:r w:rsidR="00C5329A">
        <w:t>suavizad</w:t>
      </w:r>
      <w:r w:rsidR="002A0464">
        <w:t>a</w:t>
      </w:r>
      <w:r w:rsidR="00C5329A">
        <w:t xml:space="preserve"> </w:t>
      </w:r>
      <w:r w:rsidR="0004072F">
        <w:t>y el factor de ajuste correspondiente</w:t>
      </w:r>
      <w:r w:rsidR="002A0464">
        <w:t xml:space="preserve"> para cada edad</w:t>
      </w:r>
      <w:r w:rsidR="0004072F">
        <w:t xml:space="preserve">, ambos calculados </w:t>
      </w:r>
      <w:r w:rsidR="00C5329A">
        <w:t xml:space="preserve">mediante la metodología </w:t>
      </w:r>
      <w:r w:rsidR="002A0464">
        <w:t xml:space="preserve">descrita </w:t>
      </w:r>
      <w:r w:rsidR="00C5329A">
        <w:t>en la Nota Técnica</w:t>
      </w:r>
      <w:r w:rsidR="0004072F">
        <w:t>.</w:t>
      </w:r>
      <w:bookmarkEnd w:id="0"/>
    </w:p>
    <w:sectPr w:rsidR="00537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02575"/>
    <w:multiLevelType w:val="hybridMultilevel"/>
    <w:tmpl w:val="C6B6DBB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07"/>
    <w:rsid w:val="000330F9"/>
    <w:rsid w:val="0004072F"/>
    <w:rsid w:val="00047E5C"/>
    <w:rsid w:val="00061393"/>
    <w:rsid w:val="00062BC1"/>
    <w:rsid w:val="00065F8C"/>
    <w:rsid w:val="00073DB5"/>
    <w:rsid w:val="00075662"/>
    <w:rsid w:val="000A76CC"/>
    <w:rsid w:val="000B0F81"/>
    <w:rsid w:val="000E7DC1"/>
    <w:rsid w:val="00107D58"/>
    <w:rsid w:val="00133F39"/>
    <w:rsid w:val="00136890"/>
    <w:rsid w:val="00137C4A"/>
    <w:rsid w:val="00142D07"/>
    <w:rsid w:val="00146F00"/>
    <w:rsid w:val="00151295"/>
    <w:rsid w:val="00176199"/>
    <w:rsid w:val="001A02CE"/>
    <w:rsid w:val="001C4838"/>
    <w:rsid w:val="0024799C"/>
    <w:rsid w:val="00283843"/>
    <w:rsid w:val="002A0464"/>
    <w:rsid w:val="002B41E6"/>
    <w:rsid w:val="002C6F18"/>
    <w:rsid w:val="00314007"/>
    <w:rsid w:val="00326A36"/>
    <w:rsid w:val="003355E2"/>
    <w:rsid w:val="00343A4A"/>
    <w:rsid w:val="00346295"/>
    <w:rsid w:val="003533E5"/>
    <w:rsid w:val="0037438F"/>
    <w:rsid w:val="00381236"/>
    <w:rsid w:val="003B2708"/>
    <w:rsid w:val="003C7E3E"/>
    <w:rsid w:val="003F75CC"/>
    <w:rsid w:val="004007FD"/>
    <w:rsid w:val="00406E4F"/>
    <w:rsid w:val="00482F70"/>
    <w:rsid w:val="004B4E59"/>
    <w:rsid w:val="005064ED"/>
    <w:rsid w:val="005308D3"/>
    <w:rsid w:val="005353D7"/>
    <w:rsid w:val="00537BAA"/>
    <w:rsid w:val="005425CD"/>
    <w:rsid w:val="00556D35"/>
    <w:rsid w:val="00557917"/>
    <w:rsid w:val="005C42F5"/>
    <w:rsid w:val="005D0F2A"/>
    <w:rsid w:val="005F66F6"/>
    <w:rsid w:val="006022AF"/>
    <w:rsid w:val="00602BAA"/>
    <w:rsid w:val="00607F46"/>
    <w:rsid w:val="00615F19"/>
    <w:rsid w:val="006750D9"/>
    <w:rsid w:val="0068145C"/>
    <w:rsid w:val="006954FF"/>
    <w:rsid w:val="006C0C80"/>
    <w:rsid w:val="0076000E"/>
    <w:rsid w:val="00765DA3"/>
    <w:rsid w:val="0079501B"/>
    <w:rsid w:val="00795F65"/>
    <w:rsid w:val="007C4978"/>
    <w:rsid w:val="007E10AA"/>
    <w:rsid w:val="007F39DC"/>
    <w:rsid w:val="00802A63"/>
    <w:rsid w:val="008377AA"/>
    <w:rsid w:val="008623DA"/>
    <w:rsid w:val="00872F3F"/>
    <w:rsid w:val="00877501"/>
    <w:rsid w:val="00887056"/>
    <w:rsid w:val="00897FBD"/>
    <w:rsid w:val="008A667B"/>
    <w:rsid w:val="008B0997"/>
    <w:rsid w:val="008C1736"/>
    <w:rsid w:val="008C37B8"/>
    <w:rsid w:val="008F3EB5"/>
    <w:rsid w:val="00913C92"/>
    <w:rsid w:val="0093512E"/>
    <w:rsid w:val="009511CC"/>
    <w:rsid w:val="00953FE8"/>
    <w:rsid w:val="00961830"/>
    <w:rsid w:val="009819CB"/>
    <w:rsid w:val="009834F4"/>
    <w:rsid w:val="00985322"/>
    <w:rsid w:val="009A46BD"/>
    <w:rsid w:val="009C204B"/>
    <w:rsid w:val="009C3C32"/>
    <w:rsid w:val="009D0177"/>
    <w:rsid w:val="009F0029"/>
    <w:rsid w:val="00A055B9"/>
    <w:rsid w:val="00A30F0B"/>
    <w:rsid w:val="00A45188"/>
    <w:rsid w:val="00A60CA5"/>
    <w:rsid w:val="00AA6A6A"/>
    <w:rsid w:val="00AA6AAC"/>
    <w:rsid w:val="00AB13D8"/>
    <w:rsid w:val="00AB399C"/>
    <w:rsid w:val="00AB5E4B"/>
    <w:rsid w:val="00AD2598"/>
    <w:rsid w:val="00AE4C3D"/>
    <w:rsid w:val="00AE5A97"/>
    <w:rsid w:val="00AF1058"/>
    <w:rsid w:val="00B44D2D"/>
    <w:rsid w:val="00B70BE3"/>
    <w:rsid w:val="00C060D0"/>
    <w:rsid w:val="00C21302"/>
    <w:rsid w:val="00C24472"/>
    <w:rsid w:val="00C5329A"/>
    <w:rsid w:val="00C755AB"/>
    <w:rsid w:val="00C77B8F"/>
    <w:rsid w:val="00C83271"/>
    <w:rsid w:val="00CD2787"/>
    <w:rsid w:val="00CF41B0"/>
    <w:rsid w:val="00CF4534"/>
    <w:rsid w:val="00D133BB"/>
    <w:rsid w:val="00D22066"/>
    <w:rsid w:val="00D270BF"/>
    <w:rsid w:val="00D35D73"/>
    <w:rsid w:val="00D44067"/>
    <w:rsid w:val="00D92EE2"/>
    <w:rsid w:val="00D94F8E"/>
    <w:rsid w:val="00DF422E"/>
    <w:rsid w:val="00E0769F"/>
    <w:rsid w:val="00E1626F"/>
    <w:rsid w:val="00E65329"/>
    <w:rsid w:val="00EC51CD"/>
    <w:rsid w:val="00EE0AAA"/>
    <w:rsid w:val="00EE0F52"/>
    <w:rsid w:val="00F15324"/>
    <w:rsid w:val="00F2436C"/>
    <w:rsid w:val="00F40DFE"/>
    <w:rsid w:val="00F65755"/>
    <w:rsid w:val="00F71241"/>
    <w:rsid w:val="00F7198D"/>
    <w:rsid w:val="00F92C7B"/>
    <w:rsid w:val="00FB5BF1"/>
    <w:rsid w:val="00FD0382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0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D2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0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02CE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1A02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02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02C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02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02C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0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D2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0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02CE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1A02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02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02C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02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02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DC513-B4FB-4E6F-8BED-E290A9B6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spensiones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spensiones</dc:creator>
  <cp:lastModifiedBy>Sapunar Bernabé Wilma Francisca</cp:lastModifiedBy>
  <cp:revision>3</cp:revision>
  <dcterms:created xsi:type="dcterms:W3CDTF">2015-11-19T11:56:00Z</dcterms:created>
  <dcterms:modified xsi:type="dcterms:W3CDTF">2015-11-19T11:56:00Z</dcterms:modified>
</cp:coreProperties>
</file>