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206649" w:rsidRDefault="006845DB" w:rsidP="007157AD">
      <w:pPr>
        <w:jc w:val="both"/>
        <w:rPr>
          <w:rFonts w:ascii="Calibri" w:eastAsia="Times New Roman" w:hAnsi="Calibri" w:cs="Times New Roman"/>
          <w:b/>
          <w:sz w:val="22"/>
        </w:rPr>
      </w:pPr>
      <w:r w:rsidRPr="00206649">
        <w:rPr>
          <w:rFonts w:ascii="Calibri" w:eastAsia="Times New Roman" w:hAnsi="Calibri" w:cs="Times New Roman"/>
          <w:b/>
          <w:sz w:val="22"/>
        </w:rPr>
        <w:t>Reply to editors</w:t>
      </w:r>
    </w:p>
    <w:p w14:paraId="15F3521B" w14:textId="77777777" w:rsidR="006845DB" w:rsidRPr="00206649" w:rsidRDefault="006845DB" w:rsidP="007157AD">
      <w:pPr>
        <w:jc w:val="both"/>
        <w:rPr>
          <w:rFonts w:ascii="Calibri" w:eastAsia="Times New Roman" w:hAnsi="Calibri" w:cs="Times New Roman"/>
          <w:sz w:val="22"/>
        </w:rPr>
      </w:pPr>
    </w:p>
    <w:p w14:paraId="32A18C48" w14:textId="77777777" w:rsidR="006845DB" w:rsidRPr="00206649" w:rsidRDefault="006845DB" w:rsidP="007157AD">
      <w:pPr>
        <w:jc w:val="both"/>
        <w:rPr>
          <w:rFonts w:ascii="Calibri" w:eastAsia="Times New Roman" w:hAnsi="Calibri" w:cs="Times New Roman"/>
          <w:sz w:val="22"/>
        </w:rPr>
      </w:pPr>
      <w:r w:rsidRPr="00206649">
        <w:rPr>
          <w:rFonts w:ascii="Calibri" w:eastAsia="Times New Roman" w:hAnsi="Calibri" w:cs="Times New Roman"/>
          <w:sz w:val="22"/>
        </w:rPr>
        <w:t xml:space="preserve">We thank the editorial board for the opportunity to revise our manuscript. Our responses to the editors’ comments are outlined below in regular font with editor/reviewer’s comments in bold font. </w:t>
      </w:r>
    </w:p>
    <w:p w14:paraId="7A8F8204" w14:textId="77777777" w:rsidR="006845DB" w:rsidRPr="00206649" w:rsidRDefault="006845DB" w:rsidP="007157AD">
      <w:pPr>
        <w:pStyle w:val="PlainText"/>
        <w:jc w:val="both"/>
        <w:rPr>
          <w:b/>
          <w:szCs w:val="22"/>
        </w:rPr>
      </w:pPr>
    </w:p>
    <w:p w14:paraId="6E7BC7D0" w14:textId="77777777" w:rsidR="006845DB" w:rsidRPr="00206649" w:rsidRDefault="006845DB" w:rsidP="007157AD">
      <w:pPr>
        <w:pStyle w:val="PlainText"/>
        <w:jc w:val="both"/>
        <w:rPr>
          <w:b/>
          <w:szCs w:val="22"/>
        </w:rPr>
      </w:pPr>
      <w:r w:rsidRPr="00206649">
        <w:rPr>
          <w:b/>
          <w:szCs w:val="22"/>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14:paraId="1DAD7A37" w14:textId="77777777" w:rsidR="006845DB" w:rsidRPr="00206649" w:rsidRDefault="006845DB" w:rsidP="007157AD">
      <w:pPr>
        <w:pStyle w:val="PlainText"/>
        <w:jc w:val="both"/>
        <w:rPr>
          <w:b/>
          <w:szCs w:val="22"/>
        </w:rPr>
      </w:pPr>
    </w:p>
    <w:p w14:paraId="23364901" w14:textId="463B2467" w:rsidR="006845DB" w:rsidRPr="00206649" w:rsidRDefault="006845DB" w:rsidP="007157AD">
      <w:pPr>
        <w:pStyle w:val="PlainText"/>
        <w:jc w:val="both"/>
        <w:rPr>
          <w:b/>
          <w:szCs w:val="22"/>
        </w:rPr>
      </w:pPr>
      <w:r w:rsidRPr="00206649">
        <w:rPr>
          <w:b/>
          <w:szCs w:val="22"/>
        </w:rPr>
        <w:t>In addition to the above, please address the editorial requests towards the end of this letter</w:t>
      </w:r>
    </w:p>
    <w:p w14:paraId="65F05C48" w14:textId="4AA0DEF8" w:rsidR="006845DB" w:rsidRPr="00206649" w:rsidRDefault="006845DB" w:rsidP="007157AD">
      <w:pPr>
        <w:pStyle w:val="PlainText"/>
        <w:jc w:val="both"/>
        <w:rPr>
          <w:b/>
          <w:szCs w:val="22"/>
        </w:rPr>
      </w:pPr>
    </w:p>
    <w:p w14:paraId="0070F696" w14:textId="77777777" w:rsidR="006845DB" w:rsidRPr="00206649" w:rsidRDefault="006845DB" w:rsidP="007157AD">
      <w:pPr>
        <w:pStyle w:val="PlainText"/>
        <w:jc w:val="both"/>
        <w:rPr>
          <w:b/>
          <w:szCs w:val="22"/>
        </w:rPr>
      </w:pPr>
      <w:r w:rsidRPr="00206649">
        <w:rPr>
          <w:b/>
          <w:szCs w:val="22"/>
        </w:rPr>
        <w:t>Editorial Requests:</w:t>
      </w:r>
    </w:p>
    <w:p w14:paraId="08B07E09" w14:textId="77777777" w:rsidR="006845DB" w:rsidRPr="00206649" w:rsidRDefault="006845DB" w:rsidP="007157AD">
      <w:pPr>
        <w:pStyle w:val="PlainText"/>
        <w:jc w:val="both"/>
        <w:rPr>
          <w:b/>
          <w:szCs w:val="22"/>
        </w:rPr>
      </w:pPr>
    </w:p>
    <w:p w14:paraId="75DFD2D2" w14:textId="1CC883D1" w:rsidR="006845DB" w:rsidRPr="00206649" w:rsidRDefault="006845DB" w:rsidP="007157AD">
      <w:pPr>
        <w:pStyle w:val="PlainText"/>
        <w:jc w:val="both"/>
        <w:rPr>
          <w:b/>
          <w:szCs w:val="22"/>
        </w:rPr>
      </w:pPr>
      <w:r w:rsidRPr="00206649">
        <w:rPr>
          <w:b/>
          <w:szCs w:val="22"/>
        </w:rPr>
        <w:t>- Please revise your title so that it includes your study design. This is the preferred format for the journal.</w:t>
      </w:r>
    </w:p>
    <w:p w14:paraId="5375A086" w14:textId="5DBEF8CD" w:rsidR="003276E2" w:rsidRPr="00206649" w:rsidRDefault="003276E2" w:rsidP="007157AD">
      <w:pPr>
        <w:pStyle w:val="PlainText"/>
        <w:jc w:val="both"/>
        <w:rPr>
          <w:szCs w:val="22"/>
        </w:rPr>
      </w:pPr>
      <w:r w:rsidRPr="00206649">
        <w:rPr>
          <w:szCs w:val="22"/>
        </w:rPr>
        <w:t>We have included the study design in the title. It now reads:</w:t>
      </w:r>
    </w:p>
    <w:p w14:paraId="7BC8197E" w14:textId="77777777" w:rsidR="003276E2" w:rsidRPr="00206649" w:rsidRDefault="003276E2" w:rsidP="007157AD">
      <w:pPr>
        <w:pStyle w:val="PlainText"/>
        <w:jc w:val="both"/>
        <w:rPr>
          <w:szCs w:val="22"/>
        </w:rPr>
      </w:pPr>
    </w:p>
    <w:p w14:paraId="2B5EAFB5" w14:textId="10915DFA" w:rsidR="003276E2" w:rsidRPr="00206649" w:rsidRDefault="003276E2" w:rsidP="007157AD">
      <w:pPr>
        <w:pStyle w:val="PlainText"/>
        <w:jc w:val="both"/>
        <w:rPr>
          <w:i/>
          <w:szCs w:val="22"/>
        </w:rPr>
      </w:pPr>
      <w:r w:rsidRPr="00206649">
        <w:rPr>
          <w:i/>
          <w:szCs w:val="22"/>
        </w:rPr>
        <w:t xml:space="preserve">“Inequalities and deterioration in average lifespan among adults in Mexico, 1990-2015:  A </w:t>
      </w:r>
      <w:r w:rsidR="00040AC9" w:rsidRPr="00206649">
        <w:rPr>
          <w:i/>
          <w:szCs w:val="22"/>
        </w:rPr>
        <w:t xml:space="preserve">cross-sectional </w:t>
      </w:r>
      <w:r w:rsidRPr="00206649">
        <w:rPr>
          <w:i/>
          <w:szCs w:val="22"/>
        </w:rPr>
        <w:t>demographic cause-of-death analysis”</w:t>
      </w:r>
    </w:p>
    <w:p w14:paraId="5F4B80D0" w14:textId="645A42BE" w:rsidR="006845DB" w:rsidRPr="00206649" w:rsidRDefault="006845DB" w:rsidP="007157AD">
      <w:pPr>
        <w:pStyle w:val="PlainText"/>
        <w:jc w:val="both"/>
        <w:rPr>
          <w:b/>
          <w:szCs w:val="22"/>
        </w:rPr>
      </w:pPr>
    </w:p>
    <w:p w14:paraId="26A7A66F" w14:textId="4DBB0FF7" w:rsidR="006845DB" w:rsidRPr="00206649" w:rsidRDefault="006845DB" w:rsidP="007157AD">
      <w:pPr>
        <w:pStyle w:val="PlainText"/>
        <w:jc w:val="both"/>
        <w:rPr>
          <w:b/>
          <w:szCs w:val="22"/>
        </w:rPr>
      </w:pPr>
      <w:r w:rsidRPr="00206649">
        <w:rPr>
          <w:b/>
          <w:szCs w:val="22"/>
        </w:rPr>
        <w:t>- Please include the study's sample size in the abstract.</w:t>
      </w:r>
    </w:p>
    <w:p w14:paraId="1C604FF9" w14:textId="5984E876" w:rsidR="003276E2" w:rsidRPr="00206649" w:rsidRDefault="003276E2" w:rsidP="007157AD">
      <w:pPr>
        <w:pStyle w:val="PlainText"/>
        <w:jc w:val="both"/>
        <w:rPr>
          <w:szCs w:val="22"/>
        </w:rPr>
      </w:pPr>
      <w:r w:rsidRPr="00206649">
        <w:rPr>
          <w:szCs w:val="22"/>
        </w:rPr>
        <w:t>We study the national population of Mexico by sex, i.e. we do not work with a sample. However, we now state the size of the population of Mexico when the period of started and when it finished. The section of participants in the abstract now reads:</w:t>
      </w:r>
    </w:p>
    <w:p w14:paraId="6A73C810" w14:textId="77777777" w:rsidR="003276E2" w:rsidRPr="00206649" w:rsidRDefault="003276E2" w:rsidP="007157AD">
      <w:pPr>
        <w:pStyle w:val="PlainText"/>
        <w:jc w:val="both"/>
        <w:rPr>
          <w:szCs w:val="22"/>
        </w:rPr>
      </w:pPr>
    </w:p>
    <w:p w14:paraId="7CEC6D7B" w14:textId="6132FA81" w:rsidR="003276E2" w:rsidRPr="00206649" w:rsidRDefault="003276E2" w:rsidP="007157AD">
      <w:pPr>
        <w:pStyle w:val="PlainText"/>
        <w:jc w:val="both"/>
        <w:rPr>
          <w:b/>
          <w:szCs w:val="22"/>
        </w:rPr>
      </w:pPr>
      <w:r w:rsidRPr="00206649">
        <w:rPr>
          <w:i/>
          <w:szCs w:val="22"/>
        </w:rPr>
        <w:t>“Aggregated national data (from 91.2 million people in 1995 to 119.9 million in 2015) grouped in</w:t>
      </w:r>
      <w:r w:rsidRPr="00206649">
        <w:rPr>
          <w:b/>
          <w:i/>
          <w:szCs w:val="22"/>
        </w:rPr>
        <w:t xml:space="preserve"> </w:t>
      </w:r>
      <w:r w:rsidRPr="00206649">
        <w:rPr>
          <w:i/>
          <w:szCs w:val="22"/>
        </w:rPr>
        <w:t>64 populations (32 Mexican-states</w:t>
      </w:r>
      <w:r w:rsidR="00F52BFE" w:rsidRPr="00206649">
        <w:rPr>
          <w:i/>
          <w:szCs w:val="22"/>
        </w:rPr>
        <w:t xml:space="preserve"> </w:t>
      </w:r>
      <w:r w:rsidR="00F52BFE" w:rsidRPr="00206649">
        <w:rPr>
          <w:szCs w:val="22"/>
        </w:rPr>
        <w:t>[including Mexico City]</w:t>
      </w:r>
      <w:r w:rsidRPr="00206649">
        <w:rPr>
          <w:i/>
          <w:szCs w:val="22"/>
        </w:rPr>
        <w:t xml:space="preserve"> by sex) with data on causes of death.</w:t>
      </w:r>
      <w:r w:rsidRPr="00206649">
        <w:rPr>
          <w:szCs w:val="22"/>
        </w:rPr>
        <w:t>”</w:t>
      </w:r>
    </w:p>
    <w:p w14:paraId="48E206F3" w14:textId="644AB0FD" w:rsidR="003276E2" w:rsidRPr="00206649" w:rsidRDefault="003276E2" w:rsidP="007157AD">
      <w:pPr>
        <w:pStyle w:val="PlainText"/>
        <w:jc w:val="both"/>
        <w:rPr>
          <w:szCs w:val="22"/>
        </w:rPr>
      </w:pPr>
    </w:p>
    <w:p w14:paraId="1912FBE7" w14:textId="77777777" w:rsidR="006845DB" w:rsidRPr="00206649" w:rsidRDefault="006845DB" w:rsidP="007157AD">
      <w:pPr>
        <w:pStyle w:val="PlainText"/>
        <w:jc w:val="both"/>
        <w:rPr>
          <w:b/>
          <w:szCs w:val="22"/>
        </w:rPr>
      </w:pPr>
    </w:p>
    <w:p w14:paraId="08A8ADFE" w14:textId="2717ECC1" w:rsidR="006845DB" w:rsidRPr="00206649" w:rsidRDefault="006845DB" w:rsidP="007157AD">
      <w:pPr>
        <w:pStyle w:val="PlainText"/>
        <w:jc w:val="both"/>
        <w:rPr>
          <w:b/>
          <w:szCs w:val="22"/>
        </w:rPr>
      </w:pPr>
      <w:r w:rsidRPr="00206649">
        <w:rPr>
          <w:b/>
          <w:szCs w:val="22"/>
        </w:rPr>
        <w:t xml:space="preserve">- The first bullet point of the 'strengths and limitations' section is not a strength or limitation of the study. Please remove or revise. Each bullet point should relate to the methods and/ or design of the study. </w:t>
      </w:r>
    </w:p>
    <w:p w14:paraId="5BE275F6" w14:textId="20A8BB1D" w:rsidR="00084FDF" w:rsidRPr="00206649" w:rsidRDefault="00084FDF" w:rsidP="007157AD">
      <w:pPr>
        <w:pStyle w:val="PlainText"/>
        <w:jc w:val="both"/>
        <w:rPr>
          <w:b/>
          <w:szCs w:val="22"/>
        </w:rPr>
      </w:pPr>
    </w:p>
    <w:p w14:paraId="041EFA57" w14:textId="7C623B43" w:rsidR="00084FDF" w:rsidRPr="00206649" w:rsidRDefault="00084FDF" w:rsidP="007157AD">
      <w:pPr>
        <w:pStyle w:val="PlainText"/>
        <w:jc w:val="both"/>
        <w:rPr>
          <w:szCs w:val="22"/>
        </w:rPr>
      </w:pPr>
      <w:r w:rsidRPr="00206649">
        <w:rPr>
          <w:szCs w:val="22"/>
        </w:rPr>
        <w:t>We have revised it and now the first bullet point is a strength of the paper:</w:t>
      </w:r>
    </w:p>
    <w:p w14:paraId="5F888382" w14:textId="51C88B47" w:rsidR="00084FDF" w:rsidRPr="00206649" w:rsidRDefault="00084FDF" w:rsidP="007157AD">
      <w:pPr>
        <w:pStyle w:val="PlainText"/>
        <w:jc w:val="both"/>
        <w:rPr>
          <w:i/>
          <w:szCs w:val="22"/>
        </w:rPr>
      </w:pPr>
      <w:r w:rsidRPr="00206649">
        <w:rPr>
          <w:rFonts w:cstheme="minorHAnsi"/>
          <w:i/>
          <w:szCs w:val="22"/>
        </w:rPr>
        <w:t>“We analyze nine cause-of-death groups using the concept of avoidable/amenable mortality that enables us to capture recent changes in mortality in Mexico.”</w:t>
      </w:r>
    </w:p>
    <w:p w14:paraId="01D50AED" w14:textId="77777777" w:rsidR="00084FDF" w:rsidRPr="00206649" w:rsidRDefault="00084FDF" w:rsidP="007157AD">
      <w:pPr>
        <w:pStyle w:val="PlainText"/>
        <w:jc w:val="both"/>
        <w:rPr>
          <w:b/>
          <w:szCs w:val="22"/>
        </w:rPr>
      </w:pPr>
    </w:p>
    <w:p w14:paraId="022DF959" w14:textId="77777777" w:rsidR="006845DB" w:rsidRPr="00206649" w:rsidRDefault="006845DB" w:rsidP="007157AD">
      <w:pPr>
        <w:pStyle w:val="PlainText"/>
        <w:jc w:val="both"/>
        <w:rPr>
          <w:b/>
          <w:szCs w:val="22"/>
        </w:rPr>
      </w:pPr>
    </w:p>
    <w:p w14:paraId="1896A3DE" w14:textId="212DC1B3" w:rsidR="006845DB" w:rsidRPr="00206649" w:rsidRDefault="006845DB" w:rsidP="007157AD">
      <w:pPr>
        <w:pStyle w:val="PlainText"/>
        <w:jc w:val="both"/>
        <w:rPr>
          <w:b/>
          <w:szCs w:val="22"/>
        </w:rPr>
      </w:pPr>
      <w:r w:rsidRPr="00206649">
        <w:rPr>
          <w:b/>
          <w:szCs w:val="22"/>
        </w:rPr>
        <w:t>- Along with your revised manuscript, please provide a completed copy of the STROBE checklist (</w:t>
      </w:r>
      <w:hyperlink r:id="rId8" w:history="1">
        <w:r w:rsidR="00136B62" w:rsidRPr="00206649">
          <w:rPr>
            <w:rStyle w:val="Hyperlink"/>
            <w:szCs w:val="22"/>
          </w:rPr>
          <w:t>http://www.strobe-statement.org/</w:t>
        </w:r>
      </w:hyperlink>
      <w:r w:rsidRPr="00206649">
        <w:rPr>
          <w:b/>
          <w:szCs w:val="22"/>
        </w:rPr>
        <w:t>).</w:t>
      </w:r>
    </w:p>
    <w:p w14:paraId="7C32D88B" w14:textId="4B248CC8" w:rsidR="00136B62" w:rsidRPr="00206649" w:rsidRDefault="00136B62" w:rsidP="007157AD">
      <w:pPr>
        <w:pStyle w:val="PlainText"/>
        <w:jc w:val="both"/>
        <w:rPr>
          <w:szCs w:val="22"/>
        </w:rPr>
      </w:pPr>
      <w:r w:rsidRPr="00206649">
        <w:rPr>
          <w:szCs w:val="22"/>
        </w:rPr>
        <w:t>We have included a completed copy of the STROBE checklist</w:t>
      </w:r>
    </w:p>
    <w:p w14:paraId="487D059C" w14:textId="77777777" w:rsidR="006845DB" w:rsidRPr="00206649" w:rsidRDefault="006845DB" w:rsidP="007157AD">
      <w:pPr>
        <w:jc w:val="both"/>
        <w:rPr>
          <w:rFonts w:cs="Times New Roman"/>
          <w:b/>
          <w:sz w:val="22"/>
        </w:rPr>
      </w:pPr>
    </w:p>
    <w:p w14:paraId="34D49B70" w14:textId="264BE42B" w:rsidR="002010C1" w:rsidRPr="00206649" w:rsidRDefault="00284F19" w:rsidP="007157AD">
      <w:pPr>
        <w:jc w:val="both"/>
        <w:rPr>
          <w:rFonts w:ascii="Calibri" w:eastAsia="Times New Roman" w:hAnsi="Calibri" w:cs="Times New Roman"/>
          <w:sz w:val="22"/>
        </w:rPr>
      </w:pPr>
      <w:r w:rsidRPr="00206649">
        <w:rPr>
          <w:rFonts w:ascii="Calibri" w:eastAsia="Times New Roman" w:hAnsi="Calibri" w:cs="Times New Roman"/>
          <w:sz w:val="22"/>
        </w:rPr>
        <w:t>Thank you again for considering our manuscript.</w:t>
      </w:r>
    </w:p>
    <w:p w14:paraId="43C8383B" w14:textId="7B51EFAC" w:rsidR="0004327F" w:rsidRPr="00206649" w:rsidRDefault="0004327F" w:rsidP="007157AD">
      <w:pPr>
        <w:jc w:val="both"/>
        <w:rPr>
          <w:rFonts w:ascii="Calibri" w:eastAsia="Times New Roman" w:hAnsi="Calibri" w:cs="Times New Roman"/>
          <w:sz w:val="22"/>
        </w:rPr>
      </w:pPr>
    </w:p>
    <w:p w14:paraId="1164A561" w14:textId="5A5F863E" w:rsidR="0004327F" w:rsidRPr="00206649" w:rsidRDefault="0004327F"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José Manuel Aburto</w:t>
      </w:r>
    </w:p>
    <w:p w14:paraId="1DADD3DD" w14:textId="4FC93C8C" w:rsidR="0004327F" w:rsidRPr="00206649" w:rsidRDefault="006845DB"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 xml:space="preserve">Tim Riffe </w:t>
      </w:r>
    </w:p>
    <w:p w14:paraId="2FF7D046" w14:textId="77777777" w:rsidR="005D1388" w:rsidRPr="00206649" w:rsidRDefault="006845DB"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Vladimir Canudas-Romo</w:t>
      </w:r>
    </w:p>
    <w:p w14:paraId="1C7A4D3B" w14:textId="0C26931D" w:rsidR="002010C1" w:rsidRPr="00206649" w:rsidRDefault="005D1388" w:rsidP="007157AD">
      <w:pPr>
        <w:jc w:val="both"/>
        <w:rPr>
          <w:rFonts w:ascii="Calibri" w:eastAsia="Times New Roman" w:hAnsi="Calibri" w:cs="Times New Roman"/>
          <w:sz w:val="22"/>
        </w:rPr>
      </w:pPr>
      <w:r w:rsidRPr="00206649">
        <w:rPr>
          <w:rFonts w:ascii="Calibri" w:eastAsia="Times New Roman" w:hAnsi="Calibri" w:cs="Times New Roman"/>
          <w:sz w:val="22"/>
          <w:lang w:val="en-AU"/>
        </w:rPr>
        <w:br w:type="page"/>
      </w:r>
      <w:r w:rsidR="002010C1" w:rsidRPr="00206649">
        <w:rPr>
          <w:rFonts w:ascii="Calibri" w:eastAsia="Times New Roman" w:hAnsi="Calibri" w:cs="Times New Roman"/>
          <w:b/>
          <w:sz w:val="22"/>
        </w:rPr>
        <w:lastRenderedPageBreak/>
        <w:t>Reply to reviewers</w:t>
      </w:r>
    </w:p>
    <w:p w14:paraId="1AF19C0A" w14:textId="36D61BC6" w:rsidR="002010C1" w:rsidRPr="00206649" w:rsidRDefault="002010C1" w:rsidP="007157AD">
      <w:pPr>
        <w:pStyle w:val="PlainText"/>
        <w:jc w:val="both"/>
        <w:rPr>
          <w:szCs w:val="22"/>
        </w:rPr>
      </w:pPr>
      <w:r w:rsidRPr="00206649">
        <w:rPr>
          <w:szCs w:val="22"/>
        </w:rPr>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Pr="00206649" w:rsidRDefault="002010C1" w:rsidP="007157AD">
      <w:pPr>
        <w:jc w:val="both"/>
        <w:rPr>
          <w:sz w:val="22"/>
        </w:rPr>
      </w:pPr>
    </w:p>
    <w:p w14:paraId="3701D444" w14:textId="77777777" w:rsidR="00733702" w:rsidRPr="00206649" w:rsidRDefault="00733702" w:rsidP="007157AD">
      <w:pPr>
        <w:pStyle w:val="PlainText"/>
        <w:jc w:val="both"/>
        <w:rPr>
          <w:b/>
          <w:szCs w:val="22"/>
        </w:rPr>
      </w:pPr>
      <w:r w:rsidRPr="00206649">
        <w:rPr>
          <w:b/>
          <w:szCs w:val="22"/>
        </w:rPr>
        <w:t>Reviewer: 1</w:t>
      </w:r>
    </w:p>
    <w:p w14:paraId="5C390E3E" w14:textId="77777777" w:rsidR="00733702" w:rsidRPr="00206649" w:rsidRDefault="00733702" w:rsidP="007157AD">
      <w:pPr>
        <w:pStyle w:val="PlainText"/>
        <w:jc w:val="both"/>
        <w:rPr>
          <w:b/>
          <w:szCs w:val="22"/>
        </w:rPr>
      </w:pPr>
      <w:r w:rsidRPr="00206649">
        <w:rPr>
          <w:b/>
          <w:szCs w:val="22"/>
        </w:rPr>
        <w:t>Reviewer Name: Usama Bilal</w:t>
      </w:r>
    </w:p>
    <w:p w14:paraId="13E43CB0" w14:textId="77777777" w:rsidR="00733702" w:rsidRPr="00206649" w:rsidRDefault="00733702" w:rsidP="007157AD">
      <w:pPr>
        <w:pStyle w:val="PlainText"/>
        <w:jc w:val="both"/>
        <w:rPr>
          <w:b/>
          <w:szCs w:val="22"/>
        </w:rPr>
      </w:pPr>
      <w:r w:rsidRPr="00206649">
        <w:rPr>
          <w:b/>
          <w:szCs w:val="22"/>
        </w:rPr>
        <w:t>Institution and Country: Urban Health Collaborative, Drexel Dornsife School of Public Health, Philadelphia, PA, USA Competing Interests: None declared</w:t>
      </w:r>
    </w:p>
    <w:p w14:paraId="35F8EF73" w14:textId="77777777" w:rsidR="00733702" w:rsidRPr="00206649" w:rsidRDefault="00733702" w:rsidP="007157AD">
      <w:pPr>
        <w:pStyle w:val="PlainText"/>
        <w:jc w:val="both"/>
        <w:rPr>
          <w:b/>
          <w:szCs w:val="22"/>
        </w:rPr>
      </w:pPr>
    </w:p>
    <w:p w14:paraId="2A06DB81" w14:textId="77777777" w:rsidR="00733702" w:rsidRPr="00206649" w:rsidRDefault="00733702" w:rsidP="007157AD">
      <w:pPr>
        <w:pStyle w:val="PlainText"/>
        <w:jc w:val="both"/>
        <w:rPr>
          <w:b/>
          <w:szCs w:val="22"/>
        </w:rPr>
      </w:pPr>
      <w:r w:rsidRPr="00206649">
        <w:rPr>
          <w:b/>
          <w:szCs w:val="22"/>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14:paraId="641FBDB3" w14:textId="77777777" w:rsidR="00733702" w:rsidRPr="00206649" w:rsidRDefault="00733702" w:rsidP="007157AD">
      <w:pPr>
        <w:pStyle w:val="PlainText"/>
        <w:jc w:val="both"/>
        <w:rPr>
          <w:b/>
          <w:szCs w:val="22"/>
        </w:rPr>
      </w:pPr>
    </w:p>
    <w:p w14:paraId="30BD7410" w14:textId="77777777" w:rsidR="00733702" w:rsidRPr="00206649" w:rsidRDefault="00733702" w:rsidP="007157AD">
      <w:pPr>
        <w:pStyle w:val="PlainText"/>
        <w:jc w:val="both"/>
        <w:rPr>
          <w:b/>
          <w:szCs w:val="22"/>
        </w:rPr>
      </w:pPr>
      <w:r w:rsidRPr="00206649">
        <w:rPr>
          <w:b/>
          <w:szCs w:val="22"/>
        </w:rPr>
        <w:t>Introduction:</w:t>
      </w:r>
    </w:p>
    <w:p w14:paraId="6F1A6333" w14:textId="14449E2F" w:rsidR="00733702" w:rsidRPr="00206649" w:rsidRDefault="00733702" w:rsidP="007157AD">
      <w:pPr>
        <w:pStyle w:val="PlainText"/>
        <w:jc w:val="both"/>
        <w:rPr>
          <w:b/>
          <w:szCs w:val="22"/>
        </w:rPr>
      </w:pPr>
      <w:r w:rsidRPr="00206649">
        <w:rPr>
          <w:b/>
          <w:szCs w:val="22"/>
        </w:rPr>
        <w:t>1.</w:t>
      </w:r>
      <w:r w:rsidRPr="00206649">
        <w:rPr>
          <w:b/>
          <w:szCs w:val="22"/>
        </w:rP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14:paraId="27751A5D" w14:textId="083E5764" w:rsidR="00035F84" w:rsidRPr="00206649" w:rsidRDefault="00035F84" w:rsidP="007157AD">
      <w:pPr>
        <w:pStyle w:val="PlainText"/>
        <w:jc w:val="both"/>
        <w:rPr>
          <w:b/>
          <w:szCs w:val="22"/>
        </w:rPr>
      </w:pPr>
    </w:p>
    <w:p w14:paraId="28E59F1E" w14:textId="3651219A" w:rsidR="00035F84" w:rsidRPr="00206649" w:rsidRDefault="00035F84" w:rsidP="007157AD">
      <w:pPr>
        <w:pStyle w:val="PlainText"/>
        <w:jc w:val="both"/>
        <w:rPr>
          <w:szCs w:val="22"/>
        </w:rPr>
      </w:pPr>
      <w:r w:rsidRPr="00206649">
        <w:rPr>
          <w:szCs w:val="22"/>
        </w:rPr>
        <w:t>We thank the reviewer for his suggestion. To make clearer the specific objectives of the paper we followed his suggestion and rephrased the paragraph. In addition, we included the references that we refer to in the paragraph when saying “… complementing previous studies focusing on earlier years of the 21</w:t>
      </w:r>
      <w:r w:rsidRPr="00206649">
        <w:rPr>
          <w:szCs w:val="22"/>
          <w:vertAlign w:val="superscript"/>
        </w:rPr>
        <w:t>st</w:t>
      </w:r>
      <w:r w:rsidRPr="00206649">
        <w:rPr>
          <w:szCs w:val="22"/>
        </w:rPr>
        <w:t xml:space="preserve"> century.”</w:t>
      </w:r>
    </w:p>
    <w:p w14:paraId="6182ECA8" w14:textId="77777777" w:rsidR="00035F84" w:rsidRPr="00206649" w:rsidRDefault="00035F84" w:rsidP="007157AD">
      <w:pPr>
        <w:pStyle w:val="PlainText"/>
        <w:jc w:val="both"/>
        <w:rPr>
          <w:szCs w:val="22"/>
        </w:rPr>
      </w:pPr>
    </w:p>
    <w:p w14:paraId="5AAB42B6" w14:textId="3BCC54FF" w:rsidR="00035F84" w:rsidRPr="00206649" w:rsidRDefault="00035F84" w:rsidP="007157AD">
      <w:pPr>
        <w:pStyle w:val="PlainText"/>
        <w:jc w:val="both"/>
        <w:rPr>
          <w:szCs w:val="22"/>
        </w:rPr>
      </w:pPr>
      <w:r w:rsidRPr="00206649">
        <w:rPr>
          <w:szCs w:val="22"/>
        </w:rPr>
        <w:t xml:space="preserve"> It now reads:</w:t>
      </w:r>
    </w:p>
    <w:p w14:paraId="1517C157" w14:textId="3F3A8A32" w:rsidR="00035F84" w:rsidRPr="00206649" w:rsidRDefault="00035F84" w:rsidP="007157AD">
      <w:pPr>
        <w:pStyle w:val="PlainText"/>
        <w:jc w:val="both"/>
        <w:rPr>
          <w:szCs w:val="22"/>
        </w:rPr>
      </w:pPr>
    </w:p>
    <w:p w14:paraId="43D47E6D" w14:textId="2DD6F47C" w:rsidR="00035F84" w:rsidRPr="00206649" w:rsidRDefault="00035F84" w:rsidP="007157AD">
      <w:pPr>
        <w:pStyle w:val="PlainText"/>
        <w:jc w:val="both"/>
        <w:rPr>
          <w:i/>
          <w:szCs w:val="22"/>
        </w:rPr>
      </w:pPr>
      <w:r w:rsidRPr="00206649">
        <w:rPr>
          <w:szCs w:val="22"/>
        </w:rPr>
        <w:t>“</w:t>
      </w:r>
      <w:r w:rsidRPr="00206649">
        <w:rPr>
          <w:i/>
          <w:szCs w:val="22"/>
        </w:rPr>
        <w:t>The objective of this research is twofold. Firstly, analysing mortality trends by cause of death for all 32 Mexican states, by sex, and over the full period from 1990 to 2015. Thereby complementing previous studies focusing on earlier years of the 21st century.</w:t>
      </w:r>
      <w:r w:rsidR="00CB3AF7" w:rsidRPr="00206649">
        <w:rPr>
          <w:i/>
          <w:szCs w:val="22"/>
          <w:vertAlign w:val="superscript"/>
        </w:rPr>
        <w:t>3,3-16</w:t>
      </w:r>
      <w:r w:rsidRPr="00206649">
        <w:rPr>
          <w:i/>
          <w:szCs w:val="22"/>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sidR="00CB3AF7" w:rsidRPr="00206649">
        <w:rPr>
          <w:i/>
          <w:szCs w:val="22"/>
          <w:vertAlign w:val="superscript"/>
        </w:rPr>
        <w:t>14</w:t>
      </w:r>
      <w:r w:rsidRPr="00206649">
        <w:rPr>
          <w:i/>
          <w:szCs w:val="22"/>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sidR="00CB3AF7" w:rsidRPr="00206649">
        <w:rPr>
          <w:i/>
          <w:szCs w:val="22"/>
          <w:vertAlign w:val="superscript"/>
        </w:rPr>
        <w:t>17-19</w:t>
      </w:r>
      <w:r w:rsidRPr="00206649">
        <w:rPr>
          <w:i/>
          <w:szCs w:val="22"/>
        </w:rPr>
        <w:t xml:space="preserve"> Deviations from the low-mortality benchmark indicate a strong potential for improvement.”</w:t>
      </w:r>
    </w:p>
    <w:p w14:paraId="3BE9A41D" w14:textId="77777777" w:rsidR="00035F84" w:rsidRPr="00206649" w:rsidRDefault="00035F84" w:rsidP="007157AD">
      <w:pPr>
        <w:pStyle w:val="PlainText"/>
        <w:jc w:val="both"/>
        <w:rPr>
          <w:szCs w:val="22"/>
        </w:rPr>
      </w:pPr>
    </w:p>
    <w:p w14:paraId="42B98355" w14:textId="6B0F3608" w:rsidR="00035F84" w:rsidRPr="00206649" w:rsidRDefault="00035F84" w:rsidP="007157AD">
      <w:pPr>
        <w:pStyle w:val="PlainText"/>
        <w:jc w:val="both"/>
        <w:rPr>
          <w:szCs w:val="22"/>
          <w:lang w:val="es-MX"/>
        </w:rPr>
      </w:pPr>
      <w:r w:rsidRPr="00206649">
        <w:rPr>
          <w:szCs w:val="22"/>
          <w:lang w:val="es-MX"/>
        </w:rPr>
        <w:t>References</w:t>
      </w:r>
    </w:p>
    <w:p w14:paraId="4198BA8E" w14:textId="591A9733" w:rsidR="00035F84" w:rsidRPr="00206649" w:rsidRDefault="00035F84" w:rsidP="007157AD">
      <w:pPr>
        <w:pStyle w:val="PlainText"/>
        <w:jc w:val="both"/>
        <w:rPr>
          <w:szCs w:val="22"/>
          <w:lang w:val="es-MX"/>
        </w:rPr>
      </w:pPr>
    </w:p>
    <w:p w14:paraId="32B6C13C"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3. Canudas-Romo V, García-Guerrero VM, Echarri-Cánovas CJ. The stagnation of the Mexican male life expectancy in the first decade of the 21st century: the impact of homicides and diabetes mellitus. J Epidemiol Community Health 2015;69(1):28-34.</w:t>
      </w:r>
    </w:p>
    <w:p w14:paraId="6C27728A" w14:textId="77777777" w:rsidR="00035F84" w:rsidRPr="00206649" w:rsidRDefault="00035F84" w:rsidP="007157AD">
      <w:pPr>
        <w:pStyle w:val="PlainText"/>
        <w:jc w:val="both"/>
        <w:rPr>
          <w:szCs w:val="22"/>
        </w:rPr>
      </w:pPr>
    </w:p>
    <w:p w14:paraId="4119291E"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lastRenderedPageBreak/>
        <w:t>13. Dávila-Cervantes CA, Agudelo-Botero M. Mortalidad evitable en México y su contribución a los años de vida perdidos: Análisis por grado de marginación estatal, 2001-2010. Papeles de población 2014;20(82):267-86.</w:t>
      </w:r>
    </w:p>
    <w:p w14:paraId="7D4B40CE"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14. Aburto JM, Beltrán-Sánchez H, García-Guerrero VM, et al. Homicides in Mexico reversed life expectancy gains for men and slowed them for women, 2000–10. Health Affairs 2016;35(1):88-95.</w:t>
      </w:r>
    </w:p>
    <w:p w14:paraId="4B022807"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15. Canudas-Romo V, Aburto JM, García-Guerrero VM, et al. Mexico's epidemic of violence and its public health significance on average length of life. Journal of epidemiology and community health 2017;71(2):188-93.</w:t>
      </w:r>
    </w:p>
    <w:p w14:paraId="2CC684DD"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16. Gómez-Dantés H, Fullman N, Lamadrid-Figueroa H, et al. Dissonant health transition in the states of Mexico, 1990–2013: a systematic analysis for the Global Burden of Disease Study 2013. The Lancet 2016;388(10058):2386-402.</w:t>
      </w:r>
    </w:p>
    <w:p w14:paraId="56E3D079"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17. Whelpton PK, Eldridge HT, Seigel JS. Forecasts of the Population of the United States, 1945-1975: US Govt. Print. Off. 1948.</w:t>
      </w:r>
    </w:p>
    <w:p w14:paraId="7CC1A904"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18. Wunsch G. A minimum life-table for Europe. European Demographic Information Bulletin 1975;5(1):2-10.</w:t>
      </w:r>
    </w:p>
    <w:p w14:paraId="2C7DF058"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19. Vallin J, Meslé F. Minimum Mortality: A Predictor of Future Progress? Population-E 2008;63(04):557-90.</w:t>
      </w:r>
    </w:p>
    <w:p w14:paraId="226EE044" w14:textId="77777777" w:rsidR="00035F84" w:rsidRPr="00206649" w:rsidRDefault="00035F84" w:rsidP="007157AD">
      <w:pPr>
        <w:pStyle w:val="PlainText"/>
        <w:jc w:val="both"/>
        <w:rPr>
          <w:szCs w:val="22"/>
        </w:rPr>
      </w:pPr>
    </w:p>
    <w:p w14:paraId="423EFC83" w14:textId="77777777" w:rsidR="00035F84" w:rsidRPr="00206649" w:rsidRDefault="00035F84" w:rsidP="007157AD">
      <w:pPr>
        <w:pStyle w:val="PlainText"/>
        <w:jc w:val="both"/>
        <w:rPr>
          <w:b/>
          <w:szCs w:val="22"/>
        </w:rPr>
      </w:pPr>
    </w:p>
    <w:p w14:paraId="7ED230B2" w14:textId="77777777" w:rsidR="00035F84" w:rsidRPr="00206649" w:rsidRDefault="00035F84" w:rsidP="007157AD">
      <w:pPr>
        <w:pStyle w:val="PlainText"/>
        <w:jc w:val="both"/>
        <w:rPr>
          <w:b/>
          <w:szCs w:val="22"/>
        </w:rPr>
      </w:pPr>
    </w:p>
    <w:p w14:paraId="625C901D" w14:textId="411FDF9C" w:rsidR="00733702" w:rsidRPr="00206649" w:rsidRDefault="00733702" w:rsidP="007157AD">
      <w:pPr>
        <w:pStyle w:val="PlainText"/>
        <w:jc w:val="both"/>
        <w:rPr>
          <w:b/>
          <w:szCs w:val="22"/>
        </w:rPr>
      </w:pPr>
      <w:r w:rsidRPr="00206649">
        <w:rPr>
          <w:b/>
          <w:szCs w:val="22"/>
        </w:rPr>
        <w:t>Methods:</w:t>
      </w:r>
    </w:p>
    <w:p w14:paraId="14119AA7" w14:textId="791CE4BA" w:rsidR="00733702" w:rsidRPr="00206649" w:rsidRDefault="00733702" w:rsidP="007157AD">
      <w:pPr>
        <w:pStyle w:val="PlainText"/>
        <w:jc w:val="both"/>
        <w:rPr>
          <w:b/>
          <w:szCs w:val="22"/>
        </w:rPr>
      </w:pPr>
      <w:r w:rsidRPr="00206649">
        <w:rPr>
          <w:b/>
          <w:szCs w:val="22"/>
        </w:rPr>
        <w:t>2.</w:t>
      </w:r>
      <w:r w:rsidRPr="00206649">
        <w:rPr>
          <w:b/>
          <w:szCs w:val="22"/>
        </w:rP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14:paraId="647FA9E1" w14:textId="52402366" w:rsidR="002562FA" w:rsidRPr="00206649" w:rsidRDefault="002562FA" w:rsidP="007157AD">
      <w:pPr>
        <w:pStyle w:val="PlainText"/>
        <w:jc w:val="both"/>
        <w:rPr>
          <w:b/>
          <w:szCs w:val="22"/>
        </w:rPr>
      </w:pPr>
    </w:p>
    <w:p w14:paraId="019AE0B7" w14:textId="07FA65AC" w:rsidR="002562FA" w:rsidRPr="00206649" w:rsidRDefault="002562FA" w:rsidP="007157AD">
      <w:pPr>
        <w:pStyle w:val="PlainText"/>
        <w:jc w:val="both"/>
        <w:rPr>
          <w:szCs w:val="22"/>
        </w:rPr>
      </w:pPr>
      <w:r w:rsidRPr="00206649">
        <w:rPr>
          <w:szCs w:val="22"/>
        </w:rPr>
        <w:t>We thank the reviewer for his observation. Mexico is among the countries with high-quality data according with the Pan American Health Organization’s criteria. Underreported deaths are estimated to be around 0.8%,</w:t>
      </w:r>
      <w:r w:rsidR="007157AD" w:rsidRPr="00206649">
        <w:rPr>
          <w:szCs w:val="22"/>
        </w:rPr>
        <w:t xml:space="preserve"> (WHO 2018, OPS 2014)</w:t>
      </w:r>
      <w:r w:rsidRPr="00206649">
        <w:rPr>
          <w:szCs w:val="22"/>
        </w:rPr>
        <w:t xml:space="preserve"> while ill-defined causes of death represented 2.1% in the beginning of the century and has decreased to 1.7% more recently</w:t>
      </w:r>
      <w:r w:rsidR="007157AD" w:rsidRPr="00206649">
        <w:rPr>
          <w:szCs w:val="22"/>
        </w:rPr>
        <w:t xml:space="preserve"> (OPS 2014)</w:t>
      </w:r>
      <w:r w:rsidRPr="00206649">
        <w:rPr>
          <w:szCs w:val="22"/>
        </w:rPr>
        <w:t xml:space="preserve">. </w:t>
      </w:r>
    </w:p>
    <w:p w14:paraId="2C1B2198" w14:textId="177BA78A" w:rsidR="007157AD" w:rsidRPr="00206649" w:rsidRDefault="007157AD" w:rsidP="007157AD">
      <w:pPr>
        <w:pStyle w:val="PlainText"/>
        <w:jc w:val="both"/>
        <w:rPr>
          <w:szCs w:val="22"/>
        </w:rPr>
      </w:pPr>
    </w:p>
    <w:p w14:paraId="1EA1A86E" w14:textId="5C1B3841" w:rsidR="007157AD" w:rsidRPr="00206649" w:rsidRDefault="000212D5" w:rsidP="007157AD">
      <w:pPr>
        <w:pStyle w:val="PlainText"/>
        <w:jc w:val="both"/>
        <w:rPr>
          <w:szCs w:val="22"/>
        </w:rPr>
      </w:pPr>
      <w:r w:rsidRPr="00206649">
        <w:rPr>
          <w:szCs w:val="22"/>
        </w:rPr>
        <w:t>It is true that redistributing death</w:t>
      </w:r>
      <w:r w:rsidR="004D2A10">
        <w:rPr>
          <w:szCs w:val="22"/>
        </w:rPr>
        <w:t>s</w:t>
      </w:r>
      <w:r w:rsidRPr="00206649">
        <w:rPr>
          <w:szCs w:val="22"/>
        </w:rPr>
        <w:t xml:space="preserve"> proportionally is common practice in cause-of-death analysis to have a complete set of mortality. In this sense, we decided two leave ill-defined causes in the ‘Residual category’ for </w:t>
      </w:r>
      <w:r w:rsidR="004D2A10">
        <w:rPr>
          <w:szCs w:val="22"/>
        </w:rPr>
        <w:t>two</w:t>
      </w:r>
      <w:r w:rsidRPr="00206649">
        <w:rPr>
          <w:szCs w:val="22"/>
        </w:rPr>
        <w:t xml:space="preserve"> reasons. Firstly, we didn’t want to overestimate cause-specific effects when decomposing between state and the benchmark. This is because distributing them proportionally assumes that every cause has the same chance of being ill-defined, which is not necessarily true in Mexico, particularly with violence-related mortality. Secondly, given the low proportion of ill-defined causes in Mexico, the effect of ill-define being distributed would be negligible</w:t>
      </w:r>
      <w:r w:rsidR="004D2A10">
        <w:rPr>
          <w:szCs w:val="22"/>
        </w:rPr>
        <w:t xml:space="preserve"> in overall AM categories and when decomposing</w:t>
      </w:r>
      <w:r w:rsidRPr="00206649">
        <w:rPr>
          <w:szCs w:val="22"/>
        </w:rPr>
        <w:t xml:space="preserve">. </w:t>
      </w:r>
    </w:p>
    <w:p w14:paraId="7F3B7300" w14:textId="70500236" w:rsidR="002562FA" w:rsidRPr="00206649" w:rsidRDefault="002562FA" w:rsidP="007157AD">
      <w:pPr>
        <w:pStyle w:val="PlainText"/>
        <w:jc w:val="both"/>
        <w:rPr>
          <w:szCs w:val="22"/>
        </w:rPr>
      </w:pPr>
    </w:p>
    <w:p w14:paraId="4871D0FF" w14:textId="2818E8F3" w:rsidR="002562FA" w:rsidRPr="00206649" w:rsidRDefault="002562FA" w:rsidP="007157AD">
      <w:pPr>
        <w:pStyle w:val="PlainText"/>
        <w:jc w:val="both"/>
        <w:rPr>
          <w:szCs w:val="22"/>
        </w:rPr>
      </w:pPr>
      <w:r w:rsidRPr="00206649">
        <w:rPr>
          <w:szCs w:val="22"/>
        </w:rPr>
        <w:t>References</w:t>
      </w:r>
    </w:p>
    <w:p w14:paraId="5EAD8658" w14:textId="77777777" w:rsidR="007157AD" w:rsidRPr="00206649" w:rsidRDefault="007157AD" w:rsidP="007157AD">
      <w:pPr>
        <w:pStyle w:val="PlainText"/>
        <w:jc w:val="both"/>
        <w:rPr>
          <w:szCs w:val="22"/>
        </w:rPr>
      </w:pPr>
    </w:p>
    <w:p w14:paraId="38D3B728" w14:textId="43A1B138" w:rsidR="002562FA" w:rsidRPr="00206649" w:rsidRDefault="007157AD" w:rsidP="007157AD">
      <w:pPr>
        <w:pStyle w:val="PlainText"/>
        <w:jc w:val="both"/>
        <w:rPr>
          <w:szCs w:val="22"/>
        </w:rPr>
      </w:pPr>
      <w:r w:rsidRPr="00206649">
        <w:rPr>
          <w:szCs w:val="22"/>
        </w:rPr>
        <w:t xml:space="preserve">World Health Organization. "Global health observatory data repository </w:t>
      </w:r>
      <w:r w:rsidR="001D762D" w:rsidRPr="00206649">
        <w:rPr>
          <w:szCs w:val="22"/>
        </w:rPr>
        <w:t>2018</w:t>
      </w:r>
      <w:r w:rsidRPr="00206649">
        <w:rPr>
          <w:szCs w:val="22"/>
        </w:rPr>
        <w:t xml:space="preserve">." Available </w:t>
      </w:r>
      <w:hyperlink r:id="rId9" w:history="1">
        <w:r w:rsidRPr="00206649">
          <w:rPr>
            <w:szCs w:val="22"/>
          </w:rPr>
          <w:t>http://apps.who.int/gho/data/node.imr.WHS10_9?lang=en</w:t>
        </w:r>
      </w:hyperlink>
      <w:r w:rsidRPr="00206649">
        <w:rPr>
          <w:szCs w:val="22"/>
        </w:rPr>
        <w:t xml:space="preserve">  main A364 (2018).</w:t>
      </w:r>
    </w:p>
    <w:p w14:paraId="41D5B675" w14:textId="77777777" w:rsidR="007157AD" w:rsidRPr="00206649" w:rsidRDefault="007157AD" w:rsidP="007157AD">
      <w:pPr>
        <w:pStyle w:val="PlainText"/>
        <w:jc w:val="both"/>
        <w:rPr>
          <w:szCs w:val="22"/>
        </w:rPr>
      </w:pPr>
    </w:p>
    <w:p w14:paraId="113E4F02" w14:textId="0D5B9C94" w:rsidR="007157AD" w:rsidRPr="00206649" w:rsidRDefault="002562FA" w:rsidP="007157AD">
      <w:pPr>
        <w:pStyle w:val="PlainText"/>
        <w:jc w:val="both"/>
        <w:rPr>
          <w:szCs w:val="22"/>
        </w:rPr>
      </w:pPr>
      <w:r w:rsidRPr="00206649">
        <w:rPr>
          <w:szCs w:val="22"/>
          <w:lang w:val="es-MX"/>
        </w:rPr>
        <w:t xml:space="preserve">Organización Mundial de la Salud. Organización Panamericana de la Salud. "Enfermedades transmisibles y análisis de salud/información y análisis de Salud: Situación de salud en las Américas: Indicadores Básicos 2013." </w:t>
      </w:r>
      <w:r w:rsidRPr="00206649">
        <w:rPr>
          <w:szCs w:val="22"/>
        </w:rPr>
        <w:t>(2014).</w:t>
      </w:r>
    </w:p>
    <w:p w14:paraId="70A0E204" w14:textId="77777777" w:rsidR="006476E3" w:rsidRPr="00206649" w:rsidRDefault="006476E3" w:rsidP="007157AD">
      <w:pPr>
        <w:pStyle w:val="PlainText"/>
        <w:jc w:val="both"/>
        <w:rPr>
          <w:b/>
          <w:szCs w:val="22"/>
        </w:rPr>
      </w:pPr>
    </w:p>
    <w:p w14:paraId="0266C4A6" w14:textId="3C248A39" w:rsidR="00733702" w:rsidRPr="00206649" w:rsidRDefault="00733702" w:rsidP="007157AD">
      <w:pPr>
        <w:pStyle w:val="PlainText"/>
        <w:jc w:val="both"/>
        <w:rPr>
          <w:b/>
          <w:szCs w:val="22"/>
        </w:rPr>
      </w:pPr>
      <w:r w:rsidRPr="00206649">
        <w:rPr>
          <w:b/>
          <w:szCs w:val="22"/>
        </w:rPr>
        <w:t>3.</w:t>
      </w:r>
      <w:r w:rsidRPr="00206649">
        <w:rPr>
          <w:b/>
          <w:szCs w:val="22"/>
        </w:rPr>
        <w:tab/>
        <w:t>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there are very few measures of uncertainty in the figures (or appendix).</w:t>
      </w:r>
    </w:p>
    <w:p w14:paraId="60D78BB7" w14:textId="18686784" w:rsidR="00B2595A" w:rsidRPr="00206649" w:rsidRDefault="00B2595A" w:rsidP="007157AD">
      <w:pPr>
        <w:pStyle w:val="PlainText"/>
        <w:jc w:val="both"/>
        <w:rPr>
          <w:b/>
          <w:szCs w:val="22"/>
        </w:rPr>
      </w:pPr>
    </w:p>
    <w:p w14:paraId="7857F3FD" w14:textId="110376D6" w:rsidR="00B2595A" w:rsidRPr="00206649" w:rsidRDefault="00B2595A" w:rsidP="007157AD">
      <w:pPr>
        <w:pStyle w:val="PlainText"/>
        <w:jc w:val="both"/>
        <w:rPr>
          <w:szCs w:val="22"/>
        </w:rPr>
      </w:pPr>
      <w:r w:rsidRPr="00206649">
        <w:rPr>
          <w:szCs w:val="22"/>
        </w:rPr>
        <w:t>We thank the reviewer for his comment. The smoothing techniques that we implement allow us to avoid random variations</w:t>
      </w:r>
      <w:r w:rsidR="004E1410" w:rsidRPr="00206649">
        <w:rPr>
          <w:szCs w:val="22"/>
        </w:rPr>
        <w:t xml:space="preserve"> and age-heaping</w:t>
      </w:r>
      <w:r w:rsidRPr="00206649">
        <w:rPr>
          <w:szCs w:val="22"/>
        </w:rPr>
        <w:t xml:space="preserve"> in death counts by </w:t>
      </w:r>
      <w:r w:rsidR="00383475" w:rsidRPr="00206649">
        <w:rPr>
          <w:szCs w:val="22"/>
        </w:rPr>
        <w:t xml:space="preserve">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w:t>
      </w:r>
      <w:r w:rsidR="007D4FB2" w:rsidRPr="00206649">
        <w:rPr>
          <w:szCs w:val="22"/>
        </w:rPr>
        <w:t xml:space="preserve">average </w:t>
      </w:r>
      <w:r w:rsidR="00383475" w:rsidRPr="00206649">
        <w:rPr>
          <w:szCs w:val="22"/>
        </w:rPr>
        <w:t>survival</w:t>
      </w:r>
      <w:r w:rsidR="007D4FB2" w:rsidRPr="00206649">
        <w:rPr>
          <w:szCs w:val="22"/>
        </w:rPr>
        <w:t xml:space="preserve"> in 2010-15</w:t>
      </w:r>
      <w:r w:rsidR="00383475" w:rsidRPr="00206649">
        <w:rPr>
          <w:szCs w:val="22"/>
        </w:rPr>
        <w:t xml:space="preserve"> (or lowest gap with benchmark) between ages 50 and 85 is Zacatecas</w:t>
      </w:r>
      <w:r w:rsidR="004E1410" w:rsidRPr="00206649">
        <w:rPr>
          <w:szCs w:val="22"/>
        </w:rPr>
        <w:t>, which is still far from the benchmark.</w:t>
      </w:r>
      <w:r w:rsidR="00383475" w:rsidRPr="00206649">
        <w:rPr>
          <w:szCs w:val="22"/>
        </w:rPr>
        <w:t xml:space="preserve"> </w:t>
      </w:r>
    </w:p>
    <w:p w14:paraId="25D77A46" w14:textId="1B5BC62D" w:rsidR="0085651B" w:rsidRPr="00206649" w:rsidRDefault="0085651B" w:rsidP="007157AD">
      <w:pPr>
        <w:pStyle w:val="PlainText"/>
        <w:jc w:val="both"/>
        <w:rPr>
          <w:szCs w:val="22"/>
        </w:rPr>
      </w:pPr>
    </w:p>
    <w:p w14:paraId="2ACE6D3D" w14:textId="12E25125" w:rsidR="0085651B" w:rsidRPr="00206649" w:rsidRDefault="0085651B" w:rsidP="007157AD">
      <w:pPr>
        <w:pStyle w:val="PlainText"/>
        <w:jc w:val="both"/>
        <w:rPr>
          <w:szCs w:val="22"/>
        </w:rPr>
      </w:pPr>
      <w:r w:rsidRPr="00206649">
        <w:rPr>
          <w:szCs w:val="22"/>
        </w:rPr>
        <w:t>It</w:t>
      </w:r>
      <w:r w:rsidR="00240EAE" w:rsidRPr="00206649">
        <w:rPr>
          <w:szCs w:val="22"/>
        </w:rPr>
        <w:t xml:space="preserve"> is true that small population</w:t>
      </w:r>
      <w:r w:rsidR="00C24238" w:rsidRPr="00206649">
        <w:rPr>
          <w:szCs w:val="22"/>
        </w:rPr>
        <w:t xml:space="preserve"> sizes</w:t>
      </w:r>
      <w:r w:rsidR="00240EAE" w:rsidRPr="00206649">
        <w:rPr>
          <w:szCs w:val="22"/>
        </w:rPr>
        <w:t xml:space="preserve"> c</w:t>
      </w:r>
      <w:r w:rsidRPr="00206649">
        <w:rPr>
          <w:szCs w:val="22"/>
        </w:rPr>
        <w:t>ould bias our results, and we thank the reviewer for this observation. As a robustness check, we calculated Confidence Intervals (95%) for all our estimates of temporary life expectancy, including the benchmark. We estimated them assuming deaths are Poisson distributed following Camarda (2012).</w:t>
      </w:r>
      <w:r w:rsidR="004E1410" w:rsidRPr="00206649">
        <w:rPr>
          <w:szCs w:val="22"/>
        </w:rPr>
        <w:t xml:space="preserve"> The figure below shows state-specific temporary life expectancies for the young (0-14</w:t>
      </w:r>
      <w:r w:rsidR="00BB5F16" w:rsidRPr="00206649">
        <w:rPr>
          <w:szCs w:val="22"/>
        </w:rPr>
        <w:t>)</w:t>
      </w:r>
      <w:r w:rsidR="004E1410" w:rsidRPr="00206649">
        <w:rPr>
          <w:szCs w:val="22"/>
        </w:rPr>
        <w:t>, young adults (15-49) and older adults (50-84) populations</w:t>
      </w:r>
      <w:r w:rsidR="00BB5F16" w:rsidRPr="00206649">
        <w:rPr>
          <w:szCs w:val="22"/>
        </w:rPr>
        <w:t xml:space="preserve"> in 2000, 2010 and 2015</w:t>
      </w:r>
      <w:r w:rsidR="004E1410" w:rsidRPr="00206649">
        <w:rPr>
          <w:szCs w:val="22"/>
        </w:rPr>
        <w:t xml:space="preserve"> with confidence bands at the 95% level. The benchmark is at the top (highlighted in blue), and Baja California Sur, Colima and Campeche are highlighted in red. These last three had a population of less than 1 million in 2010 (INEGI, 2018).</w:t>
      </w:r>
    </w:p>
    <w:p w14:paraId="2FDB43E6" w14:textId="57AC270E" w:rsidR="004E1410" w:rsidRPr="00206649" w:rsidRDefault="004E1410" w:rsidP="007157AD">
      <w:pPr>
        <w:pStyle w:val="PlainText"/>
        <w:jc w:val="both"/>
        <w:rPr>
          <w:szCs w:val="22"/>
        </w:rPr>
      </w:pPr>
    </w:p>
    <w:p w14:paraId="026335D5" w14:textId="2CA12F98" w:rsidR="004E1410" w:rsidRPr="00206649" w:rsidRDefault="004E1410" w:rsidP="007157AD">
      <w:pPr>
        <w:pStyle w:val="PlainText"/>
        <w:jc w:val="both"/>
        <w:rPr>
          <w:szCs w:val="22"/>
        </w:rPr>
      </w:pPr>
      <w:r w:rsidRPr="00206649">
        <w:rPr>
          <w:szCs w:val="22"/>
        </w:rPr>
        <w:t>The figure shows that for the young and young adults confidence intervals are very similar across states, including the benchmark. The C</w:t>
      </w:r>
      <w:r w:rsidR="000212D5" w:rsidRPr="00206649">
        <w:rPr>
          <w:szCs w:val="22"/>
        </w:rPr>
        <w:t>I</w:t>
      </w:r>
      <w:r w:rsidRPr="00206649">
        <w:rPr>
          <w:szCs w:val="22"/>
        </w:rPr>
        <w:t xml:space="preserve">s in these age groups are relatively narrow, even in those states with lower population. In the last age groups, however, CIs are systematically wider. This suggests more variation in ages at death between ages 50 and 84. </w:t>
      </w:r>
    </w:p>
    <w:p w14:paraId="61F35690" w14:textId="50C23ABA" w:rsidR="004E1410" w:rsidRPr="00206649" w:rsidRDefault="004E1410" w:rsidP="007157AD">
      <w:pPr>
        <w:pStyle w:val="PlainText"/>
        <w:jc w:val="both"/>
        <w:rPr>
          <w:szCs w:val="22"/>
        </w:rPr>
      </w:pPr>
    </w:p>
    <w:p w14:paraId="4653E51C" w14:textId="32A155D8" w:rsidR="004E1410" w:rsidRPr="00206649" w:rsidRDefault="004E1410" w:rsidP="007157AD">
      <w:pPr>
        <w:pStyle w:val="PlainText"/>
        <w:jc w:val="both"/>
        <w:rPr>
          <w:szCs w:val="22"/>
        </w:rPr>
      </w:pPr>
      <w:r w:rsidRPr="00206649">
        <w:rPr>
          <w:szCs w:val="22"/>
        </w:rPr>
        <w:t xml:space="preserve">We added to the main manuscript in the methods section that we performed this robustness check and included the results in the supplementary material. </w:t>
      </w:r>
    </w:p>
    <w:p w14:paraId="79E9A218" w14:textId="1A25929F" w:rsidR="00DD7440" w:rsidRPr="00206649" w:rsidRDefault="00DD7440" w:rsidP="007157AD">
      <w:pPr>
        <w:pStyle w:val="PlainText"/>
        <w:jc w:val="both"/>
        <w:rPr>
          <w:szCs w:val="22"/>
        </w:rPr>
      </w:pPr>
    </w:p>
    <w:p w14:paraId="178E15D2" w14:textId="77777777" w:rsidR="004E1410" w:rsidRPr="00206649" w:rsidRDefault="004E1410" w:rsidP="004E1410">
      <w:pPr>
        <w:pStyle w:val="PlainText"/>
        <w:jc w:val="both"/>
        <w:rPr>
          <w:szCs w:val="22"/>
        </w:rPr>
      </w:pPr>
      <w:r w:rsidRPr="00206649">
        <w:rPr>
          <w:szCs w:val="22"/>
        </w:rPr>
        <w:t>References</w:t>
      </w:r>
    </w:p>
    <w:p w14:paraId="40E7C4D3" w14:textId="77777777" w:rsidR="004E1410" w:rsidRPr="00206649" w:rsidRDefault="004E1410" w:rsidP="004E1410">
      <w:pPr>
        <w:pStyle w:val="PlainText"/>
        <w:jc w:val="both"/>
        <w:rPr>
          <w:szCs w:val="22"/>
        </w:rPr>
      </w:pPr>
    </w:p>
    <w:p w14:paraId="16769A96" w14:textId="77777777" w:rsidR="004E1410" w:rsidRPr="00206649" w:rsidRDefault="004E1410" w:rsidP="004E1410">
      <w:pPr>
        <w:pStyle w:val="PlainText"/>
        <w:jc w:val="both"/>
        <w:rPr>
          <w:szCs w:val="22"/>
        </w:rPr>
      </w:pPr>
      <w:r w:rsidRPr="00206649">
        <w:rPr>
          <w:szCs w:val="22"/>
        </w:rPr>
        <w:t>Camarda, C. G. (2012). MortalitySmooth: An R package for smoothing Poisson counts with P-splines. Journal of Statistical Software, 50(1), 1-24.</w:t>
      </w:r>
    </w:p>
    <w:p w14:paraId="5F152E5A" w14:textId="77777777" w:rsidR="004E1410" w:rsidRPr="00206649" w:rsidRDefault="004E1410" w:rsidP="004E1410">
      <w:pPr>
        <w:pStyle w:val="PlainText"/>
        <w:jc w:val="both"/>
        <w:rPr>
          <w:szCs w:val="22"/>
        </w:rPr>
      </w:pPr>
    </w:p>
    <w:p w14:paraId="4AA025EF" w14:textId="77777777" w:rsidR="004E1410" w:rsidRPr="00206649" w:rsidRDefault="004E1410" w:rsidP="004E1410">
      <w:pPr>
        <w:pStyle w:val="PlainText"/>
        <w:jc w:val="both"/>
        <w:rPr>
          <w:szCs w:val="22"/>
        </w:rPr>
      </w:pPr>
      <w:r w:rsidRPr="00206649">
        <w:rPr>
          <w:szCs w:val="22"/>
        </w:rPr>
        <w:t>INEGI (2018) Population size by state in Mexico. Accessed 08/05/2018 .</w:t>
      </w:r>
    </w:p>
    <w:p w14:paraId="7CDC2999" w14:textId="77777777" w:rsidR="004E1410" w:rsidRPr="00206649" w:rsidRDefault="00C56B9B" w:rsidP="004E1410">
      <w:pPr>
        <w:pStyle w:val="PlainText"/>
        <w:jc w:val="both"/>
        <w:rPr>
          <w:szCs w:val="22"/>
        </w:rPr>
      </w:pPr>
      <w:hyperlink r:id="rId10" w:history="1">
        <w:r w:rsidR="004E1410" w:rsidRPr="00206649">
          <w:rPr>
            <w:rStyle w:val="Hyperlink"/>
            <w:szCs w:val="22"/>
          </w:rPr>
          <w:t>http://www.beta.inegi.org.mx/app/tabulados/pxweb/inicio.html?rxid=d518b312-a32e-4d23-a8dd-08a64c187a6c&amp;db=Poblacion&amp;px=poblacion_1</w:t>
        </w:r>
      </w:hyperlink>
    </w:p>
    <w:p w14:paraId="20CE22F2" w14:textId="4D793865" w:rsidR="007D4FB2" w:rsidRPr="00206649" w:rsidRDefault="007D4FB2" w:rsidP="007157AD">
      <w:pPr>
        <w:pStyle w:val="PlainText"/>
        <w:jc w:val="both"/>
        <w:rPr>
          <w:szCs w:val="22"/>
        </w:rPr>
      </w:pPr>
    </w:p>
    <w:p w14:paraId="3E7568B0" w14:textId="2056EB40" w:rsidR="007D4FB2" w:rsidRPr="00206649" w:rsidRDefault="00B44F39" w:rsidP="007157AD">
      <w:pPr>
        <w:pStyle w:val="PlainText"/>
        <w:jc w:val="both"/>
        <w:rPr>
          <w:szCs w:val="22"/>
        </w:rPr>
      </w:pPr>
      <w:r>
        <w:rPr>
          <w:noProof/>
        </w:rPr>
        <w:lastRenderedPageBreak/>
        <w:drawing>
          <wp:inline distT="0" distB="0" distL="0" distR="0" wp14:anchorId="418BB09F" wp14:editId="3AB11B7F">
            <wp:extent cx="5943600" cy="543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37505"/>
                    </a:xfrm>
                    <a:prstGeom prst="rect">
                      <a:avLst/>
                    </a:prstGeom>
                  </pic:spPr>
                </pic:pic>
              </a:graphicData>
            </a:graphic>
          </wp:inline>
        </w:drawing>
      </w:r>
    </w:p>
    <w:p w14:paraId="390A9A11" w14:textId="77777777" w:rsidR="00DD7440" w:rsidRPr="00206649" w:rsidRDefault="00DD7440" w:rsidP="007157AD">
      <w:pPr>
        <w:pStyle w:val="PlainText"/>
        <w:jc w:val="both"/>
        <w:rPr>
          <w:szCs w:val="22"/>
        </w:rPr>
      </w:pPr>
    </w:p>
    <w:p w14:paraId="20CB54CC" w14:textId="6C57D36A" w:rsidR="006476E3" w:rsidRPr="00206649" w:rsidRDefault="006476E3" w:rsidP="007157AD">
      <w:pPr>
        <w:pStyle w:val="PlainText"/>
        <w:jc w:val="both"/>
        <w:rPr>
          <w:b/>
          <w:szCs w:val="22"/>
        </w:rPr>
      </w:pPr>
    </w:p>
    <w:p w14:paraId="139B0695" w14:textId="74BDD455" w:rsidR="00240EAE" w:rsidRPr="00206649" w:rsidRDefault="00240EAE" w:rsidP="007157AD">
      <w:pPr>
        <w:pStyle w:val="PlainText"/>
        <w:jc w:val="both"/>
        <w:rPr>
          <w:szCs w:val="22"/>
        </w:rPr>
      </w:pPr>
    </w:p>
    <w:p w14:paraId="1E41730B" w14:textId="77777777" w:rsidR="0085651B" w:rsidRPr="00206649" w:rsidRDefault="0085651B" w:rsidP="007157AD">
      <w:pPr>
        <w:pStyle w:val="PlainText"/>
        <w:jc w:val="both"/>
        <w:rPr>
          <w:b/>
          <w:szCs w:val="22"/>
        </w:rPr>
      </w:pPr>
    </w:p>
    <w:p w14:paraId="3B92CED3" w14:textId="07E32DAB" w:rsidR="00733702" w:rsidRPr="00206649" w:rsidRDefault="00733702" w:rsidP="007157AD">
      <w:pPr>
        <w:pStyle w:val="PlainText"/>
        <w:jc w:val="both"/>
        <w:rPr>
          <w:b/>
          <w:szCs w:val="22"/>
        </w:rPr>
      </w:pPr>
      <w:r w:rsidRPr="00206649">
        <w:rPr>
          <w:b/>
          <w:szCs w:val="22"/>
        </w:rPr>
        <w:t>4.</w:t>
      </w:r>
      <w:r w:rsidRPr="00206649">
        <w:rPr>
          <w:b/>
          <w:szCs w:val="22"/>
        </w:rP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is too much detail for the manuscript, details can be included in the appendix. </w:t>
      </w:r>
    </w:p>
    <w:p w14:paraId="315BAD59" w14:textId="1FF235CC" w:rsidR="00D10AED" w:rsidRPr="00206649" w:rsidRDefault="00D10AED" w:rsidP="007157AD">
      <w:pPr>
        <w:pStyle w:val="PlainText"/>
        <w:jc w:val="both"/>
        <w:rPr>
          <w:b/>
          <w:szCs w:val="22"/>
        </w:rPr>
      </w:pPr>
    </w:p>
    <w:p w14:paraId="4B7BDCCD" w14:textId="6E7CF2F1" w:rsidR="00313F3F" w:rsidRPr="00206649" w:rsidRDefault="00252356" w:rsidP="00D25BD8">
      <w:pPr>
        <w:pStyle w:val="PlainText"/>
        <w:jc w:val="both"/>
        <w:rPr>
          <w:szCs w:val="22"/>
        </w:rPr>
      </w:pPr>
      <w:r w:rsidRPr="00206649">
        <w:rPr>
          <w:szCs w:val="22"/>
        </w:rPr>
        <w:t>To be clearer about the methods</w:t>
      </w:r>
      <w:r w:rsidR="00D10AED" w:rsidRPr="00206649">
        <w:rPr>
          <w:szCs w:val="22"/>
        </w:rPr>
        <w:t>.</w:t>
      </w:r>
      <w:r w:rsidR="00313F3F" w:rsidRPr="00206649">
        <w:rPr>
          <w:szCs w:val="22"/>
        </w:rPr>
        <w:t xml:space="preserve"> We did the following changes to the Methods </w:t>
      </w:r>
      <w:commentRangeStart w:id="0"/>
      <w:r w:rsidR="00313F3F" w:rsidRPr="00206649">
        <w:rPr>
          <w:szCs w:val="22"/>
        </w:rPr>
        <w:t>section</w:t>
      </w:r>
      <w:commentRangeEnd w:id="0"/>
      <w:r w:rsidR="00911D8D" w:rsidRPr="00206649">
        <w:rPr>
          <w:rStyle w:val="CommentReference"/>
          <w:rFonts w:ascii="Times New Roman" w:eastAsiaTheme="minorHAnsi" w:hAnsi="Times New Roman" w:cstheme="minorBidi"/>
          <w:sz w:val="22"/>
          <w:szCs w:val="22"/>
        </w:rPr>
        <w:commentReference w:id="0"/>
      </w:r>
      <w:r w:rsidR="00313F3F" w:rsidRPr="00206649">
        <w:rPr>
          <w:szCs w:val="22"/>
        </w:rPr>
        <w:t>:</w:t>
      </w:r>
    </w:p>
    <w:p w14:paraId="1855E6E3" w14:textId="04AD50E8" w:rsidR="00313F3F" w:rsidRPr="00206649" w:rsidRDefault="00313F3F" w:rsidP="00D25BD8">
      <w:pPr>
        <w:pStyle w:val="PlainText"/>
        <w:jc w:val="both"/>
        <w:rPr>
          <w:szCs w:val="22"/>
        </w:rPr>
      </w:pPr>
    </w:p>
    <w:p w14:paraId="080582BE" w14:textId="4AA67F92" w:rsidR="00313F3F" w:rsidRPr="00206649" w:rsidRDefault="00313F3F" w:rsidP="00313F3F">
      <w:pPr>
        <w:pStyle w:val="PlainText"/>
        <w:numPr>
          <w:ilvl w:val="0"/>
          <w:numId w:val="9"/>
        </w:numPr>
        <w:jc w:val="both"/>
        <w:rPr>
          <w:i/>
          <w:szCs w:val="22"/>
        </w:rPr>
      </w:pPr>
      <w:r w:rsidRPr="00206649">
        <w:rPr>
          <w:szCs w:val="22"/>
        </w:rPr>
        <w:t xml:space="preserve">We added </w:t>
      </w:r>
      <w:r w:rsidR="00252356" w:rsidRPr="00206649">
        <w:rPr>
          <w:i/>
          <w:szCs w:val="22"/>
        </w:rPr>
        <w:t>“</w:t>
      </w:r>
      <w:r w:rsidRPr="00206649">
        <w:rPr>
          <w:i/>
          <w:szCs w:val="22"/>
        </w:rPr>
        <w:t>… To mitigate random variations over time and correct for age-heaping, these rates are adjusted in two step</w:t>
      </w:r>
      <w:r w:rsidR="008945CF" w:rsidRPr="00206649">
        <w:rPr>
          <w:i/>
          <w:szCs w:val="22"/>
        </w:rPr>
        <w:t>. First, we smooth cause-specific death counts over age and time for each state and sex separately using a 2-d p-spline..</w:t>
      </w:r>
      <w:r w:rsidRPr="00206649">
        <w:rPr>
          <w:i/>
          <w:szCs w:val="22"/>
        </w:rPr>
        <w:t>”</w:t>
      </w:r>
    </w:p>
    <w:p w14:paraId="7DBCF4C3" w14:textId="7676E3F6" w:rsidR="00313F3F" w:rsidRPr="00206649" w:rsidRDefault="008945CF" w:rsidP="00313F3F">
      <w:pPr>
        <w:pStyle w:val="PlainText"/>
        <w:numPr>
          <w:ilvl w:val="0"/>
          <w:numId w:val="9"/>
        </w:numPr>
        <w:jc w:val="both"/>
        <w:rPr>
          <w:szCs w:val="22"/>
        </w:rPr>
      </w:pPr>
      <w:r w:rsidRPr="00206649">
        <w:rPr>
          <w:szCs w:val="22"/>
        </w:rPr>
        <w:lastRenderedPageBreak/>
        <w:t xml:space="preserve">Regarding the period life tables construction, we added the reference of a standard text book for demographic analysis (Preston et al 2000), that we followed, and specifically refer the reader to Chapter 3. In this reference, a concise explanation on how to construct and interpret a life table is provided. </w:t>
      </w:r>
    </w:p>
    <w:p w14:paraId="4A1450BF" w14:textId="612A7C09" w:rsidR="008945CF" w:rsidRPr="00206649" w:rsidRDefault="008945CF" w:rsidP="00313F3F">
      <w:pPr>
        <w:pStyle w:val="PlainText"/>
        <w:numPr>
          <w:ilvl w:val="0"/>
          <w:numId w:val="9"/>
        </w:numPr>
        <w:jc w:val="both"/>
        <w:rPr>
          <w:szCs w:val="22"/>
        </w:rPr>
      </w:pPr>
      <w:r w:rsidRPr="00206649">
        <w:rPr>
          <w:szCs w:val="22"/>
        </w:rPr>
        <w:t>R</w:t>
      </w:r>
      <w:r w:rsidR="00252356" w:rsidRPr="00206649">
        <w:rPr>
          <w:szCs w:val="22"/>
        </w:rPr>
        <w:t>egarding how to calculate temporary life expectancy, we provide the main reference to the reader (Arriaga, 1984). In addition, a short description is provided in the supplemental material.</w:t>
      </w:r>
    </w:p>
    <w:p w14:paraId="35E548A0" w14:textId="27BA9745" w:rsidR="00252356" w:rsidRPr="00206649" w:rsidRDefault="00252356" w:rsidP="00313F3F">
      <w:pPr>
        <w:pStyle w:val="PlainText"/>
        <w:numPr>
          <w:ilvl w:val="0"/>
          <w:numId w:val="9"/>
        </w:numPr>
        <w:jc w:val="both"/>
        <w:rPr>
          <w:szCs w:val="22"/>
        </w:rPr>
      </w:pPr>
      <w:r w:rsidRPr="00206649">
        <w:rPr>
          <w:szCs w:val="22"/>
        </w:rPr>
        <w:t xml:space="preserve">To better describe the decomposition method, we added the next sentences: </w:t>
      </w:r>
    </w:p>
    <w:p w14:paraId="2BD2F402" w14:textId="78F61C2D" w:rsidR="005B7DE7" w:rsidRPr="00206649" w:rsidRDefault="005B7DE7" w:rsidP="005B7DE7">
      <w:pPr>
        <w:pStyle w:val="PlainText"/>
        <w:ind w:left="720"/>
        <w:jc w:val="both"/>
        <w:rPr>
          <w:i/>
          <w:szCs w:val="22"/>
        </w:rPr>
      </w:pPr>
      <w:r w:rsidRPr="00206649">
        <w:rPr>
          <w:i/>
          <w:szCs w:val="22"/>
        </w:rPr>
        <w:t>“The decomposition method used in this analysis is based on a model of demographic functions that change gradually over time.</w:t>
      </w:r>
      <w:r w:rsidRPr="00206649">
        <w:rPr>
          <w:i/>
          <w:szCs w:val="22"/>
          <w:vertAlign w:val="superscript"/>
        </w:rPr>
        <w:t>33</w:t>
      </w:r>
      <w:r w:rsidRPr="00206649">
        <w:rPr>
          <w:i/>
          <w:szCs w:val="22"/>
        </w:rPr>
        <w:t xml:space="preserve"> It is a stepwise-based demographic method and has been successfully used to decompose age and cause-specific effects on life expectancy.</w:t>
      </w:r>
      <w:r w:rsidRPr="00206649">
        <w:rPr>
          <w:i/>
          <w:szCs w:val="22"/>
          <w:vertAlign w:val="superscript"/>
        </w:rPr>
        <w:t>34</w:t>
      </w:r>
      <w:r w:rsidRPr="00206649">
        <w:rPr>
          <w:i/>
          <w:szCs w:val="22"/>
        </w:rPr>
        <w:t xml:space="preserve"> We provide a short description in the Supplemental Material and the results are fully reproducible from the R-code provided in the Data Sharing statement.”</w:t>
      </w:r>
    </w:p>
    <w:p w14:paraId="3A6D3018" w14:textId="1D8663B8" w:rsidR="005B7DE7" w:rsidRPr="00206649" w:rsidRDefault="00D10AED" w:rsidP="00D25BD8">
      <w:pPr>
        <w:pStyle w:val="PlainText"/>
        <w:numPr>
          <w:ilvl w:val="0"/>
          <w:numId w:val="9"/>
        </w:numPr>
        <w:jc w:val="both"/>
        <w:rPr>
          <w:i/>
          <w:szCs w:val="22"/>
        </w:rPr>
      </w:pPr>
      <w:r w:rsidRPr="00206649">
        <w:rPr>
          <w:szCs w:val="22"/>
        </w:rPr>
        <w:t>In addition to the Github repository with the code and data</w:t>
      </w:r>
      <w:r w:rsidR="00911D8D" w:rsidRPr="00206649">
        <w:rPr>
          <w:szCs w:val="22"/>
        </w:rPr>
        <w:t xml:space="preserve"> (</w:t>
      </w:r>
      <w:r w:rsidR="00911D8D" w:rsidRPr="00206649">
        <w:rPr>
          <w:rFonts w:ascii="Helvetica" w:hAnsi="Helvetica"/>
          <w:color w:val="444444"/>
          <w:szCs w:val="22"/>
        </w:rPr>
        <w:t>https://goo.gl/L9ppM9)</w:t>
      </w:r>
      <w:r w:rsidRPr="00206649">
        <w:rPr>
          <w:szCs w:val="22"/>
        </w:rPr>
        <w:t>, we included a short description of the decom</w:t>
      </w:r>
      <w:r w:rsidR="005B7DE7" w:rsidRPr="00206649">
        <w:rPr>
          <w:szCs w:val="22"/>
        </w:rPr>
        <w:t>position method in the appendix:</w:t>
      </w:r>
    </w:p>
    <w:p w14:paraId="66956B74" w14:textId="016F0C74" w:rsidR="00D25BD8" w:rsidRPr="00206649" w:rsidRDefault="00D25BD8" w:rsidP="005B7DE7">
      <w:pPr>
        <w:pStyle w:val="PlainText"/>
        <w:ind w:left="720"/>
        <w:jc w:val="both"/>
        <w:rPr>
          <w:i/>
          <w:szCs w:val="22"/>
        </w:rPr>
      </w:pPr>
      <w:r w:rsidRPr="00206649">
        <w:rPr>
          <w:i/>
          <w:szCs w:val="22"/>
        </w:rPr>
        <w:t xml:space="preserve">The decomposition method used in this paper </w:t>
      </w:r>
      <w:r w:rsidR="00273CC9" w:rsidRPr="00206649">
        <w:rPr>
          <w:i/>
          <w:szCs w:val="22"/>
        </w:rPr>
        <w:t xml:space="preserve">relies on a model of demographic functions based on continuous change </w:t>
      </w:r>
      <w:r w:rsidRPr="00206649">
        <w:rPr>
          <w:i/>
          <w:szCs w:val="22"/>
        </w:rPr>
        <w:t xml:space="preserve">(Horiuchi et al 2008). Suppose </w:t>
      </w:r>
      <m:oMath>
        <m:r>
          <w:rPr>
            <w:rFonts w:ascii="Cambria Math" w:hAnsi="Cambria Math"/>
            <w:szCs w:val="22"/>
          </w:rPr>
          <m:t>f</m:t>
        </m:r>
      </m:oMath>
      <w:r w:rsidRPr="00206649">
        <w:rPr>
          <w:i/>
          <w:szCs w:val="22"/>
        </w:rPr>
        <w:t xml:space="preserve"> (e.g.</w:t>
      </w:r>
      <w:r w:rsidR="00335F4A" w:rsidRPr="00206649">
        <w:rPr>
          <w:i/>
          <w:szCs w:val="22"/>
        </w:rPr>
        <w:t xml:space="preserve"> temporary life expectancy between ages 15 and 49</w:t>
      </w:r>
      <w:r w:rsidRPr="00206649">
        <w:rPr>
          <w:i/>
          <w:szCs w:val="22"/>
        </w:rPr>
        <w:t xml:space="preserve">) is a differentiable function of </w:t>
      </w:r>
      <m:oMath>
        <m:r>
          <w:rPr>
            <w:rFonts w:ascii="Cambria Math" w:hAnsi="Cambria Math"/>
            <w:szCs w:val="22"/>
          </w:rPr>
          <m:t>n</m:t>
        </m:r>
      </m:oMath>
      <w:r w:rsidRPr="00206649">
        <w:rPr>
          <w:i/>
          <w:szCs w:val="22"/>
        </w:rPr>
        <w:t xml:space="preserve"> covariates (e.g. each age-cause specific mortality rate) denoted by the vector </w:t>
      </w:r>
      <m:oMath>
        <m:r>
          <m:rPr>
            <m:sty m:val="bi"/>
          </m:rPr>
          <w:rPr>
            <w:rFonts w:ascii="Cambria Math" w:hAnsi="Cambria Math"/>
            <w:szCs w:val="22"/>
          </w:rPr>
          <m:t>A</m:t>
        </m:r>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 …,</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n</m:t>
            </m:r>
          </m:sub>
        </m:sSub>
        <m:sSup>
          <m:sSupPr>
            <m:ctrlPr>
              <w:rPr>
                <w:rFonts w:ascii="Cambria Math" w:hAnsi="Cambria Math"/>
                <w:i/>
                <w:szCs w:val="22"/>
              </w:rPr>
            </m:ctrlPr>
          </m:sSupPr>
          <m:e>
            <m:r>
              <w:rPr>
                <w:rFonts w:ascii="Cambria Math" w:hAnsi="Cambria Math"/>
                <w:szCs w:val="22"/>
              </w:rPr>
              <m:t>]</m:t>
            </m:r>
          </m:e>
          <m:sup>
            <m:r>
              <w:rPr>
                <w:rFonts w:ascii="Cambria Math" w:hAnsi="Cambria Math"/>
                <w:szCs w:val="22"/>
              </w:rPr>
              <m:t>T</m:t>
            </m:r>
          </m:sup>
        </m:sSup>
      </m:oMath>
      <w:r w:rsidRPr="00206649">
        <w:rPr>
          <w:i/>
          <w:szCs w:val="22"/>
        </w:rPr>
        <w:t>.</w:t>
      </w:r>
      <w:r w:rsidR="00335F4A" w:rsidRPr="00206649">
        <w:rPr>
          <w:i/>
          <w:szCs w:val="22"/>
        </w:rPr>
        <w:t xml:space="preserve"> If we have observations of two populations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00335F4A"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00BE25E6" w:rsidRPr="00206649">
        <w:rPr>
          <w:i/>
          <w:szCs w:val="22"/>
        </w:rPr>
        <w:t xml:space="preserve">. </w:t>
      </w:r>
      <w:r w:rsidR="00D3475A" w:rsidRPr="00206649">
        <w:rPr>
          <w:i/>
          <w:szCs w:val="22"/>
        </w:rPr>
        <w:t xml:space="preserve">We assume that </w:t>
      </w:r>
      <w:r w:rsidRPr="00206649">
        <w:rPr>
          <w:i/>
          <w:szCs w:val="22"/>
        </w:rPr>
        <w:t xml:space="preserve">that </w:t>
      </w:r>
      <m:oMath>
        <m:r>
          <m:rPr>
            <m:sty m:val="bi"/>
          </m:rPr>
          <w:rPr>
            <w:rFonts w:ascii="Cambria Math" w:hAnsi="Cambria Math"/>
            <w:szCs w:val="22"/>
          </w:rPr>
          <m:t>A</m:t>
        </m:r>
      </m:oMath>
      <w:r w:rsidRPr="00206649">
        <w:rPr>
          <w:i/>
          <w:szCs w:val="22"/>
        </w:rPr>
        <w:t xml:space="preserve"> is a differentiable function between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Pr="00206649">
        <w:rPr>
          <w:i/>
          <w:szCs w:val="22"/>
        </w:rPr>
        <w:t xml:space="preserve">, </w:t>
      </w:r>
      <w:r w:rsidR="00D3475A" w:rsidRPr="00206649">
        <w:rPr>
          <w:i/>
          <w:szCs w:val="22"/>
        </w:rPr>
        <w:t>then the</w:t>
      </w:r>
      <w:r w:rsidRPr="00206649">
        <w:rPr>
          <w:i/>
          <w:szCs w:val="22"/>
        </w:rPr>
        <w:t xml:space="preserve"> difference in </w:t>
      </w:r>
      <m:oMath>
        <m:r>
          <w:rPr>
            <w:rFonts w:ascii="Cambria Math" w:hAnsi="Cambria Math"/>
            <w:szCs w:val="22"/>
          </w:rPr>
          <m:t>f</m:t>
        </m:r>
      </m:oMath>
      <w:r w:rsidRPr="00206649">
        <w:rPr>
          <w:i/>
          <w:szCs w:val="22"/>
        </w:rPr>
        <w:t xml:space="preserve"> between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Pr="00206649">
        <w:rPr>
          <w:i/>
          <w:szCs w:val="22"/>
        </w:rPr>
        <w:t xml:space="preserve"> can be expressed as follows:</w:t>
      </w:r>
    </w:p>
    <w:p w14:paraId="0D483D3A" w14:textId="5A69BC49" w:rsidR="00D25BD8" w:rsidRPr="00206649" w:rsidRDefault="00C56B9B" w:rsidP="00D25BD8">
      <w:pPr>
        <w:pStyle w:val="PlainText"/>
        <w:jc w:val="both"/>
        <w:rPr>
          <w:i/>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n</m:t>
              </m:r>
            </m:sup>
            <m:e>
              <m:nary>
                <m:naryPr>
                  <m:limLoc m:val="subSup"/>
                  <m:ctrlPr>
                    <w:rPr>
                      <w:rFonts w:ascii="Cambria Math" w:hAnsi="Cambria Math"/>
                      <w:i/>
                      <w:szCs w:val="22"/>
                    </w:rPr>
                  </m:ctrlPr>
                </m:naryPr>
                <m:sub>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e>
                  </m:d>
                </m:sub>
                <m:sup>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e>
                  </m:d>
                </m:sup>
                <m:e>
                  <m:f>
                    <m:fPr>
                      <m:ctrlPr>
                        <w:rPr>
                          <w:rFonts w:ascii="Cambria Math"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r>
                    <w:rPr>
                      <w:rFonts w:ascii="Cambria Math" w:hAnsi="Cambria Math"/>
                      <w:szCs w:val="22"/>
                    </w:rPr>
                    <m:t>d</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r>
                    <w:rPr>
                      <w:rFonts w:ascii="Cambria Math" w:hAnsi="Cambria Math"/>
                      <w:szCs w:val="22"/>
                    </w:rPr>
                    <m:t>=</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n</m:t>
                      </m:r>
                    </m:sup>
                    <m:e>
                      <m:sSub>
                        <m:sSubPr>
                          <m:ctrlPr>
                            <w:rPr>
                              <w:rFonts w:ascii="Cambria Math" w:hAnsi="Cambria Math"/>
                              <w:i/>
                              <w:szCs w:val="22"/>
                            </w:rPr>
                          </m:ctrlPr>
                        </m:sSubPr>
                        <m:e>
                          <m:r>
                            <w:rPr>
                              <w:rFonts w:ascii="Cambria Math" w:hAnsi="Cambria Math" w:cs="Cambria Math"/>
                              <w:szCs w:val="22"/>
                            </w:rPr>
                            <m:t>c</m:t>
                          </m:r>
                        </m:e>
                        <m:sub>
                          <m:r>
                            <w:rPr>
                              <w:rFonts w:ascii="Cambria Math" w:hAnsi="Cambria Math"/>
                              <w:szCs w:val="22"/>
                            </w:rPr>
                            <m:t>i</m:t>
                          </m:r>
                        </m:sub>
                      </m:sSub>
                    </m:e>
                  </m:nary>
                </m:e>
              </m:nary>
            </m:e>
          </m:nary>
          <m:r>
            <w:rPr>
              <w:rFonts w:ascii="Cambria Math" w:hAnsi="Cambria Math"/>
              <w:szCs w:val="22"/>
            </w:rPr>
            <m:t>,                                 (2)</m:t>
          </m:r>
        </m:oMath>
      </m:oMathPara>
    </w:p>
    <w:p w14:paraId="276185C1" w14:textId="59548F4E" w:rsidR="00D25BD8" w:rsidRPr="00206649" w:rsidRDefault="00D25BD8" w:rsidP="005B7DE7">
      <w:pPr>
        <w:pStyle w:val="PlainText"/>
        <w:ind w:left="720"/>
        <w:jc w:val="both"/>
        <w:rPr>
          <w:i/>
          <w:szCs w:val="22"/>
        </w:rPr>
      </w:pPr>
      <w:r w:rsidRPr="00206649">
        <w:rPr>
          <w:i/>
          <w:szCs w:val="22"/>
        </w:rPr>
        <w:t xml:space="preserve">where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206649">
        <w:rPr>
          <w:i/>
          <w:szCs w:val="22"/>
        </w:rPr>
        <w:t xml:space="preserve"> is the total change in </w:t>
      </w:r>
      <m:oMath>
        <m:r>
          <w:rPr>
            <w:rFonts w:ascii="Cambria Math" w:hAnsi="Cambria Math"/>
            <w:szCs w:val="22"/>
          </w:rPr>
          <m:t>f</m:t>
        </m:r>
      </m:oMath>
      <w:r w:rsidRPr="00206649">
        <w:rPr>
          <w:i/>
          <w:szCs w:val="22"/>
        </w:rPr>
        <w:t xml:space="preserve"> (e.g. </w:t>
      </w:r>
      <w:r w:rsidR="00D3475A" w:rsidRPr="00206649">
        <w:rPr>
          <w:i/>
          <w:szCs w:val="22"/>
        </w:rPr>
        <w:t>temporary life expectancy</w:t>
      </w:r>
      <w:r w:rsidRPr="00206649">
        <w:rPr>
          <w:i/>
          <w:szCs w:val="22"/>
        </w:rPr>
        <w:t xml:space="preserve">) produced by changes in the </w:t>
      </w:r>
      <m:oMath>
        <m:r>
          <w:rPr>
            <w:rFonts w:ascii="Cambria Math" w:hAnsi="Cambria Math"/>
            <w:szCs w:val="22"/>
          </w:rPr>
          <m:t>i</m:t>
        </m:r>
      </m:oMath>
      <w:r w:rsidRPr="00206649">
        <w:rPr>
          <w:i/>
          <w:szCs w:val="22"/>
        </w:rPr>
        <w:t xml:space="preserve">-th covariate,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oMath>
      <w:r w:rsidRPr="00206649">
        <w:rPr>
          <w:i/>
          <w:szCs w:val="22"/>
        </w:rPr>
        <w:t xml:space="preserve">. The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206649">
        <w:rPr>
          <w:i/>
          <w:szCs w:val="22"/>
        </w:rPr>
        <w:t xml:space="preserve">'s in equation (2) were computed with numerical integration following the algorithm suggested by Horiuchi et al (2008). </w:t>
      </w:r>
    </w:p>
    <w:p w14:paraId="13CA1DA1" w14:textId="77777777" w:rsidR="00D25BD8" w:rsidRPr="00206649" w:rsidRDefault="00D25BD8" w:rsidP="007157AD">
      <w:pPr>
        <w:pStyle w:val="PlainText"/>
        <w:jc w:val="both"/>
        <w:rPr>
          <w:szCs w:val="22"/>
        </w:rPr>
      </w:pPr>
    </w:p>
    <w:p w14:paraId="3F845032" w14:textId="703A03A5" w:rsidR="00A37C12" w:rsidRPr="00206649" w:rsidRDefault="008945CF" w:rsidP="007157AD">
      <w:pPr>
        <w:pStyle w:val="PlainText"/>
        <w:jc w:val="both"/>
        <w:rPr>
          <w:szCs w:val="22"/>
        </w:rPr>
      </w:pPr>
      <w:r w:rsidRPr="00206649">
        <w:rPr>
          <w:szCs w:val="22"/>
        </w:rPr>
        <w:t>References</w:t>
      </w:r>
      <w:r w:rsidR="00252356" w:rsidRPr="00206649">
        <w:rPr>
          <w:szCs w:val="22"/>
        </w:rPr>
        <w:t xml:space="preserve"> added</w:t>
      </w:r>
    </w:p>
    <w:p w14:paraId="125A9062" w14:textId="77777777" w:rsidR="008945CF" w:rsidRPr="00206649" w:rsidRDefault="008945CF" w:rsidP="007157AD">
      <w:pPr>
        <w:pStyle w:val="PlainText"/>
        <w:jc w:val="both"/>
        <w:rPr>
          <w:szCs w:val="22"/>
        </w:rPr>
      </w:pPr>
    </w:p>
    <w:p w14:paraId="5252B6BE" w14:textId="3D0B8F60" w:rsidR="008945CF" w:rsidRPr="00206649" w:rsidRDefault="008945CF" w:rsidP="007157AD">
      <w:pPr>
        <w:pStyle w:val="PlainText"/>
        <w:jc w:val="both"/>
        <w:rPr>
          <w:szCs w:val="22"/>
        </w:rPr>
      </w:pPr>
      <w:r w:rsidRPr="00206649">
        <w:rPr>
          <w:szCs w:val="22"/>
        </w:rPr>
        <w:t>Preston, Samuel, Patrick Heuveline, and Michel Guillot. "Demography: measuring and modeling population processes." (2000).</w:t>
      </w:r>
    </w:p>
    <w:p w14:paraId="7F882C0A" w14:textId="6F5A7547" w:rsidR="00252356" w:rsidRPr="00206649" w:rsidRDefault="00252356" w:rsidP="007157AD">
      <w:pPr>
        <w:pStyle w:val="PlainText"/>
        <w:jc w:val="both"/>
        <w:rPr>
          <w:szCs w:val="22"/>
        </w:rPr>
      </w:pPr>
    </w:p>
    <w:p w14:paraId="7C520AB1" w14:textId="0AABBCF2" w:rsidR="00252356" w:rsidRPr="00206649" w:rsidRDefault="00252356" w:rsidP="007157AD">
      <w:pPr>
        <w:pStyle w:val="PlainText"/>
        <w:jc w:val="both"/>
        <w:rPr>
          <w:szCs w:val="22"/>
        </w:rPr>
      </w:pPr>
      <w:r w:rsidRPr="00206649">
        <w:rPr>
          <w:noProof/>
          <w:szCs w:val="22"/>
        </w:rPr>
        <w:t xml:space="preserve">Arriaga EE. Measuring and explaining the change in life expectancies. </w:t>
      </w:r>
      <w:r w:rsidRPr="00206649">
        <w:rPr>
          <w:i/>
          <w:noProof/>
          <w:szCs w:val="22"/>
        </w:rPr>
        <w:t>Demography</w:t>
      </w:r>
      <w:r w:rsidRPr="00206649">
        <w:rPr>
          <w:noProof/>
          <w:szCs w:val="22"/>
        </w:rPr>
        <w:t xml:space="preserve"> 1984;21(1):83-96.</w:t>
      </w:r>
    </w:p>
    <w:p w14:paraId="2458D1E2" w14:textId="77777777" w:rsidR="008945CF" w:rsidRPr="00206649" w:rsidRDefault="008945CF" w:rsidP="007157AD">
      <w:pPr>
        <w:pStyle w:val="PlainText"/>
        <w:jc w:val="both"/>
        <w:rPr>
          <w:szCs w:val="22"/>
        </w:rPr>
      </w:pPr>
    </w:p>
    <w:p w14:paraId="0A15492D" w14:textId="77777777" w:rsidR="00733702" w:rsidRPr="00206649" w:rsidRDefault="00733702" w:rsidP="007157AD">
      <w:pPr>
        <w:pStyle w:val="PlainText"/>
        <w:jc w:val="both"/>
        <w:rPr>
          <w:b/>
          <w:szCs w:val="22"/>
        </w:rPr>
      </w:pPr>
      <w:r w:rsidRPr="00206649">
        <w:rPr>
          <w:b/>
          <w:szCs w:val="22"/>
        </w:rPr>
        <w:t>Results:</w:t>
      </w:r>
    </w:p>
    <w:p w14:paraId="6DA509A1" w14:textId="775AAB59" w:rsidR="00733702" w:rsidRPr="00206649" w:rsidRDefault="00733702" w:rsidP="007157AD">
      <w:pPr>
        <w:pStyle w:val="PlainText"/>
        <w:jc w:val="both"/>
        <w:rPr>
          <w:b/>
          <w:szCs w:val="22"/>
        </w:rPr>
      </w:pPr>
      <w:r w:rsidRPr="00206649">
        <w:rPr>
          <w:b/>
          <w:szCs w:val="22"/>
        </w:rPr>
        <w:t>5.</w:t>
      </w:r>
      <w:r w:rsidRPr="00206649">
        <w:rPr>
          <w:b/>
          <w:szCs w:val="22"/>
        </w:rPr>
        <w:tab/>
        <w:t xml:space="preserve">The graphical representation of results is remarkable and clear. </w:t>
      </w:r>
    </w:p>
    <w:p w14:paraId="6C6C7921" w14:textId="43068804" w:rsidR="00C16129" w:rsidRPr="00206649" w:rsidRDefault="00C16129" w:rsidP="007157AD">
      <w:pPr>
        <w:pStyle w:val="PlainText"/>
        <w:jc w:val="both"/>
        <w:rPr>
          <w:b/>
          <w:szCs w:val="22"/>
        </w:rPr>
      </w:pPr>
    </w:p>
    <w:p w14:paraId="6C9CCAF5" w14:textId="6C7CAE93" w:rsidR="00C16129" w:rsidRPr="00206649" w:rsidRDefault="00C16129" w:rsidP="007157AD">
      <w:pPr>
        <w:pStyle w:val="PlainText"/>
        <w:jc w:val="both"/>
        <w:rPr>
          <w:szCs w:val="22"/>
        </w:rPr>
      </w:pPr>
      <w:r w:rsidRPr="00206649">
        <w:rPr>
          <w:szCs w:val="22"/>
        </w:rPr>
        <w:t>Thanks, all the graphs are reproducible by following the code</w:t>
      </w:r>
      <w:r w:rsidR="00086932" w:rsidRPr="00206649">
        <w:rPr>
          <w:szCs w:val="22"/>
        </w:rPr>
        <w:t xml:space="preserve"> made available </w:t>
      </w:r>
      <w:r w:rsidRPr="00206649">
        <w:rPr>
          <w:szCs w:val="22"/>
        </w:rPr>
        <w:t>on Github</w:t>
      </w:r>
      <w:r w:rsidR="00911D8D" w:rsidRPr="00206649">
        <w:rPr>
          <w:szCs w:val="22"/>
        </w:rPr>
        <w:t xml:space="preserve"> (</w:t>
      </w:r>
      <w:r w:rsidR="00911D8D" w:rsidRPr="00206649">
        <w:rPr>
          <w:rFonts w:ascii="Helvetica" w:hAnsi="Helvetica"/>
          <w:color w:val="444444"/>
          <w:szCs w:val="22"/>
        </w:rPr>
        <w:t>https://goo.gl/L9ppM9)</w:t>
      </w:r>
      <w:r w:rsidRPr="00206649">
        <w:rPr>
          <w:szCs w:val="22"/>
        </w:rPr>
        <w:t>.</w:t>
      </w:r>
    </w:p>
    <w:p w14:paraId="4FA7F76D" w14:textId="77777777" w:rsidR="00C16129" w:rsidRPr="00206649" w:rsidRDefault="00C16129" w:rsidP="007157AD">
      <w:pPr>
        <w:pStyle w:val="PlainText"/>
        <w:jc w:val="both"/>
        <w:rPr>
          <w:b/>
          <w:szCs w:val="22"/>
        </w:rPr>
      </w:pPr>
    </w:p>
    <w:p w14:paraId="6F6F4DDC" w14:textId="086A66D3" w:rsidR="00733702" w:rsidRPr="00206649" w:rsidRDefault="00733702" w:rsidP="007157AD">
      <w:pPr>
        <w:pStyle w:val="PlainText"/>
        <w:jc w:val="both"/>
        <w:rPr>
          <w:b/>
          <w:szCs w:val="22"/>
        </w:rPr>
      </w:pPr>
      <w:r w:rsidRPr="00206649">
        <w:rPr>
          <w:b/>
          <w:szCs w:val="22"/>
        </w:rPr>
        <w:t>6.</w:t>
      </w:r>
      <w:r w:rsidRPr="00206649">
        <w:rPr>
          <w:b/>
          <w:szCs w:val="22"/>
        </w:rP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14:paraId="74F759AE" w14:textId="7488CD88" w:rsidR="00C16129" w:rsidRPr="00206649" w:rsidRDefault="00C16129" w:rsidP="007157AD">
      <w:pPr>
        <w:pStyle w:val="PlainText"/>
        <w:jc w:val="both"/>
        <w:rPr>
          <w:b/>
          <w:szCs w:val="22"/>
        </w:rPr>
      </w:pPr>
    </w:p>
    <w:p w14:paraId="3F41CA46" w14:textId="2F8E6073" w:rsidR="00C16129" w:rsidRPr="00206649" w:rsidRDefault="00C16129" w:rsidP="007157AD">
      <w:pPr>
        <w:pStyle w:val="PlainText"/>
        <w:jc w:val="both"/>
        <w:rPr>
          <w:szCs w:val="22"/>
        </w:rPr>
      </w:pPr>
      <w:r w:rsidRPr="00206649">
        <w:rPr>
          <w:szCs w:val="22"/>
        </w:rPr>
        <w:t>We thank the reviewer for this suggestion. We followed his advice and produced the graph as he suggested. The outcome, which reads better than the original one, looks lik</w:t>
      </w:r>
      <w:commentRangeStart w:id="1"/>
      <w:r w:rsidRPr="00206649">
        <w:rPr>
          <w:szCs w:val="22"/>
        </w:rPr>
        <w:t>e:</w:t>
      </w:r>
      <w:commentRangeEnd w:id="1"/>
      <w:r w:rsidRPr="00206649">
        <w:rPr>
          <w:rStyle w:val="CommentReference"/>
          <w:rFonts w:ascii="Times New Roman" w:eastAsiaTheme="minorHAnsi" w:hAnsi="Times New Roman" w:cstheme="minorBidi"/>
          <w:sz w:val="22"/>
          <w:szCs w:val="22"/>
        </w:rPr>
        <w:commentReference w:id="1"/>
      </w:r>
    </w:p>
    <w:p w14:paraId="5FC25BA0" w14:textId="77777777" w:rsidR="00A37C12" w:rsidRPr="00206649" w:rsidRDefault="00A37C12" w:rsidP="007157AD">
      <w:pPr>
        <w:pStyle w:val="PlainText"/>
        <w:jc w:val="both"/>
        <w:rPr>
          <w:b/>
          <w:szCs w:val="22"/>
        </w:rPr>
      </w:pPr>
    </w:p>
    <w:p w14:paraId="1C0AF22D" w14:textId="77777777" w:rsidR="00733702" w:rsidRPr="00206649" w:rsidRDefault="00733702" w:rsidP="007157AD">
      <w:pPr>
        <w:pStyle w:val="PlainText"/>
        <w:jc w:val="both"/>
        <w:rPr>
          <w:b/>
          <w:szCs w:val="22"/>
        </w:rPr>
      </w:pPr>
      <w:r w:rsidRPr="00206649">
        <w:rPr>
          <w:b/>
          <w:szCs w:val="22"/>
        </w:rPr>
        <w:t>Discussion</w:t>
      </w:r>
    </w:p>
    <w:p w14:paraId="6AF9688F" w14:textId="544524D4" w:rsidR="00733702" w:rsidRPr="00206649" w:rsidRDefault="00733702" w:rsidP="007157AD">
      <w:pPr>
        <w:pStyle w:val="PlainText"/>
        <w:jc w:val="both"/>
        <w:rPr>
          <w:b/>
          <w:szCs w:val="22"/>
        </w:rPr>
      </w:pPr>
      <w:r w:rsidRPr="00206649">
        <w:rPr>
          <w:b/>
          <w:szCs w:val="22"/>
        </w:rPr>
        <w:lastRenderedPageBreak/>
        <w:t>7.</w:t>
      </w:r>
      <w:r w:rsidRPr="00206649">
        <w:rPr>
          <w:b/>
          <w:szCs w:val="22"/>
        </w:rPr>
        <w:tab/>
        <w:t xml:space="preserve">Limitations: some of the aspects indicated in comments 2-3 above should be at least mentioned as limitations of this study. </w:t>
      </w:r>
    </w:p>
    <w:p w14:paraId="60AB7E55" w14:textId="77777777" w:rsidR="00737190" w:rsidRPr="00206649" w:rsidRDefault="00737190" w:rsidP="007157AD">
      <w:pPr>
        <w:pStyle w:val="PlainText"/>
        <w:jc w:val="both"/>
        <w:rPr>
          <w:b/>
          <w:szCs w:val="22"/>
        </w:rPr>
      </w:pPr>
    </w:p>
    <w:p w14:paraId="2E1A7C7D" w14:textId="06147580" w:rsidR="00737190" w:rsidRPr="00206649" w:rsidRDefault="00737190" w:rsidP="007157AD">
      <w:pPr>
        <w:pStyle w:val="PlainText"/>
        <w:jc w:val="both"/>
        <w:rPr>
          <w:szCs w:val="22"/>
        </w:rPr>
      </w:pPr>
      <w:r w:rsidRPr="00206649">
        <w:rPr>
          <w:szCs w:val="22"/>
        </w:rPr>
        <w:t xml:space="preserve">Thank you. We have now included sentences emphasizing the two issues in comments 2-3. </w:t>
      </w:r>
    </w:p>
    <w:p w14:paraId="7BA2AF08" w14:textId="4B12C2C7" w:rsidR="00A37C12" w:rsidRPr="00206649" w:rsidRDefault="00A37C12" w:rsidP="007157AD">
      <w:pPr>
        <w:pStyle w:val="PlainText"/>
        <w:jc w:val="both"/>
        <w:rPr>
          <w:szCs w:val="22"/>
        </w:rPr>
      </w:pPr>
    </w:p>
    <w:p w14:paraId="29C73618" w14:textId="507C63C7" w:rsidR="009978F2" w:rsidRPr="00206649" w:rsidRDefault="009978F2" w:rsidP="007157AD">
      <w:pPr>
        <w:pStyle w:val="PlainText"/>
        <w:jc w:val="both"/>
        <w:rPr>
          <w:szCs w:val="22"/>
        </w:rPr>
      </w:pPr>
      <w:r w:rsidRPr="00206649">
        <w:rPr>
          <w:szCs w:val="22"/>
        </w:rPr>
        <w:t>We added the next sentences to the Strengths and limitations section:</w:t>
      </w:r>
    </w:p>
    <w:p w14:paraId="05AEA19B" w14:textId="3A0ECEFE" w:rsidR="009978F2" w:rsidRPr="00206649" w:rsidRDefault="009978F2" w:rsidP="009978F2">
      <w:pPr>
        <w:pStyle w:val="PlainText"/>
        <w:numPr>
          <w:ilvl w:val="0"/>
          <w:numId w:val="11"/>
        </w:numPr>
        <w:jc w:val="both"/>
        <w:rPr>
          <w:i/>
          <w:szCs w:val="22"/>
        </w:rPr>
      </w:pPr>
      <w:r w:rsidRPr="00206649">
        <w:rPr>
          <w:rFonts w:cstheme="minorHAnsi"/>
          <w:i/>
          <w:szCs w:val="22"/>
        </w:rPr>
        <w:t>In addition, underreported deaths and ill-defined causes of death could potentially bias our results. Mexico is among the countries with high-quality data according with the Pan American Health Organization’s criteria. Underreported deaths are estimated to be around 0.8%, (WHO 2018, OPS 2014) while ill-defined causes of death represented 2.1% in the beginning of the century and has decreased to 1.7% more recently (OPS 2014). Therefore, we expect our main findings to hold given the small percentages of ill-defined and underreported deaths.</w:t>
      </w:r>
    </w:p>
    <w:p w14:paraId="25EC63EF" w14:textId="77777777" w:rsidR="00206649" w:rsidRPr="00206649" w:rsidRDefault="00206649" w:rsidP="0020664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Times New Roman" w:hAnsi="Calibri" w:cstheme="minorHAnsi"/>
          <w:i/>
          <w:lang w:val="en-US"/>
        </w:rPr>
      </w:pPr>
      <w:r w:rsidRPr="00206649">
        <w:rPr>
          <w:rFonts w:ascii="Calibri" w:eastAsia="Times New Roman" w:hAnsi="Calibri" w:cstheme="minorHAnsi"/>
          <w:i/>
          <w:lang w:val="en-US"/>
        </w:rPr>
        <w:t>Finally, small population sizes could bias our results. As a robustness check, we calculated Confidence Intervals (95%) for all our estimates of temporary life expectancy, including the benchmark (Supplementary material), and did not find major differences with our main results.</w:t>
      </w:r>
    </w:p>
    <w:p w14:paraId="6527A882" w14:textId="77777777" w:rsidR="001D762D" w:rsidRPr="00206649" w:rsidRDefault="001D762D" w:rsidP="00206649">
      <w:pPr>
        <w:pStyle w:val="PlainText"/>
        <w:jc w:val="both"/>
        <w:rPr>
          <w:i/>
          <w:szCs w:val="22"/>
        </w:rPr>
      </w:pPr>
    </w:p>
    <w:p w14:paraId="696FFAD6" w14:textId="77777777" w:rsidR="009978F2" w:rsidRPr="00206649" w:rsidRDefault="009978F2" w:rsidP="007157AD">
      <w:pPr>
        <w:pStyle w:val="PlainText"/>
        <w:jc w:val="both"/>
        <w:rPr>
          <w:b/>
          <w:szCs w:val="22"/>
        </w:rPr>
      </w:pPr>
    </w:p>
    <w:p w14:paraId="7D2D2956" w14:textId="6CAF8482" w:rsidR="00733702" w:rsidRPr="00206649" w:rsidRDefault="00733702" w:rsidP="007157AD">
      <w:pPr>
        <w:pStyle w:val="PlainText"/>
        <w:jc w:val="both"/>
        <w:rPr>
          <w:b/>
          <w:szCs w:val="22"/>
        </w:rPr>
      </w:pPr>
      <w:r w:rsidRPr="00206649">
        <w:rPr>
          <w:b/>
          <w:szCs w:val="22"/>
        </w:rPr>
        <w:t>8.</w:t>
      </w:r>
      <w:r w:rsidRPr="00206649">
        <w:rPr>
          <w:b/>
          <w:szCs w:val="22"/>
        </w:rP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14:paraId="247B5CC6" w14:textId="72B9D679" w:rsidR="00B85B7A" w:rsidRPr="00206649" w:rsidRDefault="00B85B7A" w:rsidP="007157AD">
      <w:pPr>
        <w:pStyle w:val="PlainText"/>
        <w:jc w:val="both"/>
        <w:rPr>
          <w:b/>
          <w:szCs w:val="22"/>
        </w:rPr>
      </w:pPr>
    </w:p>
    <w:p w14:paraId="5E65D944" w14:textId="0C064DE8" w:rsidR="00B85B7A" w:rsidRPr="00206649" w:rsidRDefault="00B85B7A" w:rsidP="007157AD">
      <w:pPr>
        <w:pStyle w:val="PlainText"/>
        <w:jc w:val="both"/>
        <w:rPr>
          <w:szCs w:val="22"/>
        </w:rPr>
      </w:pPr>
      <w:r w:rsidRPr="00206649">
        <w:rPr>
          <w:szCs w:val="22"/>
        </w:rPr>
        <w:t xml:space="preserve">We thank the reviewer for his suggestion. </w:t>
      </w:r>
      <w:r w:rsidR="005D4160" w:rsidRPr="00206649">
        <w:rPr>
          <w:szCs w:val="22"/>
        </w:rPr>
        <w:t>We rephrased the last sentence to make clear the role of physical and healthy activities, and highlighted the need of new policies to mitigate violence in Mexico. It now reads:</w:t>
      </w:r>
    </w:p>
    <w:p w14:paraId="68E77CF8" w14:textId="1EB365CA" w:rsidR="005D4160" w:rsidRPr="00206649" w:rsidRDefault="005D4160" w:rsidP="007157AD">
      <w:pPr>
        <w:pStyle w:val="PlainText"/>
        <w:jc w:val="both"/>
        <w:rPr>
          <w:szCs w:val="22"/>
        </w:rPr>
      </w:pPr>
    </w:p>
    <w:p w14:paraId="6354AF7A" w14:textId="722DA4D1" w:rsidR="005D4160" w:rsidRPr="00206649" w:rsidRDefault="005D4160" w:rsidP="007157AD">
      <w:pPr>
        <w:pStyle w:val="PlainText"/>
        <w:jc w:val="both"/>
        <w:rPr>
          <w:i/>
          <w:szCs w:val="22"/>
        </w:rPr>
      </w:pPr>
      <w:r w:rsidRPr="00206649">
        <w:rPr>
          <w:i/>
          <w:szCs w:val="22"/>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p>
    <w:p w14:paraId="1E16D758" w14:textId="77777777" w:rsidR="005D4160" w:rsidRPr="00206649" w:rsidRDefault="005D4160" w:rsidP="007157AD">
      <w:pPr>
        <w:pStyle w:val="PlainText"/>
        <w:jc w:val="both"/>
        <w:rPr>
          <w:szCs w:val="22"/>
        </w:rPr>
      </w:pPr>
    </w:p>
    <w:p w14:paraId="61DDC85D" w14:textId="26D7447F" w:rsidR="00733702" w:rsidRPr="00206649" w:rsidRDefault="00733702" w:rsidP="007157AD">
      <w:pPr>
        <w:jc w:val="both"/>
        <w:rPr>
          <w:sz w:val="22"/>
        </w:rPr>
      </w:pPr>
      <w:r w:rsidRPr="00206649">
        <w:rPr>
          <w:sz w:val="22"/>
        </w:rPr>
        <w:br w:type="page"/>
      </w:r>
    </w:p>
    <w:p w14:paraId="3EE32E5A" w14:textId="77777777" w:rsidR="00733702" w:rsidRPr="00206649" w:rsidRDefault="00733702" w:rsidP="007157AD">
      <w:pPr>
        <w:pStyle w:val="PlainText"/>
        <w:jc w:val="both"/>
        <w:rPr>
          <w:b/>
          <w:szCs w:val="22"/>
        </w:rPr>
      </w:pPr>
      <w:r w:rsidRPr="00206649">
        <w:rPr>
          <w:b/>
          <w:szCs w:val="22"/>
        </w:rPr>
        <w:lastRenderedPageBreak/>
        <w:t>Reviewer: 3</w:t>
      </w:r>
    </w:p>
    <w:p w14:paraId="2C76050B" w14:textId="77777777" w:rsidR="00733702" w:rsidRPr="00206649" w:rsidRDefault="00733702" w:rsidP="007157AD">
      <w:pPr>
        <w:pStyle w:val="PlainText"/>
        <w:jc w:val="both"/>
        <w:rPr>
          <w:b/>
          <w:szCs w:val="22"/>
        </w:rPr>
      </w:pPr>
      <w:r w:rsidRPr="00206649">
        <w:rPr>
          <w:b/>
          <w:szCs w:val="22"/>
        </w:rPr>
        <w:t>Reviewer Name: Sally C Curtin</w:t>
      </w:r>
    </w:p>
    <w:p w14:paraId="46AC4260" w14:textId="77777777" w:rsidR="00733702" w:rsidRPr="00206649" w:rsidRDefault="00733702" w:rsidP="007157AD">
      <w:pPr>
        <w:pStyle w:val="PlainText"/>
        <w:jc w:val="both"/>
        <w:rPr>
          <w:b/>
          <w:szCs w:val="22"/>
        </w:rPr>
      </w:pPr>
      <w:r w:rsidRPr="00206649">
        <w:rPr>
          <w:b/>
          <w:szCs w:val="22"/>
        </w:rPr>
        <w:t>Institution and Country: National Center for Health Statistics/CDC, USA Competing Interests: None declared.</w:t>
      </w:r>
    </w:p>
    <w:p w14:paraId="597B2C5F" w14:textId="77777777" w:rsidR="00733702" w:rsidRPr="00206649" w:rsidRDefault="00733702" w:rsidP="007157AD">
      <w:pPr>
        <w:pStyle w:val="PlainText"/>
        <w:jc w:val="both"/>
        <w:rPr>
          <w:b/>
          <w:szCs w:val="22"/>
        </w:rPr>
      </w:pPr>
    </w:p>
    <w:p w14:paraId="2B6B8A24" w14:textId="1CAA9F49" w:rsidR="00733702" w:rsidRPr="00206649" w:rsidRDefault="00733702" w:rsidP="007157AD">
      <w:pPr>
        <w:jc w:val="both"/>
        <w:rPr>
          <w:rFonts w:ascii="Calibri" w:eastAsia="Times New Roman" w:hAnsi="Calibri" w:cs="Times New Roman"/>
          <w:b/>
          <w:sz w:val="22"/>
        </w:rPr>
      </w:pPr>
      <w:r w:rsidRPr="00206649">
        <w:rPr>
          <w:rFonts w:ascii="Calibri" w:eastAsia="Times New Roman" w:hAnsi="Calibri" w:cs="Times New Roman"/>
          <w:b/>
          <w:sz w:val="22"/>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14:paraId="58AD6DF6" w14:textId="3E27030B" w:rsidR="005D1388" w:rsidRPr="00206649" w:rsidRDefault="005D1388" w:rsidP="007157AD">
      <w:pPr>
        <w:jc w:val="both"/>
        <w:rPr>
          <w:rFonts w:ascii="Calibri" w:eastAsia="Times New Roman" w:hAnsi="Calibri" w:cs="Times New Roman"/>
          <w:b/>
          <w:sz w:val="22"/>
        </w:rPr>
      </w:pPr>
    </w:p>
    <w:p w14:paraId="79AC97E2" w14:textId="4D7892BA" w:rsidR="005D1388" w:rsidRPr="00206649" w:rsidRDefault="005D1388" w:rsidP="007157AD">
      <w:pPr>
        <w:jc w:val="both"/>
        <w:rPr>
          <w:rFonts w:ascii="Calibri" w:eastAsia="Times New Roman" w:hAnsi="Calibri" w:cs="Times New Roman"/>
          <w:sz w:val="22"/>
        </w:rPr>
      </w:pPr>
      <w:r w:rsidRPr="00206649">
        <w:rPr>
          <w:rFonts w:ascii="Calibri" w:eastAsia="Times New Roman" w:hAnsi="Calibri" w:cs="Times New Roman"/>
          <w:sz w:val="22"/>
        </w:rPr>
        <w:t>We thank the Reviewer for her careful reading and suggestions that helped improving the cause-of-death analysis of the paper. In this regard, it is true that suicide in Mexico is becoming a relevant public health issue. It has been increasing since the 1990s</w:t>
      </w:r>
      <w:r w:rsidR="007B3AF3" w:rsidRPr="00206649">
        <w:rPr>
          <w:rFonts w:ascii="Calibri" w:eastAsia="Times New Roman" w:hAnsi="Calibri" w:cs="Times New Roman"/>
          <w:sz w:val="22"/>
        </w:rPr>
        <w:t xml:space="preserve"> (</w:t>
      </w:r>
      <w:r w:rsidR="00943ADC" w:rsidRPr="00206649">
        <w:rPr>
          <w:rFonts w:ascii="Calibri" w:eastAsia="Times New Roman" w:hAnsi="Calibri" w:cs="Times New Roman"/>
          <w:sz w:val="22"/>
        </w:rPr>
        <w:t>Figure 1 in the supplementary material</w:t>
      </w:r>
      <w:r w:rsidR="007B3AF3" w:rsidRPr="00206649">
        <w:rPr>
          <w:rFonts w:ascii="Calibri" w:eastAsia="Times New Roman" w:hAnsi="Calibri" w:cs="Times New Roman"/>
          <w:sz w:val="22"/>
        </w:rPr>
        <w:t>)</w:t>
      </w:r>
      <w:r w:rsidRPr="00206649">
        <w:rPr>
          <w:rFonts w:ascii="Calibri" w:eastAsia="Times New Roman" w:hAnsi="Calibri" w:cs="Times New Roman"/>
          <w:sz w:val="22"/>
        </w:rPr>
        <w:t xml:space="preserve"> and just few studies have focused on</w:t>
      </w:r>
      <w:r w:rsidR="00443D53" w:rsidRPr="00206649">
        <w:rPr>
          <w:rFonts w:ascii="Calibri" w:eastAsia="Times New Roman" w:hAnsi="Calibri" w:cs="Times New Roman"/>
          <w:sz w:val="22"/>
        </w:rPr>
        <w:t xml:space="preserve"> suicide mortality</w:t>
      </w:r>
      <w:r w:rsidRPr="00206649">
        <w:rPr>
          <w:rFonts w:ascii="Calibri" w:eastAsia="Times New Roman" w:hAnsi="Calibri" w:cs="Times New Roman"/>
          <w:sz w:val="22"/>
        </w:rPr>
        <w:t xml:space="preserve">. Although, among males, higher mortality of accidents and homicides mostly explain mortality trends recently, suicide is a cause of death that should receive more attention. Therefore, </w:t>
      </w:r>
      <w:r w:rsidR="00443D53" w:rsidRPr="00206649">
        <w:rPr>
          <w:rFonts w:ascii="Calibri" w:eastAsia="Times New Roman" w:hAnsi="Calibri" w:cs="Times New Roman"/>
          <w:sz w:val="22"/>
        </w:rPr>
        <w:t xml:space="preserve">we followed her suggestion and included suicide in the set of causes that we look independently within our concept of Avoidable/Amenable mortality. We found the </w:t>
      </w:r>
      <w:r w:rsidR="00392BF2" w:rsidRPr="00206649">
        <w:rPr>
          <w:rFonts w:ascii="Calibri" w:eastAsia="Times New Roman" w:hAnsi="Calibri" w:cs="Times New Roman"/>
          <w:sz w:val="22"/>
        </w:rPr>
        <w:t xml:space="preserve">following </w:t>
      </w:r>
      <w:r w:rsidR="00443D53" w:rsidRPr="00206649">
        <w:rPr>
          <w:rFonts w:ascii="Calibri" w:eastAsia="Times New Roman" w:hAnsi="Calibri" w:cs="Times New Roman"/>
          <w:sz w:val="22"/>
        </w:rPr>
        <w:t>results:</w:t>
      </w:r>
    </w:p>
    <w:p w14:paraId="1D15C67C" w14:textId="61A74186" w:rsidR="00A4606F" w:rsidRPr="00206649" w:rsidRDefault="00A4606F" w:rsidP="007157AD">
      <w:pPr>
        <w:jc w:val="both"/>
        <w:rPr>
          <w:rFonts w:ascii="Calibri" w:eastAsia="Times New Roman" w:hAnsi="Calibri" w:cs="Times New Roman"/>
          <w:sz w:val="22"/>
        </w:rPr>
      </w:pPr>
    </w:p>
    <w:p w14:paraId="6889940F" w14:textId="252A5C38" w:rsidR="00A4606F" w:rsidRPr="00206649" w:rsidRDefault="00A4606F" w:rsidP="007157AD">
      <w:pPr>
        <w:jc w:val="both"/>
        <w:rPr>
          <w:rFonts w:ascii="Calibri" w:eastAsia="Times New Roman" w:hAnsi="Calibri" w:cs="Times New Roman"/>
          <w:sz w:val="22"/>
        </w:rPr>
      </w:pPr>
      <w:r w:rsidRPr="00206649">
        <w:rPr>
          <w:rFonts w:ascii="Calibri" w:eastAsia="Times New Roman" w:hAnsi="Calibri" w:cs="Times New Roman"/>
          <w:sz w:val="22"/>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w:t>
      </w:r>
      <w:r w:rsidR="000E5E52" w:rsidRPr="00206649">
        <w:rPr>
          <w:rFonts w:ascii="Calibri" w:eastAsia="Times New Roman" w:hAnsi="Calibri" w:cs="Times New Roman"/>
          <w:sz w:val="22"/>
        </w:rPr>
        <w:t>even though</w:t>
      </w:r>
      <w:r w:rsidRPr="00206649">
        <w:rPr>
          <w:rFonts w:ascii="Calibri" w:eastAsia="Times New Roman" w:hAnsi="Calibri" w:cs="Times New Roman"/>
          <w:sz w:val="22"/>
        </w:rPr>
        <w:t xml:space="preserve"> has increased over the years (</w:t>
      </w:r>
      <w:r w:rsidR="00DE712A" w:rsidRPr="00206649">
        <w:rPr>
          <w:rFonts w:ascii="Calibri" w:eastAsia="Times New Roman" w:hAnsi="Calibri" w:cs="Times New Roman"/>
          <w:sz w:val="22"/>
        </w:rPr>
        <w:t xml:space="preserve">more than </w:t>
      </w:r>
      <w:r w:rsidRPr="00206649">
        <w:rPr>
          <w:rFonts w:ascii="Calibri" w:eastAsia="Times New Roman" w:hAnsi="Calibri" w:cs="Times New Roman"/>
          <w:sz w:val="22"/>
        </w:rPr>
        <w:t>6,000 deaths</w:t>
      </w:r>
      <w:r w:rsidR="00DE712A" w:rsidRPr="00206649">
        <w:rPr>
          <w:rFonts w:ascii="Calibri" w:eastAsia="Times New Roman" w:hAnsi="Calibri" w:cs="Times New Roman"/>
          <w:sz w:val="22"/>
        </w:rPr>
        <w:t xml:space="preserve"> in 2015</w:t>
      </w:r>
      <w:r w:rsidRPr="00206649">
        <w:rPr>
          <w:rFonts w:ascii="Calibri" w:eastAsia="Times New Roman" w:hAnsi="Calibri" w:cs="Times New Roman"/>
          <w:sz w:val="22"/>
        </w:rPr>
        <w:t>)</w:t>
      </w:r>
      <w:r w:rsidR="000E5E52" w:rsidRPr="00206649">
        <w:rPr>
          <w:rFonts w:ascii="Calibri" w:eastAsia="Times New Roman" w:hAnsi="Calibri" w:cs="Times New Roman"/>
          <w:sz w:val="22"/>
        </w:rPr>
        <w:t xml:space="preserve">, is below three months in </w:t>
      </w:r>
      <w:r w:rsidR="00373794" w:rsidRPr="00206649">
        <w:rPr>
          <w:rFonts w:ascii="Calibri" w:eastAsia="Times New Roman" w:hAnsi="Calibri" w:cs="Times New Roman"/>
          <w:sz w:val="22"/>
        </w:rPr>
        <w:t xml:space="preserve">almost every state in the three </w:t>
      </w:r>
      <w:r w:rsidR="000E5E52" w:rsidRPr="00206649">
        <w:rPr>
          <w:rFonts w:ascii="Calibri" w:eastAsia="Times New Roman" w:hAnsi="Calibri" w:cs="Times New Roman"/>
          <w:sz w:val="22"/>
        </w:rPr>
        <w:t>age group</w:t>
      </w:r>
      <w:r w:rsidR="00373794" w:rsidRPr="00206649">
        <w:rPr>
          <w:rFonts w:ascii="Calibri" w:eastAsia="Times New Roman" w:hAnsi="Calibri" w:cs="Times New Roman"/>
          <w:sz w:val="22"/>
        </w:rPr>
        <w:t>s</w:t>
      </w:r>
      <w:r w:rsidR="000E5E52" w:rsidRPr="00206649">
        <w:rPr>
          <w:rFonts w:ascii="Calibri" w:eastAsia="Times New Roman" w:hAnsi="Calibri" w:cs="Times New Roman"/>
          <w:sz w:val="22"/>
        </w:rPr>
        <w:t xml:space="preserve"> for males.</w:t>
      </w:r>
      <w:r w:rsidR="00DE712A" w:rsidRPr="00206649">
        <w:rPr>
          <w:rFonts w:ascii="Calibri" w:eastAsia="Times New Roman" w:hAnsi="Calibri" w:cs="Times New Roman"/>
          <w:sz w:val="22"/>
        </w:rPr>
        <w:t xml:space="preserve">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w:t>
      </w:r>
      <w:r w:rsidR="00373794" w:rsidRPr="00206649">
        <w:rPr>
          <w:rFonts w:ascii="Calibri" w:eastAsia="Times New Roman" w:hAnsi="Calibri" w:cs="Times New Roman"/>
          <w:sz w:val="22"/>
        </w:rPr>
        <w:t xml:space="preserve">However, particularly in states in the South, they do explain around one quarter of year with the benchmark. </w:t>
      </w:r>
      <w:r w:rsidR="00DE712A" w:rsidRPr="00206649">
        <w:rPr>
          <w:rFonts w:ascii="Calibri" w:eastAsia="Times New Roman" w:hAnsi="Calibri" w:cs="Times New Roman"/>
          <w:sz w:val="22"/>
        </w:rPr>
        <w:t xml:space="preserve">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14:paraId="39D8E722" w14:textId="6C937DFA" w:rsidR="00443D53" w:rsidRPr="00206649" w:rsidRDefault="00443D53" w:rsidP="007157AD">
      <w:pPr>
        <w:jc w:val="both"/>
        <w:rPr>
          <w:rFonts w:ascii="Calibri" w:eastAsia="Times New Roman" w:hAnsi="Calibri" w:cs="Times New Roman"/>
          <w:sz w:val="22"/>
        </w:rPr>
      </w:pPr>
    </w:p>
    <w:p w14:paraId="7154CE56" w14:textId="208130CF" w:rsidR="00443D53" w:rsidRPr="00206649" w:rsidRDefault="00443D53" w:rsidP="007157AD">
      <w:pPr>
        <w:jc w:val="both"/>
        <w:rPr>
          <w:rFonts w:ascii="Calibri" w:eastAsia="Times New Roman" w:hAnsi="Calibri" w:cs="Times New Roman"/>
          <w:sz w:val="22"/>
        </w:rPr>
      </w:pPr>
      <w:r w:rsidRPr="00206649">
        <w:rPr>
          <w:rFonts w:ascii="Calibri" w:eastAsia="Times New Roman" w:hAnsi="Calibri" w:cs="Times New Roman"/>
          <w:sz w:val="22"/>
        </w:rPr>
        <w:t>We did the next changes to the manuscript:</w:t>
      </w:r>
    </w:p>
    <w:p w14:paraId="173A3C29" w14:textId="0A299732" w:rsidR="00443D53" w:rsidRPr="00206649" w:rsidRDefault="00F30A06"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section of Data sources &amp; Methods we included suicide in the classification of causes of death:</w:t>
      </w:r>
    </w:p>
    <w:p w14:paraId="153AAD70" w14:textId="2C93069B" w:rsidR="00DE712A" w:rsidRPr="00206649" w:rsidRDefault="00F30A06" w:rsidP="007157AD">
      <w:pPr>
        <w:pStyle w:val="ListParagraph"/>
        <w:jc w:val="both"/>
        <w:rPr>
          <w:rFonts w:ascii="Calibri" w:eastAsia="Times New Roman" w:hAnsi="Calibri" w:cs="Times New Roman"/>
          <w:i/>
          <w:lang w:val="en-US"/>
        </w:rPr>
      </w:pPr>
      <w:r w:rsidRPr="00206649">
        <w:rPr>
          <w:rFonts w:ascii="Calibri" w:eastAsia="Times New Roman" w:hAnsi="Calibri" w:cs="Times New Roman"/>
          <w:i/>
          <w:lang w:val="en-US"/>
        </w:rPr>
        <w:t>“…Likewise, we separate homicide, suicide and road traffic accidents because they have emerged as leading causes of death among young people, and the first one recently had a sizeable impact on life expectancy in Mexico.”</w:t>
      </w:r>
    </w:p>
    <w:p w14:paraId="67BB0F80" w14:textId="1AB565DC" w:rsidR="00901BB2" w:rsidRPr="00206649" w:rsidRDefault="00A30F1E" w:rsidP="00901BB2">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 xml:space="preserve">In the discussion </w:t>
      </w:r>
      <w:r w:rsidR="00B5210A" w:rsidRPr="00206649">
        <w:rPr>
          <w:rFonts w:ascii="Calibri" w:eastAsia="Times New Roman" w:hAnsi="Calibri" w:cs="Times New Roman"/>
        </w:rPr>
        <w:t>section,</w:t>
      </w:r>
      <w:r w:rsidRPr="00206649">
        <w:rPr>
          <w:rFonts w:ascii="Calibri" w:eastAsia="Times New Roman" w:hAnsi="Calibri" w:cs="Times New Roman"/>
        </w:rPr>
        <w:t xml:space="preserve"> we added the next sentences and references:</w:t>
      </w:r>
    </w:p>
    <w:p w14:paraId="3D2DA50C" w14:textId="7C8B9394" w:rsidR="00901BB2" w:rsidRPr="00206649" w:rsidRDefault="00901BB2" w:rsidP="00901BB2">
      <w:pPr>
        <w:pStyle w:val="ListParagraph"/>
        <w:jc w:val="both"/>
        <w:rPr>
          <w:rFonts w:ascii="Calibri" w:eastAsia="Times New Roman" w:hAnsi="Calibri" w:cs="Times New Roman"/>
          <w:i/>
        </w:rPr>
      </w:pPr>
      <w:r w:rsidRPr="00206649">
        <w:rPr>
          <w:rFonts w:ascii="Calibri" w:eastAsia="Times New Roman" w:hAnsi="Calibri" w:cs="Times New Roman"/>
          <w:i/>
        </w:rPr>
        <w:lastRenderedPageBreak/>
        <w:t xml:space="preserve">“… </w:t>
      </w:r>
      <w:r w:rsidR="00F52BFE" w:rsidRPr="00206649">
        <w:rPr>
          <w:rFonts w:ascii="Calibri" w:eastAsia="Times New Roman" w:hAnsi="Calibri" w:cs="Times New Roman"/>
          <w:i/>
        </w:rPr>
        <w:t>t</w:t>
      </w:r>
      <w:r w:rsidRPr="00206649">
        <w:rPr>
          <w:rFonts w:ascii="Calibri" w:eastAsia="Times New Roman" w:hAnsi="Calibri" w:cs="Times New Roman"/>
          <w:i/>
        </w:rPr>
        <w:t>he exposure that people have had to violence has triggered mental health problems, e.g. population perceived vulnerability (Canudas-Romo et al. 2016). At the same time suicide is strongly linked to mental disorders (</w:t>
      </w:r>
      <w:r w:rsidRPr="00206649">
        <w:rPr>
          <w:rFonts w:ascii="Arial" w:hAnsi="Arial" w:cs="Arial"/>
          <w:color w:val="222222"/>
          <w:shd w:val="clear" w:color="auto" w:fill="FFFFFF"/>
        </w:rPr>
        <w:t>Zalsman</w:t>
      </w:r>
      <w:bookmarkStart w:id="2" w:name="_GoBack"/>
      <w:bookmarkEnd w:id="2"/>
      <w:r w:rsidRPr="00206649">
        <w:rPr>
          <w:rFonts w:ascii="Calibri" w:eastAsia="Times New Roman" w:hAnsi="Calibri" w:cs="Times New Roman"/>
          <w:i/>
        </w:rPr>
        <w:t xml:space="preserve"> et al 2016). Thus, if the Mexican health system does not have proper interventions to handle the mental health needs of the population, an increase in suicides might be observed in the future.”</w:t>
      </w:r>
    </w:p>
    <w:p w14:paraId="621B58DE" w14:textId="2FAD6804" w:rsidR="00901BB2" w:rsidRPr="00206649" w:rsidRDefault="00901BB2" w:rsidP="00901BB2">
      <w:pPr>
        <w:pStyle w:val="ListParagraph"/>
        <w:jc w:val="both"/>
        <w:rPr>
          <w:rFonts w:ascii="Calibri" w:eastAsia="Times New Roman" w:hAnsi="Calibri" w:cs="Times New Roman"/>
          <w:i/>
        </w:rPr>
      </w:pPr>
    </w:p>
    <w:p w14:paraId="38D4F240" w14:textId="2D0EAF19" w:rsidR="00901BB2" w:rsidRPr="00206649" w:rsidRDefault="00901BB2" w:rsidP="00B5210A">
      <w:pPr>
        <w:pStyle w:val="ListParagraph"/>
        <w:jc w:val="both"/>
        <w:rPr>
          <w:rFonts w:ascii="Calibri" w:eastAsia="Times New Roman" w:hAnsi="Calibri" w:cs="Times New Roman"/>
          <w:i/>
        </w:rPr>
      </w:pPr>
      <w:r w:rsidRPr="00206649">
        <w:rPr>
          <w:rFonts w:ascii="Calibri" w:eastAsia="Times New Roman" w:hAnsi="Calibri" w:cs="Times New Roman"/>
          <w:i/>
        </w:rPr>
        <w:t>R</w:t>
      </w:r>
      <w:r w:rsidR="00B5210A" w:rsidRPr="00206649">
        <w:rPr>
          <w:rFonts w:ascii="Calibri" w:eastAsia="Times New Roman" w:hAnsi="Calibri" w:cs="Times New Roman"/>
          <w:i/>
        </w:rPr>
        <w:t>eferences</w:t>
      </w:r>
    </w:p>
    <w:p w14:paraId="2760143F" w14:textId="77777777" w:rsidR="00B5210A" w:rsidRPr="00206649" w:rsidRDefault="00B5210A" w:rsidP="00B5210A">
      <w:pPr>
        <w:pStyle w:val="ListParagraph"/>
        <w:jc w:val="both"/>
        <w:rPr>
          <w:rFonts w:ascii="Calibri" w:eastAsia="Times New Roman" w:hAnsi="Calibri" w:cs="Times New Roman"/>
          <w:i/>
        </w:rPr>
      </w:pPr>
    </w:p>
    <w:p w14:paraId="14924DE0" w14:textId="75D0DCA0" w:rsidR="00901BB2" w:rsidRPr="00206649" w:rsidRDefault="00901BB2" w:rsidP="00901BB2">
      <w:pPr>
        <w:pStyle w:val="ListParagraph"/>
        <w:jc w:val="both"/>
        <w:rPr>
          <w:rFonts w:ascii="Calibri" w:eastAsia="Times New Roman" w:hAnsi="Calibri" w:cs="Times New Roman"/>
        </w:rPr>
      </w:pPr>
      <w:r w:rsidRPr="00206649">
        <w:rPr>
          <w:rFonts w:ascii="Calibri" w:eastAsia="Times New Roman" w:hAnsi="Calibri" w:cs="Times New Roman"/>
        </w:rPr>
        <w:t>Zalsman, G., Hawton, K., Wasserman, D., van Heeringen, K., Arensman, E., Sarchiapone, M., ... &amp; Purebl, G. (2016). Suicide prevention strategies revisited: 10-year systematic review. The Lancet Psychiatry, 3(7), 646-659.</w:t>
      </w:r>
    </w:p>
    <w:p w14:paraId="68ACE5A7" w14:textId="2016DADF" w:rsidR="00901BB2" w:rsidRPr="00206649" w:rsidRDefault="00901BB2" w:rsidP="00901BB2">
      <w:pPr>
        <w:pStyle w:val="ListParagraph"/>
        <w:jc w:val="both"/>
        <w:rPr>
          <w:rFonts w:ascii="Calibri" w:eastAsia="Times New Roman" w:hAnsi="Calibri" w:cs="Times New Roman"/>
        </w:rPr>
      </w:pPr>
    </w:p>
    <w:p w14:paraId="27D75F53" w14:textId="616D9397" w:rsidR="00901BB2" w:rsidRPr="00206649" w:rsidRDefault="00901BB2" w:rsidP="00901BB2">
      <w:pPr>
        <w:pStyle w:val="ListParagraph"/>
        <w:jc w:val="both"/>
        <w:rPr>
          <w:rFonts w:ascii="Calibri" w:eastAsia="Times New Roman" w:hAnsi="Calibri" w:cs="Times New Roman"/>
        </w:rPr>
      </w:pPr>
      <w:r w:rsidRPr="00206649">
        <w:rPr>
          <w:rFonts w:ascii="Calibri" w:eastAsia="Times New Roman" w:hAnsi="Calibri" w:cs="Times New Roman"/>
        </w:rPr>
        <w:t>Canudas-Romo, V., Aburto, J. M., García-Guerrero, V. M., &amp; Beltrán-Sánchez, H. (2016). Mexico's epidemic of violence and its public health significance on average length of life. J Epidemiol Community Health, jech-2015.</w:t>
      </w:r>
    </w:p>
    <w:p w14:paraId="5E1B2235" w14:textId="77777777" w:rsidR="00901BB2" w:rsidRPr="00206649" w:rsidRDefault="00901BB2" w:rsidP="00901BB2">
      <w:pPr>
        <w:pStyle w:val="ListParagraph"/>
        <w:jc w:val="both"/>
        <w:rPr>
          <w:rFonts w:ascii="Calibri" w:eastAsia="Times New Roman" w:hAnsi="Calibri" w:cs="Times New Roman"/>
        </w:rPr>
      </w:pPr>
    </w:p>
    <w:p w14:paraId="41CDCCE5" w14:textId="2FA10515" w:rsidR="00901BB2" w:rsidRPr="00206649" w:rsidRDefault="00901BB2" w:rsidP="00901BB2">
      <w:pPr>
        <w:pStyle w:val="ListParagraph"/>
        <w:jc w:val="both"/>
        <w:rPr>
          <w:rFonts w:ascii="Calibri" w:eastAsia="Times New Roman" w:hAnsi="Calibri" w:cs="Times New Roman"/>
        </w:rPr>
      </w:pPr>
    </w:p>
    <w:p w14:paraId="4DD91A99" w14:textId="2B3B7BE0" w:rsidR="007D7943" w:rsidRPr="00206649" w:rsidRDefault="007D7943"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supplementary file, we included a subcategory with ICD 9 (E950-E959) and 10 (U03, X60-X84, Y87.0) codes for suicide and self-inflicted injuries.</w:t>
      </w:r>
    </w:p>
    <w:p w14:paraId="2C36BE0B" w14:textId="456E0D52" w:rsidR="00DE712A" w:rsidRPr="00206649" w:rsidRDefault="00DE712A"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supplementary file, we included a short description and the results described here.</w:t>
      </w:r>
    </w:p>
    <w:p w14:paraId="2A01EF10" w14:textId="211D9CD0" w:rsidR="00A30F1E" w:rsidRPr="00206649" w:rsidRDefault="00A30F1E" w:rsidP="00A30F1E">
      <w:pPr>
        <w:jc w:val="both"/>
        <w:rPr>
          <w:rFonts w:ascii="Calibri" w:eastAsia="Times New Roman" w:hAnsi="Calibri" w:cs="Times New Roman"/>
          <w:sz w:val="22"/>
        </w:rPr>
      </w:pPr>
    </w:p>
    <w:p w14:paraId="0815989B" w14:textId="4EF59EA8" w:rsidR="00A30F1E" w:rsidRPr="00206649" w:rsidRDefault="00A30F1E" w:rsidP="00A30F1E">
      <w:pPr>
        <w:jc w:val="both"/>
        <w:rPr>
          <w:rFonts w:ascii="Calibri" w:eastAsia="Times New Roman" w:hAnsi="Calibri" w:cs="Times New Roman"/>
          <w:sz w:val="22"/>
        </w:rPr>
      </w:pPr>
    </w:p>
    <w:p w14:paraId="3FD46C45" w14:textId="77777777" w:rsidR="00A30F1E" w:rsidRPr="00A30F1E" w:rsidRDefault="00A30F1E" w:rsidP="00A30F1E">
      <w:pPr>
        <w:jc w:val="both"/>
        <w:rPr>
          <w:rFonts w:ascii="Calibri" w:eastAsia="Times New Roman" w:hAnsi="Calibri" w:cs="Times New Roman"/>
          <w:szCs w:val="21"/>
        </w:rPr>
      </w:pPr>
    </w:p>
    <w:p w14:paraId="73F3D906" w14:textId="77777777" w:rsidR="00F860E0" w:rsidRPr="00A30F1E" w:rsidRDefault="00F860E0" w:rsidP="00A30F1E">
      <w:pPr>
        <w:ind w:left="360"/>
        <w:jc w:val="both"/>
        <w:rPr>
          <w:rFonts w:ascii="Calibri" w:eastAsia="Times New Roman" w:hAnsi="Calibri" w:cs="Times New Roman"/>
          <w:szCs w:val="21"/>
        </w:rPr>
      </w:pPr>
    </w:p>
    <w:p w14:paraId="53C5CD08" w14:textId="77777777" w:rsidR="00111BEE" w:rsidRDefault="000E5E52" w:rsidP="00733702">
      <w:pPr>
        <w:jc w:val="both"/>
        <w:rPr>
          <w:rFonts w:ascii="Calibri" w:eastAsia="Times New Roman" w:hAnsi="Calibri" w:cs="Times New Roman"/>
          <w:sz w:val="22"/>
          <w:szCs w:val="21"/>
        </w:rPr>
      </w:pPr>
      <w:r>
        <w:rPr>
          <w:noProof/>
        </w:rPr>
        <w:lastRenderedPageBreak/>
        <mc:AlternateContent>
          <mc:Choice Requires="wps">
            <w:drawing>
              <wp:anchor distT="0" distB="0" distL="114300" distR="114300" simplePos="0" relativeHeight="251660288" behindDoc="1" locked="0" layoutInCell="1" allowOverlap="1" wp14:anchorId="6FE6CBEB" wp14:editId="2544F745">
                <wp:simplePos x="0" y="0"/>
                <wp:positionH relativeFrom="column">
                  <wp:posOffset>0</wp:posOffset>
                </wp:positionH>
                <wp:positionV relativeFrom="paragraph">
                  <wp:posOffset>-272269</wp:posOffset>
                </wp:positionV>
                <wp:extent cx="5943600" cy="635"/>
                <wp:effectExtent l="0" t="0" r="0" b="18415"/>
                <wp:wrapTight wrapText="bothSides">
                  <wp:wrapPolygon edited="0">
                    <wp:start x="0" y="0"/>
                    <wp:lineTo x="0" y="0"/>
                    <wp:lineTo x="21531" y="0"/>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E6CBEB" id="_x0000_t202" coordsize="21600,21600" o:spt="202" path="m,l,21600r21600,l21600,xe">
                <v:stroke joinstyle="miter"/>
                <v:path gradientshapeok="t" o:connecttype="rect"/>
              </v:shapetype>
              <v:shape id="Text Box 2" o:spid="_x0000_s1026" type="#_x0000_t202" style="position:absolute;left:0;text-align:left;margin-left:0;margin-top:-21.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" stroked="f">
                <v:textbox style="mso-fit-shape-to-text:t" inset="0,0,0,0">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v:textbox>
                <w10:wrap type="tight"/>
              </v:shape>
            </w:pict>
          </mc:Fallback>
        </mc:AlternateContent>
      </w:r>
      <w:r>
        <w:rPr>
          <w:noProof/>
        </w:rPr>
        <w:drawing>
          <wp:anchor distT="0" distB="0" distL="114300" distR="114300" simplePos="0" relativeHeight="251658240" behindDoc="1" locked="0" layoutInCell="1" allowOverlap="1" wp14:anchorId="3E888461" wp14:editId="62EB30DA">
            <wp:simplePos x="0" y="0"/>
            <wp:positionH relativeFrom="column">
              <wp:posOffset>0</wp:posOffset>
            </wp:positionH>
            <wp:positionV relativeFrom="paragraph">
              <wp:posOffset>0</wp:posOffset>
            </wp:positionV>
            <wp:extent cx="5943600" cy="5227320"/>
            <wp:effectExtent l="0" t="0" r="0" b="0"/>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7320"/>
                    </a:xfrm>
                    <a:prstGeom prst="rect">
                      <a:avLst/>
                    </a:prstGeom>
                  </pic:spPr>
                </pic:pic>
              </a:graphicData>
            </a:graphic>
            <wp14:sizeRelH relativeFrom="page">
              <wp14:pctWidth>0</wp14:pctWidth>
            </wp14:sizeRelH>
            <wp14:sizeRelV relativeFrom="page">
              <wp14:pctHeight>0</wp14:pctHeight>
            </wp14:sizeRelV>
          </wp:anchor>
        </w:drawing>
      </w:r>
    </w:p>
    <w:p w14:paraId="4828713F" w14:textId="77777777" w:rsidR="00111BEE" w:rsidRDefault="00111BEE" w:rsidP="00733702">
      <w:pPr>
        <w:jc w:val="both"/>
        <w:rPr>
          <w:rFonts w:ascii="Calibri" w:eastAsia="Times New Roman" w:hAnsi="Calibri" w:cs="Times New Roman"/>
          <w:sz w:val="22"/>
          <w:szCs w:val="21"/>
        </w:rPr>
      </w:pPr>
    </w:p>
    <w:p w14:paraId="3F604F74" w14:textId="01B0A00A" w:rsidR="009978F2" w:rsidRDefault="00111BEE" w:rsidP="00CB3AF7">
      <w:pPr>
        <w:rPr>
          <w:rFonts w:ascii="Calibri" w:eastAsia="Times New Roman" w:hAnsi="Calibri" w:cs="Times New Roman"/>
          <w:sz w:val="22"/>
          <w:szCs w:val="21"/>
        </w:rPr>
      </w:pPr>
      <w:r>
        <w:rPr>
          <w:rFonts w:ascii="Calibri" w:eastAsia="Times New Roman" w:hAnsi="Calibri"/>
          <w:sz w:val="22"/>
          <w:szCs w:val="21"/>
        </w:rPr>
        <w:fldChar w:fldCharType="begin"/>
      </w:r>
      <w:r>
        <w:rPr>
          <w:rFonts w:ascii="Calibri" w:eastAsia="Times New Roman" w:hAnsi="Calibri"/>
          <w:sz w:val="22"/>
          <w:szCs w:val="21"/>
        </w:rPr>
        <w:instrText xml:space="preserve"> ADDIN EN.REFLIST </w:instrText>
      </w:r>
      <w:r>
        <w:rPr>
          <w:rFonts w:ascii="Calibri" w:eastAsia="Times New Roman" w:hAnsi="Calibri"/>
          <w:sz w:val="22"/>
          <w:szCs w:val="21"/>
        </w:rPr>
        <w:fldChar w:fldCharType="end"/>
      </w:r>
    </w:p>
    <w:sectPr w:rsidR="009978F2" w:rsidSect="00BD3FF6">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8-05-04T15:41:00Z" w:initials="JMA">
    <w:p w14:paraId="6D8E851A" w14:textId="0BFDC74D" w:rsidR="00911D8D" w:rsidRDefault="00911D8D">
      <w:pPr>
        <w:pStyle w:val="CommentText"/>
      </w:pPr>
      <w:r>
        <w:rPr>
          <w:rStyle w:val="CommentReference"/>
        </w:rPr>
        <w:annotationRef/>
      </w:r>
      <w:r>
        <w:t>I sent the technicalities to the appendix. Let me know if you agree or if you still think is too much.</w:t>
      </w:r>
    </w:p>
  </w:comment>
  <w:comment w:id="1" w:author="José Manuel Aburto" w:date="2018-05-02T16:54:00Z" w:initials="JMA">
    <w:p w14:paraId="67F4A03F" w14:textId="5BBA4461" w:rsidR="00C16129" w:rsidRDefault="00C16129">
      <w:pPr>
        <w:pStyle w:val="CommentText"/>
      </w:pPr>
      <w:r>
        <w:rPr>
          <w:rStyle w:val="CommentReference"/>
        </w:rPr>
        <w:annotationRef/>
      </w:r>
      <w:r w:rsidR="0093509C">
        <w:t>Tim?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8E851A" w15:done="0"/>
  <w15:commentEx w15:paraId="67F4A03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EE815" w14:textId="77777777" w:rsidR="00C56B9B" w:rsidRDefault="00C56B9B" w:rsidP="00111E2D">
      <w:r>
        <w:separator/>
      </w:r>
    </w:p>
  </w:endnote>
  <w:endnote w:type="continuationSeparator" w:id="0">
    <w:p w14:paraId="49EAF9D2" w14:textId="77777777" w:rsidR="00C56B9B" w:rsidRDefault="00C56B9B"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6FF32376" w:rsidR="00FD693E" w:rsidRDefault="00FD693E">
        <w:pPr>
          <w:pStyle w:val="Footer"/>
          <w:jc w:val="right"/>
        </w:pPr>
        <w:r>
          <w:fldChar w:fldCharType="begin"/>
        </w:r>
        <w:r>
          <w:instrText xml:space="preserve"> PAGE   \* MERGEFORMAT </w:instrText>
        </w:r>
        <w:r>
          <w:fldChar w:fldCharType="separate"/>
        </w:r>
        <w:r w:rsidR="00C55847">
          <w:rPr>
            <w:noProof/>
          </w:rPr>
          <w:t>8</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529E6" w14:textId="77777777" w:rsidR="00C56B9B" w:rsidRDefault="00C56B9B" w:rsidP="00111E2D">
      <w:r>
        <w:separator/>
      </w:r>
    </w:p>
  </w:footnote>
  <w:footnote w:type="continuationSeparator" w:id="0">
    <w:p w14:paraId="033662DA" w14:textId="77777777" w:rsidR="00C56B9B" w:rsidRDefault="00C56B9B"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9"/>
  </w:num>
  <w:num w:numId="6">
    <w:abstractNumId w:val="5"/>
  </w:num>
  <w:num w:numId="7">
    <w:abstractNumId w:val="1"/>
  </w:num>
  <w:num w:numId="8">
    <w:abstractNumId w:val="10"/>
  </w:num>
  <w:num w:numId="9">
    <w:abstractNumId w:val="2"/>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rptdvw2z50v6eazt65rd5ztfwzpewt2at9&quot;&gt;BMJ_REF&lt;record-ids&gt;&lt;item&gt;14&lt;/item&gt;&lt;/record-ids&gt;&lt;/item&gt;&lt;/Libraries&gt;"/>
  </w:docVars>
  <w:rsids>
    <w:rsidRoot w:val="00012759"/>
    <w:rsid w:val="00000839"/>
    <w:rsid w:val="0000216D"/>
    <w:rsid w:val="00003AD7"/>
    <w:rsid w:val="00010A79"/>
    <w:rsid w:val="00011C47"/>
    <w:rsid w:val="00012759"/>
    <w:rsid w:val="000139CC"/>
    <w:rsid w:val="00020304"/>
    <w:rsid w:val="000212D5"/>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4FDF"/>
    <w:rsid w:val="00086932"/>
    <w:rsid w:val="00087166"/>
    <w:rsid w:val="000913A9"/>
    <w:rsid w:val="00094A34"/>
    <w:rsid w:val="00095E10"/>
    <w:rsid w:val="000A0030"/>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BEE"/>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D5C"/>
    <w:rsid w:val="001E5F1D"/>
    <w:rsid w:val="001E62FD"/>
    <w:rsid w:val="001F142D"/>
    <w:rsid w:val="001F1887"/>
    <w:rsid w:val="001F79E5"/>
    <w:rsid w:val="00200DA9"/>
    <w:rsid w:val="00201071"/>
    <w:rsid w:val="002010C1"/>
    <w:rsid w:val="0020160C"/>
    <w:rsid w:val="002043D9"/>
    <w:rsid w:val="0020664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0EAE"/>
    <w:rsid w:val="00241FF9"/>
    <w:rsid w:val="00246314"/>
    <w:rsid w:val="002471C7"/>
    <w:rsid w:val="00247FD3"/>
    <w:rsid w:val="002514AC"/>
    <w:rsid w:val="00252356"/>
    <w:rsid w:val="0025242E"/>
    <w:rsid w:val="002562FA"/>
    <w:rsid w:val="00256790"/>
    <w:rsid w:val="00257A24"/>
    <w:rsid w:val="00262879"/>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5498"/>
    <w:rsid w:val="00335F4A"/>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359E6"/>
    <w:rsid w:val="0044264F"/>
    <w:rsid w:val="00442C2A"/>
    <w:rsid w:val="00443D53"/>
    <w:rsid w:val="0044730B"/>
    <w:rsid w:val="0045118A"/>
    <w:rsid w:val="00452E05"/>
    <w:rsid w:val="00453053"/>
    <w:rsid w:val="00453E47"/>
    <w:rsid w:val="00463763"/>
    <w:rsid w:val="004641A8"/>
    <w:rsid w:val="004660E6"/>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2A10"/>
    <w:rsid w:val="004D4184"/>
    <w:rsid w:val="004D71BA"/>
    <w:rsid w:val="004D7A8A"/>
    <w:rsid w:val="004E0DD1"/>
    <w:rsid w:val="004E1410"/>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7185F"/>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4FB2"/>
    <w:rsid w:val="007D611C"/>
    <w:rsid w:val="007D7943"/>
    <w:rsid w:val="007E108B"/>
    <w:rsid w:val="007E13B7"/>
    <w:rsid w:val="007E4275"/>
    <w:rsid w:val="007E573E"/>
    <w:rsid w:val="007E580E"/>
    <w:rsid w:val="007E7040"/>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651B"/>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30747"/>
    <w:rsid w:val="00931BDE"/>
    <w:rsid w:val="00931BE6"/>
    <w:rsid w:val="00932041"/>
    <w:rsid w:val="00933E94"/>
    <w:rsid w:val="0093509C"/>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4F39"/>
    <w:rsid w:val="00B462CA"/>
    <w:rsid w:val="00B46FCA"/>
    <w:rsid w:val="00B47293"/>
    <w:rsid w:val="00B514E2"/>
    <w:rsid w:val="00B5210A"/>
    <w:rsid w:val="00B54E51"/>
    <w:rsid w:val="00B54E98"/>
    <w:rsid w:val="00B55478"/>
    <w:rsid w:val="00B557A1"/>
    <w:rsid w:val="00B560D1"/>
    <w:rsid w:val="00B5648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B5F16"/>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238"/>
    <w:rsid w:val="00C2458F"/>
    <w:rsid w:val="00C258B6"/>
    <w:rsid w:val="00C278C7"/>
    <w:rsid w:val="00C312E0"/>
    <w:rsid w:val="00C342E7"/>
    <w:rsid w:val="00C37D66"/>
    <w:rsid w:val="00C438AA"/>
    <w:rsid w:val="00C438DE"/>
    <w:rsid w:val="00C44EBA"/>
    <w:rsid w:val="00C46A93"/>
    <w:rsid w:val="00C477B5"/>
    <w:rsid w:val="00C5288F"/>
    <w:rsid w:val="00C556C2"/>
    <w:rsid w:val="00C55847"/>
    <w:rsid w:val="00C56541"/>
    <w:rsid w:val="00C56B9B"/>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3AF7"/>
    <w:rsid w:val="00CB457A"/>
    <w:rsid w:val="00CB6D03"/>
    <w:rsid w:val="00CB7727"/>
    <w:rsid w:val="00CC3617"/>
    <w:rsid w:val="00CC4F68"/>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04"/>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D7440"/>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5D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0182EB96-5B78-428A-8BE8-51283FA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obe-statement.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eta.inegi.org.mx/app/tabulados/pxweb/inicio.html?rxid=d518b312-a32e-4d23-a8dd-08a64c187a6c&amp;db=Poblacion&amp;px=poblacion_1" TargetMode="External"/><Relationship Id="rId4" Type="http://schemas.openxmlformats.org/officeDocument/2006/relationships/settings" Target="settings.xml"/><Relationship Id="rId9" Type="http://schemas.openxmlformats.org/officeDocument/2006/relationships/hyperlink" Target="http://apps.who.int/gho/data/node.imr.WHS10_9?lang=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271C-B706-463A-9CDE-8FF2BE54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25</cp:revision>
  <dcterms:created xsi:type="dcterms:W3CDTF">2018-05-03T03:52:00Z</dcterms:created>
  <dcterms:modified xsi:type="dcterms:W3CDTF">2018-05-14T08:37:00Z</dcterms:modified>
</cp:coreProperties>
</file>