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8F58" w14:textId="00048E3F" w:rsidR="00546DC1" w:rsidRDefault="00122450" w:rsidP="00122450">
      <w:pPr>
        <w:pStyle w:val="NoSpacing"/>
        <w:rPr>
          <w:rFonts w:ascii="Courier New" w:hAnsi="Courier New" w:cs="Courier New"/>
          <w:lang w:val="en-US"/>
        </w:rPr>
      </w:pPr>
      <w:r w:rsidRPr="009B58A9">
        <w:rPr>
          <w:rFonts w:ascii="Courier New" w:hAnsi="Courier New" w:cs="Courier New"/>
          <w:b/>
          <w:lang w:val="en-US"/>
        </w:rPr>
        <w:t>Title:</w:t>
      </w:r>
      <w:r w:rsidRPr="009B58A9">
        <w:rPr>
          <w:rFonts w:ascii="Courier New" w:hAnsi="Courier New" w:cs="Courier New"/>
          <w:lang w:val="en-US"/>
        </w:rPr>
        <w:t xml:space="preserve"> </w:t>
      </w:r>
      <w:r w:rsidR="00F23C31" w:rsidRPr="009B58A9">
        <w:rPr>
          <w:rFonts w:ascii="Courier New" w:hAnsi="Courier New" w:cs="Courier New"/>
          <w:lang w:val="en-US"/>
        </w:rPr>
        <w:t xml:space="preserve">The contribution of </w:t>
      </w:r>
      <w:r w:rsidRPr="009B58A9">
        <w:rPr>
          <w:rFonts w:ascii="Courier New" w:hAnsi="Courier New" w:cs="Courier New"/>
          <w:lang w:val="en-US"/>
        </w:rPr>
        <w:t>violenc</w:t>
      </w:r>
      <w:r w:rsidR="00F23C31" w:rsidRPr="009B58A9">
        <w:rPr>
          <w:rFonts w:ascii="Courier New" w:hAnsi="Courier New" w:cs="Courier New"/>
          <w:lang w:val="en-US"/>
        </w:rPr>
        <w:t>e to life uncertainty on a global scale</w:t>
      </w:r>
    </w:p>
    <w:p w14:paraId="49D1C633" w14:textId="77777777" w:rsidR="00391B82" w:rsidRPr="009B58A9" w:rsidRDefault="00391B82" w:rsidP="00122450">
      <w:pPr>
        <w:pStyle w:val="NoSpacing"/>
        <w:rPr>
          <w:rFonts w:ascii="Courier New" w:hAnsi="Courier New" w:cs="Courier New"/>
          <w:lang w:val="en-US"/>
        </w:rPr>
      </w:pPr>
    </w:p>
    <w:p w14:paraId="7C3BFEC1" w14:textId="77777777" w:rsidR="00122450" w:rsidRPr="009B58A9" w:rsidRDefault="00122450" w:rsidP="00122450">
      <w:pPr>
        <w:pStyle w:val="NoSpacing"/>
        <w:rPr>
          <w:rFonts w:ascii="Courier New" w:hAnsi="Courier New" w:cs="Courier New"/>
          <w:b/>
          <w:lang w:val="en-US"/>
        </w:rPr>
      </w:pPr>
      <w:r w:rsidRPr="009B58A9">
        <w:rPr>
          <w:rFonts w:ascii="Courier New" w:hAnsi="Courier New" w:cs="Courier New"/>
          <w:b/>
          <w:lang w:val="en-US"/>
        </w:rPr>
        <w:t>Authors:</w:t>
      </w:r>
    </w:p>
    <w:p w14:paraId="24A91F83" w14:textId="7387B142" w:rsidR="00122450" w:rsidRPr="009B58A9" w:rsidRDefault="00122450" w:rsidP="00122450">
      <w:pPr>
        <w:pStyle w:val="NoSpacing"/>
        <w:rPr>
          <w:rFonts w:ascii="Courier New" w:hAnsi="Courier New" w:cs="Courier New"/>
          <w:lang w:val="en-US"/>
        </w:rPr>
      </w:pPr>
      <w:r w:rsidRPr="009B58A9">
        <w:rPr>
          <w:rFonts w:ascii="Courier New" w:hAnsi="Courier New" w:cs="Courier New"/>
          <w:lang w:val="en-US"/>
        </w:rPr>
        <w:t>*José Manuel Aburto. Interdisciplinary Cent</w:t>
      </w:r>
      <w:r w:rsidR="000F7D2B">
        <w:rPr>
          <w:rFonts w:ascii="Courier New" w:hAnsi="Courier New" w:cs="Courier New"/>
          <w:lang w:val="en-US"/>
        </w:rPr>
        <w:t>er</w:t>
      </w:r>
      <w:r w:rsidRPr="009B58A9">
        <w:rPr>
          <w:rFonts w:ascii="Courier New" w:hAnsi="Courier New" w:cs="Courier New"/>
          <w:lang w:val="en-US"/>
        </w:rPr>
        <w:t xml:space="preserve"> on Population Dynamics at University of Southern Denmark, Odense 5000, Denmark, and Max Planck Institute for Demographic Research, Rostock 18057, Germany.</w:t>
      </w:r>
    </w:p>
    <w:p w14:paraId="072A9F90" w14:textId="46392AC7" w:rsidR="00122450" w:rsidRPr="008B63F7" w:rsidRDefault="00122450" w:rsidP="008B63F7">
      <w:pPr>
        <w:pStyle w:val="NoSpacing"/>
        <w:rPr>
          <w:rFonts w:ascii="Courier New" w:hAnsi="Courier New" w:cs="Courier New"/>
          <w:lang w:val="en-US"/>
        </w:rPr>
      </w:pPr>
      <w:r w:rsidRPr="008B63F7">
        <w:rPr>
          <w:rFonts w:ascii="Courier New" w:hAnsi="Courier New" w:cs="Courier New"/>
          <w:lang w:val="en-US"/>
        </w:rPr>
        <w:t>Tim Riffe. Max Planck Institute for Demographic Research, Rostock 18057, Germany.</w:t>
      </w:r>
    </w:p>
    <w:p w14:paraId="1F7D50AA" w14:textId="297E036B" w:rsidR="008B63F7" w:rsidRPr="008B63F7" w:rsidRDefault="00122450" w:rsidP="008B63F7">
      <w:pPr>
        <w:pStyle w:val="NoSpacing"/>
        <w:rPr>
          <w:rFonts w:ascii="Courier New" w:hAnsi="Courier New" w:cs="Courier New"/>
          <w:lang w:val="en-US"/>
        </w:rPr>
      </w:pPr>
      <w:r w:rsidRPr="008B63F7">
        <w:rPr>
          <w:rFonts w:ascii="Courier New" w:hAnsi="Courier New" w:cs="Courier New"/>
          <w:lang w:val="en-US"/>
        </w:rPr>
        <w:t>Vanessa di Lego</w:t>
      </w:r>
      <w:r w:rsidR="00011DA0" w:rsidRPr="008B63F7">
        <w:rPr>
          <w:rFonts w:ascii="Courier New" w:hAnsi="Courier New" w:cs="Courier New"/>
          <w:lang w:val="en-US"/>
        </w:rPr>
        <w:t xml:space="preserve">. </w:t>
      </w:r>
      <w:r w:rsidR="00774277" w:rsidRPr="008B63F7">
        <w:rPr>
          <w:rFonts w:ascii="Courier New" w:hAnsi="Courier New" w:cs="Courier New"/>
          <w:lang w:val="en-US"/>
        </w:rPr>
        <w:t>Wittgenstein Centre (IIASA, VID/ÖAW, WU), Vienna Institute of Demography / Austrian Academy of Sciences, Vienna, Austria.</w:t>
      </w:r>
    </w:p>
    <w:p w14:paraId="6DA196C5" w14:textId="51EA2AEB" w:rsidR="008B63F7" w:rsidRPr="008B63F7" w:rsidRDefault="008B63F7" w:rsidP="008B63F7">
      <w:pPr>
        <w:pStyle w:val="NoSpacing"/>
        <w:rPr>
          <w:rFonts w:ascii="Courier New" w:hAnsi="Courier New" w:cs="Courier New"/>
          <w:lang w:val="en-US"/>
        </w:rPr>
      </w:pPr>
      <w:r w:rsidRPr="008B63F7">
        <w:rPr>
          <w:rFonts w:ascii="Courier New" w:hAnsi="Courier New" w:cs="Courier New"/>
          <w:lang w:val="en-US"/>
        </w:rPr>
        <w:t>Orsola Torrisi. London School of Economics, London, UK.</w:t>
      </w:r>
    </w:p>
    <w:p w14:paraId="4403F326" w14:textId="77777777" w:rsidR="00391B82" w:rsidRDefault="00391B82" w:rsidP="009036D1">
      <w:pPr>
        <w:pStyle w:val="NoSpacing"/>
        <w:rPr>
          <w:rFonts w:ascii="Courier New" w:hAnsi="Courier New" w:cs="Courier New"/>
          <w:lang w:val="en-US"/>
        </w:rPr>
      </w:pPr>
    </w:p>
    <w:p w14:paraId="2CA1D036" w14:textId="0DC7C602" w:rsidR="00281094" w:rsidRPr="009B58A9" w:rsidRDefault="009036D1" w:rsidP="009036D1">
      <w:pPr>
        <w:pStyle w:val="NoSpacing"/>
        <w:rPr>
          <w:rFonts w:ascii="Courier New" w:hAnsi="Courier New" w:cs="Courier New"/>
          <w:vertAlign w:val="superscript"/>
          <w:lang w:val="en-US"/>
        </w:rPr>
      </w:pPr>
      <w:r w:rsidRPr="009B58A9">
        <w:rPr>
          <w:rFonts w:ascii="Courier New" w:hAnsi="Courier New" w:cs="Courier New"/>
          <w:lang w:val="en-US"/>
        </w:rPr>
        <w:t>*Corresponding author.</w:t>
      </w:r>
      <w:r w:rsidR="00281094" w:rsidRPr="009B58A9">
        <w:rPr>
          <w:rFonts w:ascii="Courier New" w:hAnsi="Courier New" w:cs="Courier New"/>
          <w:vertAlign w:val="superscript"/>
          <w:lang w:val="en-US"/>
        </w:rPr>
        <w:t xml:space="preserve"> </w:t>
      </w:r>
    </w:p>
    <w:p w14:paraId="3BF75B63" w14:textId="77777777" w:rsidR="009036D1" w:rsidRPr="009B58A9" w:rsidRDefault="009036D1" w:rsidP="009036D1">
      <w:pPr>
        <w:pStyle w:val="NoSpacing"/>
        <w:rPr>
          <w:rFonts w:ascii="Courier New" w:hAnsi="Courier New" w:cs="Courier New"/>
          <w:lang w:val="en-US"/>
        </w:rPr>
      </w:pPr>
    </w:p>
    <w:p w14:paraId="1B79C15B" w14:textId="77777777" w:rsidR="00122450" w:rsidRPr="009B58A9" w:rsidRDefault="00122450" w:rsidP="00122450">
      <w:pPr>
        <w:pStyle w:val="NoSpacing"/>
        <w:rPr>
          <w:rFonts w:ascii="Courier New" w:hAnsi="Courier New" w:cs="Courier New"/>
          <w:b/>
          <w:lang w:val="en-US"/>
        </w:rPr>
      </w:pPr>
      <w:r w:rsidRPr="009B58A9">
        <w:rPr>
          <w:rFonts w:ascii="Courier New" w:hAnsi="Courier New" w:cs="Courier New"/>
          <w:b/>
          <w:lang w:val="en-US"/>
        </w:rPr>
        <w:t>Abstract [</w:t>
      </w:r>
      <w:r w:rsidR="009036D1" w:rsidRPr="009B58A9">
        <w:rPr>
          <w:rFonts w:ascii="Courier New" w:hAnsi="Courier New" w:cs="Courier New"/>
          <w:b/>
          <w:lang w:val="en-US"/>
        </w:rPr>
        <w:t>150</w:t>
      </w:r>
      <w:r w:rsidRPr="009B58A9">
        <w:rPr>
          <w:rFonts w:ascii="Courier New" w:hAnsi="Courier New" w:cs="Courier New"/>
          <w:b/>
          <w:lang w:val="en-US"/>
        </w:rPr>
        <w:t>]</w:t>
      </w:r>
      <w:r w:rsidR="009036D1" w:rsidRPr="009B58A9">
        <w:rPr>
          <w:rFonts w:ascii="Courier New" w:hAnsi="Courier New" w:cs="Courier New"/>
          <w:b/>
          <w:lang w:val="en-US"/>
        </w:rPr>
        <w:t>:</w:t>
      </w:r>
    </w:p>
    <w:p w14:paraId="28FB721D" w14:textId="77777777" w:rsidR="009036D1" w:rsidRPr="009B58A9" w:rsidRDefault="009036D1" w:rsidP="00122450">
      <w:pPr>
        <w:pStyle w:val="NoSpacing"/>
        <w:rPr>
          <w:rFonts w:ascii="Courier New" w:hAnsi="Courier New" w:cs="Courier New"/>
          <w:b/>
          <w:lang w:val="en-US"/>
        </w:rPr>
      </w:pPr>
      <w:r w:rsidRPr="009B58A9">
        <w:rPr>
          <w:rFonts w:ascii="Courier New" w:hAnsi="Courier New" w:cs="Courier New"/>
          <w:b/>
          <w:lang w:val="en-US"/>
        </w:rPr>
        <w:t>Main text [3500]:</w:t>
      </w:r>
    </w:p>
    <w:p w14:paraId="0906A1D7" w14:textId="77777777" w:rsidR="00724A9C" w:rsidRPr="009B58A9" w:rsidRDefault="00724A9C" w:rsidP="00122450">
      <w:pPr>
        <w:pStyle w:val="NoSpacing"/>
        <w:rPr>
          <w:rFonts w:ascii="Courier New" w:hAnsi="Courier New" w:cs="Courier New"/>
          <w:lang w:val="en-US"/>
        </w:rPr>
      </w:pPr>
    </w:p>
    <w:p w14:paraId="6A6A2FAF" w14:textId="32E9C153" w:rsidR="00E60D08" w:rsidRPr="009B58A9" w:rsidRDefault="006743C3" w:rsidP="00391B82">
      <w:pPr>
        <w:pStyle w:val="NoSpacing"/>
        <w:jc w:val="both"/>
        <w:rPr>
          <w:rFonts w:ascii="Courier New" w:hAnsi="Courier New" w:cs="Courier New"/>
          <w:lang w:val="en-US"/>
        </w:rPr>
      </w:pPr>
      <w:r w:rsidRPr="009B58A9">
        <w:rPr>
          <w:rFonts w:ascii="Courier New" w:hAnsi="Courier New" w:cs="Courier New"/>
          <w:lang w:val="en-US"/>
        </w:rPr>
        <w:t>Being unable to control the unfolding of the future is a state of uncertainty</w:t>
      </w:r>
      <w:r w:rsidR="00C06989" w:rsidRPr="009B58A9">
        <w:rPr>
          <w:rFonts w:ascii="Courier New" w:hAnsi="Courier New" w:cs="Courier New"/>
          <w:lang w:val="en-US"/>
        </w:rPr>
        <w:t xml:space="preserve"> that has puzzled humans for centuries</w:t>
      </w:r>
      <w:r w:rsidRPr="009B58A9">
        <w:rPr>
          <w:rFonts w:ascii="Courier New" w:hAnsi="Courier New" w:cs="Courier New"/>
          <w:lang w:val="en-US"/>
        </w:rPr>
        <w:t>.</w:t>
      </w:r>
      <w:r w:rsidR="00C06989" w:rsidRPr="009B58A9">
        <w:rPr>
          <w:rFonts w:ascii="Courier New" w:hAnsi="Courier New" w:cs="Courier New"/>
          <w:lang w:val="en-US"/>
        </w:rPr>
        <w:fldChar w:fldCharType="begin"/>
      </w:r>
      <w:r w:rsidR="00C06989" w:rsidRPr="009B58A9">
        <w:rPr>
          <w:rFonts w:ascii="Courier New" w:hAnsi="Courier New" w:cs="Courier New"/>
          <w:lang w:val="en-US"/>
        </w:rPr>
        <w:instrText xml:space="preserve"> ADDIN EN.CITE &lt;EndNote&gt;&lt;Cite&gt;&lt;Author&gt;Reith&lt;/Author&gt;&lt;Year&gt;2004&lt;/Year&gt;&lt;RecNum&gt;138&lt;/RecNum&gt;&lt;DisplayText&gt;&lt;style face="superscript"&gt;1&lt;/style&gt;&lt;/DisplayText&gt;&lt;record&gt;&lt;rec-number&gt;138&lt;/rec-number&gt;&lt;foreign-keys&gt;&lt;key app="EN" db-id="wvs209twpd0rw8e25dcx9ednssap55azsp0p" timestamp="1549987976"&gt;138&lt;/key&gt;&lt;/foreign-keys&gt;&lt;ref-type name="Journal Article"&gt;17&lt;/ref-type&gt;&lt;contributors&gt;&lt;authors&gt;&lt;author&gt;Reith, Gerda&lt;/author&gt;&lt;/authors&gt;&lt;/contributors&gt;&lt;titles&gt;&lt;title&gt;Uncertain times: the notion of ‘risk’and the development of modernity&lt;/title&gt;&lt;secondary-title&gt;Time &amp;amp; Society&lt;/secondary-title&gt;&lt;/titles&gt;&lt;periodical&gt;&lt;full-title&gt;Time &amp;amp; Society&lt;/full-title&gt;&lt;/periodical&gt;&lt;pages&gt;383-402&lt;/pages&gt;&lt;volume&gt;13&lt;/volume&gt;&lt;number&gt;2-3&lt;/number&gt;&lt;dates&gt;&lt;year&gt;2004&lt;/year&gt;&lt;/dates&gt;&lt;isbn&gt;0961-463X&lt;/isbn&gt;&lt;urls&gt;&lt;/urls&gt;&lt;/record&gt;&lt;/Cite&gt;&lt;/EndNote&gt;</w:instrText>
      </w:r>
      <w:r w:rsidR="00C06989" w:rsidRPr="009B58A9">
        <w:rPr>
          <w:rFonts w:ascii="Courier New" w:hAnsi="Courier New" w:cs="Courier New"/>
          <w:lang w:val="en-US"/>
        </w:rPr>
        <w:fldChar w:fldCharType="separate"/>
      </w:r>
      <w:r w:rsidR="00C06989" w:rsidRPr="009B58A9">
        <w:rPr>
          <w:rFonts w:ascii="Courier New" w:hAnsi="Courier New" w:cs="Courier New"/>
          <w:noProof/>
          <w:vertAlign w:val="superscript"/>
          <w:lang w:val="en-US"/>
        </w:rPr>
        <w:t>1</w:t>
      </w:r>
      <w:r w:rsidR="00C06989" w:rsidRPr="009B58A9">
        <w:rPr>
          <w:rFonts w:ascii="Courier New" w:hAnsi="Courier New" w:cs="Courier New"/>
          <w:lang w:val="en-US"/>
        </w:rPr>
        <w:fldChar w:fldCharType="end"/>
      </w:r>
      <w:r w:rsidRPr="009B58A9">
        <w:rPr>
          <w:rFonts w:ascii="Courier New" w:hAnsi="Courier New" w:cs="Courier New"/>
          <w:lang w:val="en-US"/>
        </w:rPr>
        <w:t xml:space="preserve"> </w:t>
      </w:r>
      <w:r w:rsidR="00F37784" w:rsidRPr="009B58A9">
        <w:rPr>
          <w:rFonts w:ascii="Courier New" w:hAnsi="Courier New" w:cs="Courier New"/>
          <w:lang w:val="en-US"/>
        </w:rPr>
        <w:t>Any individual making plans must, somehow, consider that he/she does not know the day when death will happen.</w:t>
      </w:r>
      <w:r w:rsidR="008341FA" w:rsidRPr="009B58A9">
        <w:rPr>
          <w:rFonts w:ascii="Courier New" w:hAnsi="Courier New" w:cs="Courier New"/>
          <w:lang w:val="en-US"/>
        </w:rPr>
        <w:fldChar w:fldCharType="begin"/>
      </w:r>
      <w:r w:rsidR="008341FA" w:rsidRPr="009B58A9">
        <w:rPr>
          <w:rFonts w:ascii="Courier New" w:hAnsi="Courier New" w:cs="Courier New"/>
          <w:lang w:val="en-US"/>
        </w:rPr>
        <w:instrText xml:space="preserve"> ADDIN EN.CITE &lt;EndNote&gt;&lt;Cite&gt;&lt;Author&gt;Yaari&lt;/Author&gt;&lt;Year&gt;1965&lt;/Year&gt;&lt;RecNum&gt;139&lt;/RecNum&gt;&lt;DisplayText&gt;&lt;style face="superscript"&gt;2&lt;/style&gt;&lt;/DisplayText&gt;&lt;record&gt;&lt;rec-number&gt;139&lt;/rec-number&gt;&lt;foreign-keys&gt;&lt;key app="EN" db-id="wvs209twpd0rw8e25dcx9ednssap55azsp0p" timestamp="1550073952"&gt;139&lt;/key&gt;&lt;/foreign-keys&gt;&lt;ref-type name="Journal Article"&gt;17&lt;/ref-type&gt;&lt;contributors&gt;&lt;authors&gt;&lt;author&gt;Yaari, Menahem E&lt;/author&gt;&lt;/authors&gt;&lt;/contributors&gt;&lt;titles&gt;&lt;title&gt;Uncertain lifetime, life insurance, and the theory of the consumer&lt;/title&gt;&lt;secondary-title&gt;The Review of Economic Studies&lt;/secondary-title&gt;&lt;/titles&gt;&lt;periodical&gt;&lt;full-title&gt;The Review of Economic Studies&lt;/full-title&gt;&lt;/periodical&gt;&lt;pages&gt;137-150&lt;/pages&gt;&lt;volume&gt;32&lt;/volume&gt;&lt;number&gt;2&lt;/number&gt;&lt;dates&gt;&lt;year&gt;1965&lt;/year&gt;&lt;/dates&gt;&lt;isbn&gt;0034-6527&lt;/isbn&gt;&lt;urls&gt;&lt;/urls&gt;&lt;/record&gt;&lt;/Cite&gt;&lt;/EndNote&gt;</w:instrText>
      </w:r>
      <w:r w:rsidR="008341FA" w:rsidRPr="009B58A9">
        <w:rPr>
          <w:rFonts w:ascii="Courier New" w:hAnsi="Courier New" w:cs="Courier New"/>
          <w:lang w:val="en-US"/>
        </w:rPr>
        <w:fldChar w:fldCharType="separate"/>
      </w:r>
      <w:r w:rsidR="008341FA" w:rsidRPr="009B58A9">
        <w:rPr>
          <w:rFonts w:ascii="Courier New" w:hAnsi="Courier New" w:cs="Courier New"/>
          <w:noProof/>
          <w:vertAlign w:val="superscript"/>
          <w:lang w:val="en-US"/>
        </w:rPr>
        <w:t>2</w:t>
      </w:r>
      <w:r w:rsidR="008341FA" w:rsidRPr="009B58A9">
        <w:rPr>
          <w:rFonts w:ascii="Courier New" w:hAnsi="Courier New" w:cs="Courier New"/>
          <w:lang w:val="en-US"/>
        </w:rPr>
        <w:fldChar w:fldCharType="end"/>
      </w:r>
      <w:r w:rsidR="00C06989" w:rsidRPr="009B58A9">
        <w:rPr>
          <w:rFonts w:ascii="Courier New" w:hAnsi="Courier New" w:cs="Courier New"/>
          <w:lang w:val="en-US"/>
        </w:rPr>
        <w:t xml:space="preserve"> </w:t>
      </w:r>
      <w:r w:rsidRPr="009B58A9">
        <w:rPr>
          <w:rFonts w:ascii="Courier New" w:hAnsi="Courier New" w:cs="Courier New"/>
          <w:i/>
          <w:lang w:val="en-US"/>
        </w:rPr>
        <w:t xml:space="preserve">When will I die? </w:t>
      </w:r>
      <w:r w:rsidRPr="009B58A9">
        <w:rPr>
          <w:rFonts w:ascii="Courier New" w:hAnsi="Courier New" w:cs="Courier New"/>
          <w:lang w:val="en-US"/>
        </w:rPr>
        <w:t>Is</w:t>
      </w:r>
      <w:r w:rsidR="00F37784" w:rsidRPr="009B58A9">
        <w:rPr>
          <w:rFonts w:ascii="Courier New" w:hAnsi="Courier New" w:cs="Courier New"/>
          <w:lang w:val="en-US"/>
        </w:rPr>
        <w:t>, therefore,</w:t>
      </w:r>
      <w:r w:rsidRPr="009B58A9">
        <w:rPr>
          <w:rFonts w:ascii="Courier New" w:hAnsi="Courier New" w:cs="Courier New"/>
          <w:lang w:val="en-US"/>
        </w:rPr>
        <w:t xml:space="preserve"> a crucial question that </w:t>
      </w:r>
      <w:r w:rsidR="00C06989" w:rsidRPr="009B58A9">
        <w:rPr>
          <w:rFonts w:ascii="Courier New" w:hAnsi="Courier New" w:cs="Courier New"/>
          <w:lang w:val="en-US"/>
        </w:rPr>
        <w:t>shape</w:t>
      </w:r>
      <w:r w:rsidR="00977526" w:rsidRPr="009B58A9">
        <w:rPr>
          <w:rFonts w:ascii="Courier New" w:hAnsi="Courier New" w:cs="Courier New"/>
          <w:lang w:val="en-US"/>
        </w:rPr>
        <w:t>s</w:t>
      </w:r>
      <w:r w:rsidR="00C06989" w:rsidRPr="009B58A9">
        <w:rPr>
          <w:rFonts w:ascii="Courier New" w:hAnsi="Courier New" w:cs="Courier New"/>
          <w:lang w:val="en-US"/>
        </w:rPr>
        <w:t xml:space="preserve"> individuals’ decisions and</w:t>
      </w:r>
      <w:r w:rsidR="00DC7F65" w:rsidRPr="009B58A9">
        <w:rPr>
          <w:rFonts w:ascii="Courier New" w:hAnsi="Courier New" w:cs="Courier New"/>
          <w:lang w:val="en-US"/>
        </w:rPr>
        <w:t xml:space="preserve"> </w:t>
      </w:r>
      <w:r w:rsidR="00C06989" w:rsidRPr="009B58A9">
        <w:rPr>
          <w:rFonts w:ascii="Courier New" w:hAnsi="Courier New" w:cs="Courier New"/>
          <w:lang w:val="en-US"/>
        </w:rPr>
        <w:t>their future.</w:t>
      </w:r>
      <w:r w:rsidR="003925F1" w:rsidRPr="009B58A9">
        <w:rPr>
          <w:rFonts w:ascii="Courier New" w:hAnsi="Courier New" w:cs="Courier New"/>
          <w:lang w:val="en-US"/>
        </w:rPr>
        <w:t xml:space="preserve"> </w:t>
      </w:r>
      <w:r w:rsidR="0040206C" w:rsidRPr="009B58A9">
        <w:rPr>
          <w:rFonts w:ascii="Courier New" w:hAnsi="Courier New" w:cs="Courier New"/>
          <w:lang w:val="en-US"/>
        </w:rPr>
        <w:t>M</w:t>
      </w:r>
      <w:r w:rsidR="00054F10" w:rsidRPr="009B58A9">
        <w:rPr>
          <w:rFonts w:ascii="Courier New" w:hAnsi="Courier New" w:cs="Courier New"/>
          <w:lang w:val="en-US"/>
        </w:rPr>
        <w:t>ost research on uncertain lifetimes</w:t>
      </w:r>
      <w:r w:rsidR="00DE54F3" w:rsidRPr="009B58A9">
        <w:rPr>
          <w:rFonts w:ascii="Courier New" w:hAnsi="Courier New" w:cs="Courier New"/>
          <w:lang w:val="en-US"/>
        </w:rPr>
        <w:t>, or lifespan inequality,</w:t>
      </w:r>
      <w:r w:rsidR="00054F10" w:rsidRPr="009B58A9">
        <w:rPr>
          <w:rFonts w:ascii="Courier New" w:hAnsi="Courier New" w:cs="Courier New"/>
          <w:lang w:val="en-US"/>
        </w:rPr>
        <w:t xml:space="preserve"> has focused on how this </w:t>
      </w:r>
      <w:r w:rsidR="00121B38" w:rsidRPr="009B58A9">
        <w:rPr>
          <w:rFonts w:ascii="Courier New" w:hAnsi="Courier New" w:cs="Courier New"/>
          <w:lang w:val="en-US"/>
        </w:rPr>
        <w:t>unpredictability</w:t>
      </w:r>
      <w:r w:rsidR="00054F10" w:rsidRPr="009B58A9">
        <w:rPr>
          <w:rFonts w:ascii="Courier New" w:hAnsi="Courier New" w:cs="Courier New"/>
          <w:lang w:val="en-US"/>
        </w:rPr>
        <w:t xml:space="preserve"> affect</w:t>
      </w:r>
      <w:r w:rsidR="0040206C" w:rsidRPr="009B58A9">
        <w:rPr>
          <w:rFonts w:ascii="Courier New" w:hAnsi="Courier New" w:cs="Courier New"/>
          <w:lang w:val="en-US"/>
        </w:rPr>
        <w:t>s</w:t>
      </w:r>
      <w:r w:rsidR="00054F10" w:rsidRPr="009B58A9">
        <w:rPr>
          <w:rFonts w:ascii="Courier New" w:hAnsi="Courier New" w:cs="Courier New"/>
          <w:lang w:val="en-US"/>
        </w:rPr>
        <w:t xml:space="preserve"> individual consumption and</w:t>
      </w:r>
      <w:r w:rsidR="0040206C" w:rsidRPr="009B58A9">
        <w:rPr>
          <w:rFonts w:ascii="Courier New" w:hAnsi="Courier New" w:cs="Courier New"/>
          <w:lang w:val="en-US"/>
        </w:rPr>
        <w:t xml:space="preserve"> distribution of wealth</w:t>
      </w:r>
      <w:r w:rsidR="00054F10" w:rsidRPr="009B58A9">
        <w:rPr>
          <w:rFonts w:ascii="Courier New" w:hAnsi="Courier New" w:cs="Courier New"/>
          <w:lang w:val="en-US"/>
        </w:rPr>
        <w:t>.</w:t>
      </w:r>
      <w:r w:rsidR="00054F10" w:rsidRPr="009B58A9">
        <w:rPr>
          <w:rFonts w:ascii="Courier New" w:hAnsi="Courier New" w:cs="Courier New"/>
          <w:lang w:val="en-US"/>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9B58A9">
        <w:rPr>
          <w:rFonts w:ascii="Courier New" w:hAnsi="Courier New" w:cs="Courier New"/>
          <w:lang w:val="en-US"/>
        </w:rPr>
        <w:instrText xml:space="preserve"> ADDIN EN.CITE </w:instrText>
      </w:r>
      <w:r w:rsidR="0040206C" w:rsidRPr="009B58A9">
        <w:rPr>
          <w:rFonts w:ascii="Courier New" w:hAnsi="Courier New" w:cs="Courier New"/>
          <w:lang w:val="en-US"/>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9B58A9">
        <w:rPr>
          <w:rFonts w:ascii="Courier New" w:hAnsi="Courier New" w:cs="Courier New"/>
          <w:lang w:val="en-US"/>
        </w:rPr>
        <w:instrText xml:space="preserve"> ADDIN EN.CITE.DATA </w:instrText>
      </w:r>
      <w:r w:rsidR="0040206C" w:rsidRPr="009B58A9">
        <w:rPr>
          <w:rFonts w:ascii="Courier New" w:hAnsi="Courier New" w:cs="Courier New"/>
          <w:lang w:val="en-US"/>
        </w:rPr>
      </w:r>
      <w:r w:rsidR="0040206C" w:rsidRPr="009B58A9">
        <w:rPr>
          <w:rFonts w:ascii="Courier New" w:hAnsi="Courier New" w:cs="Courier New"/>
          <w:lang w:val="en-US"/>
        </w:rPr>
        <w:fldChar w:fldCharType="end"/>
      </w:r>
      <w:r w:rsidR="00054F10" w:rsidRPr="009B58A9">
        <w:rPr>
          <w:rFonts w:ascii="Courier New" w:hAnsi="Courier New" w:cs="Courier New"/>
          <w:lang w:val="en-US"/>
        </w:rPr>
      </w:r>
      <w:r w:rsidR="00054F10" w:rsidRPr="009B58A9">
        <w:rPr>
          <w:rFonts w:ascii="Courier New" w:hAnsi="Courier New" w:cs="Courier New"/>
          <w:lang w:val="en-US"/>
        </w:rPr>
        <w:fldChar w:fldCharType="separate"/>
      </w:r>
      <w:r w:rsidR="0040206C" w:rsidRPr="009B58A9">
        <w:rPr>
          <w:rFonts w:ascii="Courier New" w:hAnsi="Courier New" w:cs="Courier New"/>
          <w:noProof/>
          <w:vertAlign w:val="superscript"/>
          <w:lang w:val="en-US"/>
        </w:rPr>
        <w:t>3-7</w:t>
      </w:r>
      <w:r w:rsidR="00054F10" w:rsidRPr="009B58A9">
        <w:rPr>
          <w:rFonts w:ascii="Courier New" w:hAnsi="Courier New" w:cs="Courier New"/>
          <w:lang w:val="en-US"/>
        </w:rPr>
        <w:fldChar w:fldCharType="end"/>
      </w:r>
      <w:r w:rsidR="00054F10" w:rsidRPr="009B58A9">
        <w:rPr>
          <w:rFonts w:ascii="Courier New" w:hAnsi="Courier New" w:cs="Courier New"/>
          <w:lang w:val="en-US"/>
        </w:rPr>
        <w:t xml:space="preserve"> </w:t>
      </w:r>
      <w:r w:rsidR="003925F1" w:rsidRPr="009B58A9">
        <w:rPr>
          <w:rFonts w:ascii="Courier New" w:hAnsi="Courier New" w:cs="Courier New"/>
          <w:lang w:val="en-US"/>
        </w:rPr>
        <w:t>While, m</w:t>
      </w:r>
      <w:r w:rsidR="00B31E92" w:rsidRPr="009B58A9">
        <w:rPr>
          <w:rFonts w:ascii="Courier New" w:hAnsi="Courier New" w:cs="Courier New"/>
          <w:lang w:val="en-US"/>
        </w:rPr>
        <w:t>ore recently</w:t>
      </w:r>
      <w:r w:rsidR="001E01C8" w:rsidRPr="009B58A9">
        <w:rPr>
          <w:rFonts w:ascii="Courier New" w:hAnsi="Courier New" w:cs="Courier New"/>
          <w:lang w:val="en-US"/>
        </w:rPr>
        <w:t xml:space="preserve">, </w:t>
      </w:r>
      <w:r w:rsidR="009F30E8" w:rsidRPr="009B58A9">
        <w:rPr>
          <w:rFonts w:ascii="Courier New" w:hAnsi="Courier New" w:cs="Courier New"/>
          <w:lang w:val="en-US"/>
        </w:rPr>
        <w:t>research</w:t>
      </w:r>
      <w:r w:rsidR="001E01C8" w:rsidRPr="009B58A9">
        <w:rPr>
          <w:rFonts w:ascii="Courier New" w:hAnsi="Courier New" w:cs="Courier New"/>
          <w:lang w:val="en-US"/>
        </w:rPr>
        <w:t xml:space="preserve"> </w:t>
      </w:r>
      <w:r w:rsidR="009F30E8" w:rsidRPr="009B58A9">
        <w:rPr>
          <w:rFonts w:ascii="Courier New" w:hAnsi="Courier New" w:cs="Courier New"/>
          <w:lang w:val="en-US"/>
        </w:rPr>
        <w:t xml:space="preserve">on how </w:t>
      </w:r>
      <w:r w:rsidR="003925F1" w:rsidRPr="009B58A9">
        <w:rPr>
          <w:rFonts w:ascii="Courier New" w:hAnsi="Courier New" w:cs="Courier New"/>
          <w:lang w:val="en-US"/>
        </w:rPr>
        <w:t xml:space="preserve">social determinants, such as socioeconomic status, education or income, affect </w:t>
      </w:r>
      <w:r w:rsidR="009F30E8" w:rsidRPr="009B58A9">
        <w:rPr>
          <w:rFonts w:ascii="Courier New" w:hAnsi="Courier New" w:cs="Courier New"/>
          <w:lang w:val="en-US"/>
        </w:rPr>
        <w:t>life</w:t>
      </w:r>
      <w:r w:rsidR="002C2648">
        <w:rPr>
          <w:rFonts w:ascii="Courier New" w:hAnsi="Courier New" w:cs="Courier New"/>
          <w:lang w:val="en-US"/>
        </w:rPr>
        <w:t xml:space="preserve"> </w:t>
      </w:r>
      <w:r w:rsidR="009F30E8" w:rsidRPr="009B58A9">
        <w:rPr>
          <w:rFonts w:ascii="Courier New" w:hAnsi="Courier New" w:cs="Courier New"/>
          <w:lang w:val="en-US"/>
        </w:rPr>
        <w:t xml:space="preserve">span </w:t>
      </w:r>
      <w:r w:rsidR="00400581" w:rsidRPr="009B58A9">
        <w:rPr>
          <w:rFonts w:ascii="Courier New" w:hAnsi="Courier New" w:cs="Courier New"/>
          <w:lang w:val="en-US"/>
        </w:rPr>
        <w:t>uncertainty</w:t>
      </w:r>
      <w:r w:rsidR="009F30E8" w:rsidRPr="009B58A9">
        <w:rPr>
          <w:rFonts w:ascii="Courier New" w:hAnsi="Courier New" w:cs="Courier New"/>
          <w:lang w:val="en-US"/>
        </w:rPr>
        <w:t xml:space="preserve"> has found that socially disadvantaged groups tend to experience higher uncertainty about their </w:t>
      </w:r>
      <w:r w:rsidR="00E860E2">
        <w:rPr>
          <w:rFonts w:ascii="Courier New" w:hAnsi="Courier New" w:cs="Courier New"/>
          <w:lang w:val="en-US"/>
        </w:rPr>
        <w:t>eventual death</w:t>
      </w:r>
      <w:r w:rsidR="009F30E8" w:rsidRPr="009B58A9">
        <w:rPr>
          <w:rFonts w:ascii="Courier New" w:hAnsi="Courier New" w:cs="Courier New"/>
          <w:lang w:val="en-US"/>
        </w:rPr>
        <w:t>.</w:t>
      </w:r>
      <w:r w:rsidR="001E75FC" w:rsidRPr="009B58A9">
        <w:rPr>
          <w:rFonts w:ascii="Courier New" w:hAnsi="Courier New" w:cs="Courier New"/>
          <w:lang w:val="en-US"/>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9B58A9">
        <w:rPr>
          <w:rFonts w:ascii="Courier New" w:hAnsi="Courier New" w:cs="Courier New"/>
          <w:lang w:val="en-US"/>
        </w:rPr>
        <w:instrText xml:space="preserve"> ADDIN EN.CITE </w:instrText>
      </w:r>
      <w:r w:rsidR="00FF0499" w:rsidRPr="009B58A9">
        <w:rPr>
          <w:rFonts w:ascii="Courier New" w:hAnsi="Courier New" w:cs="Courier New"/>
          <w:lang w:val="en-US"/>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9B58A9">
        <w:rPr>
          <w:rFonts w:ascii="Courier New" w:hAnsi="Courier New" w:cs="Courier New"/>
          <w:lang w:val="en-US"/>
        </w:rPr>
        <w:instrText xml:space="preserve"> ADDIN EN.CITE.DATA </w:instrText>
      </w:r>
      <w:r w:rsidR="00FF0499" w:rsidRPr="009B58A9">
        <w:rPr>
          <w:rFonts w:ascii="Courier New" w:hAnsi="Courier New" w:cs="Courier New"/>
          <w:lang w:val="en-US"/>
        </w:rPr>
      </w:r>
      <w:r w:rsidR="00FF049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1E75FC" w:rsidRPr="009B58A9">
        <w:rPr>
          <w:rFonts w:ascii="Courier New" w:hAnsi="Courier New" w:cs="Courier New"/>
          <w:noProof/>
          <w:vertAlign w:val="superscript"/>
          <w:lang w:val="en-US"/>
        </w:rPr>
        <w:t>8-13</w:t>
      </w:r>
      <w:r w:rsidR="001E75FC" w:rsidRPr="009B58A9">
        <w:rPr>
          <w:rFonts w:ascii="Courier New" w:hAnsi="Courier New" w:cs="Courier New"/>
          <w:lang w:val="en-US"/>
        </w:rPr>
        <w:fldChar w:fldCharType="end"/>
      </w:r>
      <w:r w:rsidR="00E60D08" w:rsidRPr="009B58A9">
        <w:rPr>
          <w:rFonts w:ascii="Courier New" w:hAnsi="Courier New" w:cs="Courier New"/>
          <w:lang w:val="en-US"/>
        </w:rPr>
        <w:t xml:space="preserve"> In contexts of high violence, greater uncertainty in life suggests ineffectiveness of policies to protect individuals and implies a failure of social protection through which violence is spread in a population.</w:t>
      </w:r>
      <w:r w:rsidR="009B58A9"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&lt;EndNote&gt;&lt;Cite&gt;&lt;Author&gt;Aburto&lt;/Author&gt;&lt;Year&gt;2019&lt;/Year&gt;&lt;RecNum&gt;161&lt;/RecNum&gt;&lt;DisplayText&gt;&lt;style face="superscript"&gt;14&lt;/style&gt;&lt;/DisplayText&gt;&lt;record&gt;&lt;rec-number&gt;161&lt;/rec-number&gt;&lt;foreign-keys&gt;&lt;key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sidR="009B58A9"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14</w:t>
      </w:r>
      <w:r w:rsidR="009B58A9" w:rsidRPr="009B58A9">
        <w:rPr>
          <w:rFonts w:ascii="Courier New" w:hAnsi="Courier New" w:cs="Courier New"/>
          <w:lang w:val="en-US"/>
        </w:rPr>
        <w:fldChar w:fldCharType="end"/>
      </w:r>
      <w:r w:rsidR="00E60D08" w:rsidRPr="009B58A9">
        <w:rPr>
          <w:rFonts w:ascii="Courier New" w:hAnsi="Courier New" w:cs="Courier New"/>
          <w:lang w:val="en-US"/>
        </w:rPr>
        <w:t xml:space="preserve"> Our article, therefore, highlights the role of violent environments on life</w:t>
      </w:r>
      <w:r w:rsidR="00E860E2">
        <w:rPr>
          <w:rFonts w:ascii="Courier New" w:hAnsi="Courier New" w:cs="Courier New"/>
          <w:lang w:val="en-US"/>
        </w:rPr>
        <w:t>time</w:t>
      </w:r>
      <w:r w:rsidR="00E60D08" w:rsidRPr="009B58A9">
        <w:rPr>
          <w:rFonts w:ascii="Courier New" w:hAnsi="Courier New" w:cs="Courier New"/>
          <w:lang w:val="en-US"/>
        </w:rPr>
        <w:t xml:space="preserve"> uncertainty. </w:t>
      </w:r>
    </w:p>
    <w:p w14:paraId="7C9A916C" w14:textId="47E3BCE6" w:rsidR="003925F1" w:rsidRPr="009B58A9" w:rsidRDefault="00E60D08" w:rsidP="00391B82">
      <w:pPr>
        <w:pStyle w:val="NoSpacing"/>
        <w:jc w:val="both"/>
        <w:rPr>
          <w:rFonts w:ascii="Courier New" w:hAnsi="Courier New" w:cs="Courier New"/>
          <w:lang w:val="en-US"/>
        </w:rPr>
      </w:pPr>
      <w:r w:rsidRPr="009B58A9">
        <w:rPr>
          <w:rFonts w:ascii="Courier New" w:hAnsi="Courier New" w:cs="Courier New"/>
          <w:lang w:val="en-US"/>
        </w:rPr>
        <w:t xml:space="preserve"> </w:t>
      </w:r>
    </w:p>
    <w:p w14:paraId="50C9C489" w14:textId="5A7FB1C2" w:rsidR="001E75FC" w:rsidRPr="009B58A9" w:rsidRDefault="00D134CB" w:rsidP="00391B82">
      <w:pPr>
        <w:pStyle w:val="NoSpacing"/>
        <w:jc w:val="both"/>
        <w:rPr>
          <w:rFonts w:ascii="Courier New" w:hAnsi="Courier New" w:cs="Courier New"/>
          <w:lang w:val="en-US"/>
        </w:rPr>
      </w:pPr>
      <w:r w:rsidRPr="009B58A9">
        <w:rPr>
          <w:rFonts w:ascii="Courier New" w:hAnsi="Courier New" w:cs="Courier New"/>
          <w:lang w:val="en-US"/>
        </w:rPr>
        <w:t xml:space="preserve">Globally, </w:t>
      </w:r>
      <w:r w:rsidR="000F7D2B">
        <w:rPr>
          <w:rFonts w:ascii="Courier New" w:hAnsi="Courier New" w:cs="Courier New"/>
          <w:lang w:val="en-US"/>
        </w:rPr>
        <w:t>lifetime</w:t>
      </w:r>
      <w:r w:rsidRPr="009B58A9">
        <w:rPr>
          <w:rFonts w:ascii="Courier New" w:hAnsi="Courier New" w:cs="Courier New"/>
          <w:lang w:val="en-US"/>
        </w:rPr>
        <w:t xml:space="preserve"> uncertainty varies considerably between </w:t>
      </w:r>
      <w:r w:rsidR="00D32526" w:rsidRPr="009B58A9">
        <w:rPr>
          <w:rFonts w:ascii="Courier New" w:hAnsi="Courier New" w:cs="Courier New"/>
          <w:lang w:val="en-US"/>
        </w:rPr>
        <w:t>countries.</w:t>
      </w:r>
      <w:r w:rsidR="001E75FC" w:rsidRPr="009B58A9">
        <w:rPr>
          <w:rFonts w:ascii="Courier New" w:hAnsi="Courier New" w:cs="Courier New"/>
          <w:lang w:val="en-US"/>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9B58A9">
        <w:rPr>
          <w:rFonts w:ascii="Courier New" w:hAnsi="Courier New" w:cs="Courier New"/>
          <w:lang w:val="en-US"/>
        </w:rPr>
        <w:instrText xml:space="preserve"> ADDIN EN.CITE </w:instrText>
      </w:r>
      <w:r w:rsidR="009B58A9" w:rsidRPr="009B58A9">
        <w:rPr>
          <w:rFonts w:ascii="Courier New" w:hAnsi="Courier New" w:cs="Courier New"/>
          <w:lang w:val="en-US"/>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9B58A9">
        <w:rPr>
          <w:rFonts w:ascii="Courier New" w:hAnsi="Courier New" w:cs="Courier New"/>
          <w:lang w:val="en-US"/>
        </w:rPr>
        <w:instrText xml:space="preserve"> ADDIN EN.CITE.DATA </w:instrText>
      </w:r>
      <w:r w:rsidR="009B58A9" w:rsidRPr="009B58A9">
        <w:rPr>
          <w:rFonts w:ascii="Courier New" w:hAnsi="Courier New" w:cs="Courier New"/>
          <w:lang w:val="en-US"/>
        </w:rPr>
      </w:r>
      <w:r w:rsidR="009B58A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15-21</w:t>
      </w:r>
      <w:r w:rsidR="001E75FC" w:rsidRPr="009B58A9">
        <w:rPr>
          <w:rFonts w:ascii="Courier New" w:hAnsi="Courier New" w:cs="Courier New"/>
          <w:lang w:val="en-US"/>
        </w:rPr>
        <w:fldChar w:fldCharType="end"/>
      </w:r>
      <w:r w:rsidRPr="009B58A9">
        <w:rPr>
          <w:rFonts w:ascii="Courier New" w:hAnsi="Courier New" w:cs="Courier New"/>
          <w:lang w:val="en-US"/>
        </w:rPr>
        <w:t xml:space="preserve"> Greater uncertainty usually corresponds to those countries with lower life expectancy.</w:t>
      </w:r>
      <w:r w:rsidR="001E75FC" w:rsidRPr="009B58A9">
        <w:rPr>
          <w:rFonts w:ascii="Courier New" w:hAnsi="Courier New" w:cs="Courier New"/>
          <w:lang w:val="en-US"/>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9B58A9">
        <w:rPr>
          <w:rFonts w:ascii="Courier New" w:hAnsi="Courier New" w:cs="Courier New"/>
          <w:lang w:val="en-US"/>
        </w:rPr>
        <w:instrText xml:space="preserve"> ADDIN EN.CITE </w:instrText>
      </w:r>
      <w:r w:rsidR="009B58A9" w:rsidRPr="009B58A9">
        <w:rPr>
          <w:rFonts w:ascii="Courier New" w:hAnsi="Courier New" w:cs="Courier New"/>
          <w:lang w:val="en-US"/>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9B58A9">
        <w:rPr>
          <w:rFonts w:ascii="Courier New" w:hAnsi="Courier New" w:cs="Courier New"/>
          <w:lang w:val="en-US"/>
        </w:rPr>
        <w:instrText xml:space="preserve"> ADDIN EN.CITE.DATA </w:instrText>
      </w:r>
      <w:r w:rsidR="009B58A9" w:rsidRPr="009B58A9">
        <w:rPr>
          <w:rFonts w:ascii="Courier New" w:hAnsi="Courier New" w:cs="Courier New"/>
          <w:lang w:val="en-US"/>
        </w:rPr>
      </w:r>
      <w:r w:rsidR="009B58A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19-21</w:t>
      </w:r>
      <w:r w:rsidR="001E75FC" w:rsidRPr="009B58A9">
        <w:rPr>
          <w:rFonts w:ascii="Courier New" w:hAnsi="Courier New" w:cs="Courier New"/>
          <w:lang w:val="en-US"/>
        </w:rPr>
        <w:fldChar w:fldCharType="end"/>
      </w:r>
      <w:r w:rsidRPr="009B58A9">
        <w:rPr>
          <w:rFonts w:ascii="Courier New" w:hAnsi="Courier New" w:cs="Courier New"/>
          <w:lang w:val="en-US"/>
        </w:rPr>
        <w:t xml:space="preserve"> Over time, </w:t>
      </w:r>
      <w:r w:rsidR="00AE1A30" w:rsidRPr="009B58A9">
        <w:rPr>
          <w:rFonts w:ascii="Courier New" w:hAnsi="Courier New" w:cs="Courier New"/>
          <w:lang w:val="en-US"/>
        </w:rPr>
        <w:t>major decreases in l</w:t>
      </w:r>
      <w:r w:rsidR="00DE54F3" w:rsidRPr="009B58A9">
        <w:rPr>
          <w:rFonts w:ascii="Courier New" w:hAnsi="Courier New" w:cs="Courier New"/>
          <w:lang w:val="en-US"/>
        </w:rPr>
        <w:t>ifespan inequality</w:t>
      </w:r>
      <w:r w:rsidR="00AE1A30" w:rsidRPr="009B58A9">
        <w:rPr>
          <w:rFonts w:ascii="Courier New" w:hAnsi="Courier New" w:cs="Courier New"/>
          <w:lang w:val="en-US"/>
        </w:rPr>
        <w:t xml:space="preserve"> came about from reducing premature mortality</w:t>
      </w:r>
      <w:r w:rsidRPr="009B58A9">
        <w:rPr>
          <w:rFonts w:ascii="Courier New" w:hAnsi="Courier New" w:cs="Courier New"/>
          <w:lang w:val="en-US"/>
        </w:rPr>
        <w:t xml:space="preserve"> since the 18</w:t>
      </w:r>
      <w:r w:rsidRPr="009B58A9">
        <w:rPr>
          <w:rFonts w:ascii="Courier New" w:hAnsi="Courier New" w:cs="Courier New"/>
          <w:vertAlign w:val="superscript"/>
          <w:lang w:val="en-US"/>
        </w:rPr>
        <w:t>th</w:t>
      </w:r>
      <w:r w:rsidRPr="009B58A9">
        <w:rPr>
          <w:rFonts w:ascii="Courier New" w:hAnsi="Courier New" w:cs="Courier New"/>
          <w:lang w:val="en-US"/>
        </w:rPr>
        <w:t xml:space="preserve"> century</w:t>
      </w:r>
      <w:r w:rsidR="00AE1A30" w:rsidRPr="009B58A9">
        <w:rPr>
          <w:rFonts w:ascii="Courier New" w:hAnsi="Courier New" w:cs="Courier New"/>
          <w:lang w:val="en-US"/>
        </w:rPr>
        <w:t>.</w:t>
      </w:r>
      <w:r w:rsidR="001E75FC" w:rsidRPr="009B58A9">
        <w:rPr>
          <w:rFonts w:ascii="Courier New" w:hAnsi="Courier New" w:cs="Courier New"/>
          <w:lang w:val="en-US"/>
        </w:rPr>
        <w:t xml:space="preserve"> </w:t>
      </w:r>
      <w:r w:rsidR="00AE1A30" w:rsidRPr="009B58A9">
        <w:rPr>
          <w:rFonts w:ascii="Courier New" w:hAnsi="Courier New" w:cs="Courier New"/>
          <w:lang w:val="en-US"/>
        </w:rPr>
        <w:t>Particularly from saving lives at infancy</w:t>
      </w:r>
      <w:r w:rsidRPr="009B58A9">
        <w:rPr>
          <w:rFonts w:ascii="Courier New" w:hAnsi="Courier New" w:cs="Courier New"/>
          <w:lang w:val="en-US"/>
        </w:rPr>
        <w:t>, and decreasing infectious diseases and maternal mortality.</w:t>
      </w:r>
      <w:r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&lt;EndNote&gt;&lt;Cite&gt;&lt;Author&gt;Seligman&lt;/Author&gt;&lt;Year&gt;2016&lt;/Year&gt;&lt;RecNum&gt;50&lt;/RecNum&gt;&lt;DisplayText&gt;&lt;style face="superscript"&gt;22&lt;/style&gt;&lt;/DisplayText&gt;&lt;record&gt;&lt;rec-number&gt;50&lt;/rec-number&gt;&lt;foreign-keys&gt;&lt;key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22</w:t>
      </w:r>
      <w:r w:rsidRPr="009B58A9">
        <w:rPr>
          <w:rFonts w:ascii="Courier New" w:hAnsi="Courier New" w:cs="Courier New"/>
          <w:lang w:val="en-US"/>
        </w:rPr>
        <w:fldChar w:fldCharType="end"/>
      </w:r>
      <w:r w:rsidRPr="009B58A9">
        <w:rPr>
          <w:rFonts w:ascii="Courier New" w:hAnsi="Courier New" w:cs="Courier New"/>
          <w:lang w:val="en-US"/>
        </w:rPr>
        <w:t xml:space="preserve"> More recently, reduced cancer mortality has helped to make </w:t>
      </w:r>
      <w:r w:rsidR="000F7D2B">
        <w:rPr>
          <w:rFonts w:ascii="Courier New" w:hAnsi="Courier New" w:cs="Courier New"/>
          <w:lang w:val="en-US"/>
        </w:rPr>
        <w:t xml:space="preserve">length of </w:t>
      </w:r>
      <w:r w:rsidRPr="009B58A9">
        <w:rPr>
          <w:rFonts w:ascii="Courier New" w:hAnsi="Courier New" w:cs="Courier New"/>
          <w:lang w:val="en-US"/>
        </w:rPr>
        <w:t>lives more equal in developed countries.</w:t>
      </w:r>
      <w:r w:rsidR="00D32526"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&lt;EndNote&gt;&lt;Cite&gt;&lt;Author&gt;Aburto&lt;/Author&gt;&lt;Year&gt;2018&lt;/Year&gt;&lt;RecNum&gt;147&lt;/RecNum&gt;&lt;DisplayText&gt;&lt;style face="superscript"&gt;22,23&lt;/style&gt;&lt;/DisplayText&gt;&lt;record&gt;&lt;rec-number&gt;147&lt;/rec-number&gt;&lt;foreign-keys&gt;&lt;key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00D32526"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22,23</w:t>
      </w:r>
      <w:r w:rsidR="00D32526" w:rsidRPr="009B58A9">
        <w:rPr>
          <w:rFonts w:ascii="Courier New" w:hAnsi="Courier New" w:cs="Courier New"/>
          <w:lang w:val="en-US"/>
        </w:rPr>
        <w:fldChar w:fldCharType="end"/>
      </w:r>
      <w:r w:rsidRPr="009B58A9">
        <w:rPr>
          <w:rFonts w:ascii="Courier New" w:hAnsi="Courier New" w:cs="Courier New"/>
          <w:lang w:val="en-US"/>
        </w:rPr>
        <w:t xml:space="preserve"> </w:t>
      </w:r>
      <w:r w:rsidR="001E75FC" w:rsidRPr="009B58A9">
        <w:rPr>
          <w:rFonts w:ascii="Courier New" w:hAnsi="Courier New" w:cs="Courier New"/>
          <w:lang w:val="en-US"/>
        </w:rPr>
        <w:t>However, detailed knowledge is lacking about</w:t>
      </w:r>
      <w:r w:rsidR="00D879E4" w:rsidRPr="009B58A9">
        <w:rPr>
          <w:rFonts w:ascii="Courier New" w:hAnsi="Courier New" w:cs="Courier New"/>
          <w:lang w:val="en-US"/>
        </w:rPr>
        <w:t xml:space="preserve"> whether and</w:t>
      </w:r>
      <w:r w:rsidR="001E75FC" w:rsidRPr="009B58A9">
        <w:rPr>
          <w:rFonts w:ascii="Courier New" w:hAnsi="Courier New" w:cs="Courier New"/>
          <w:lang w:val="en-US"/>
        </w:rPr>
        <w:t xml:space="preserve"> how violence makes lifetimes </w:t>
      </w:r>
      <w:r w:rsidR="00D879E4" w:rsidRPr="009B58A9">
        <w:rPr>
          <w:rFonts w:ascii="Courier New" w:hAnsi="Courier New" w:cs="Courier New"/>
          <w:lang w:val="en-US"/>
        </w:rPr>
        <w:t>uncertain</w:t>
      </w:r>
      <w:r w:rsidR="00FA011B" w:rsidRPr="009B58A9">
        <w:rPr>
          <w:rFonts w:ascii="Courier New" w:hAnsi="Courier New" w:cs="Courier New"/>
          <w:lang w:val="en-US"/>
        </w:rPr>
        <w:t>:</w:t>
      </w:r>
      <w:r w:rsidR="00EA6F3F" w:rsidRPr="009B58A9">
        <w:rPr>
          <w:rFonts w:ascii="Courier New" w:hAnsi="Courier New" w:cs="Courier New"/>
          <w:lang w:val="en-US"/>
        </w:rPr>
        <w:t xml:space="preserve"> a fundamental state of vulnerability. </w:t>
      </w:r>
      <w:r w:rsidR="00D337A1" w:rsidRPr="009B58A9">
        <w:rPr>
          <w:rFonts w:ascii="Courier New" w:hAnsi="Courier New" w:cs="Courier New"/>
          <w:lang w:val="en-US"/>
        </w:rPr>
        <w:t>Studies on how violence affects the quality of life often rely on subjective measures.</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&lt;EndNote&gt;&lt;Cite&gt;&lt;Author&gt;Curiel&lt;/Author&gt;&lt;Year&gt;2018&lt;/Year&gt;&lt;RecNum&gt;150&lt;/RecNum&gt;&lt;DisplayText&gt;&lt;style face="superscript"&gt;24&lt;/style&gt;&lt;/DisplayText&gt;&lt;record&gt;&lt;rec-number&gt;150&lt;/rec-number&gt;&lt;foreign-keys&gt;&lt;key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24</w:t>
      </w:r>
      <w:r w:rsidR="003352EF" w:rsidRPr="009B58A9">
        <w:rPr>
          <w:rFonts w:ascii="Courier New" w:hAnsi="Courier New" w:cs="Courier New"/>
          <w:lang w:val="en-US"/>
        </w:rPr>
        <w:fldChar w:fldCharType="end"/>
      </w:r>
      <w:r w:rsidR="000517D4" w:rsidRPr="009B58A9">
        <w:rPr>
          <w:rFonts w:ascii="Courier New" w:hAnsi="Courier New" w:cs="Courier New"/>
          <w:lang w:val="en-US"/>
        </w:rPr>
        <w:t xml:space="preserve"> </w:t>
      </w:r>
      <w:r w:rsidR="00D72308" w:rsidRPr="009B58A9">
        <w:rPr>
          <w:rFonts w:ascii="Courier New" w:hAnsi="Courier New" w:cs="Courier New"/>
          <w:lang w:val="en-US"/>
        </w:rPr>
        <w:t>F</w:t>
      </w:r>
      <w:r w:rsidR="00D337A1" w:rsidRPr="009B58A9">
        <w:rPr>
          <w:rFonts w:ascii="Courier New" w:hAnsi="Courier New" w:cs="Courier New"/>
          <w:lang w:val="en-US"/>
        </w:rPr>
        <w:t>ear of crime</w:t>
      </w:r>
      <w:r w:rsidR="000F7D2B">
        <w:rPr>
          <w:rFonts w:ascii="Courier New" w:hAnsi="Courier New" w:cs="Courier New"/>
          <w:lang w:val="en-US"/>
        </w:rPr>
        <w:t>, for example,</w:t>
      </w:r>
      <w:r w:rsidR="005F51F2" w:rsidRPr="009B58A9">
        <w:rPr>
          <w:rFonts w:ascii="Courier New" w:hAnsi="Courier New" w:cs="Courier New"/>
          <w:lang w:val="en-US"/>
        </w:rPr>
        <w:t xml:space="preserve"> depends</w:t>
      </w:r>
      <w:r w:rsidR="0003155E" w:rsidRPr="009B58A9">
        <w:rPr>
          <w:rFonts w:ascii="Courier New" w:hAnsi="Courier New" w:cs="Courier New"/>
          <w:lang w:val="en-US"/>
        </w:rPr>
        <w:t xml:space="preserve"> on how individuals perceive their environment and, therefore, might lead to a mismatch between the real uncertainty and how it is perceived.</w:t>
      </w:r>
      <w:r w:rsidR="00D23E57"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&lt;EndNote&gt;&lt;Cite&gt;&lt;Author&gt;Skogan&lt;/Author&gt;&lt;Year&gt;1987&lt;/Year&gt;&lt;RecNum&gt;156&lt;/RecNum&gt;&lt;DisplayText&gt;&lt;style face="superscript"&gt;25&lt;/style&gt;&lt;/DisplayText&gt;&lt;record&gt;&lt;rec-number&gt;156&lt;/rec-number&gt;&lt;foreign-keys&gt;&lt;key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sidR="00D23E57"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25</w:t>
      </w:r>
      <w:r w:rsidR="00D23E57" w:rsidRPr="009B58A9">
        <w:rPr>
          <w:rFonts w:ascii="Courier New" w:hAnsi="Courier New" w:cs="Courier New"/>
          <w:lang w:val="en-US"/>
        </w:rPr>
        <w:fldChar w:fldCharType="end"/>
      </w:r>
      <w:r w:rsidR="0003155E" w:rsidRPr="009B58A9">
        <w:rPr>
          <w:rFonts w:ascii="Courier New" w:hAnsi="Courier New" w:cs="Courier New"/>
          <w:lang w:val="en-US"/>
        </w:rPr>
        <w:t xml:space="preserve"> For </w:t>
      </w:r>
      <w:r w:rsidR="000F7D2B">
        <w:rPr>
          <w:rFonts w:ascii="Courier New" w:hAnsi="Courier New" w:cs="Courier New"/>
          <w:lang w:val="en-US"/>
        </w:rPr>
        <w:t>instance</w:t>
      </w:r>
      <w:r w:rsidR="0003155E" w:rsidRPr="009B58A9">
        <w:rPr>
          <w:rFonts w:ascii="Courier New" w:hAnsi="Courier New" w:cs="Courier New"/>
          <w:lang w:val="en-US"/>
        </w:rPr>
        <w:t xml:space="preserve">, females are more likely to report significant levels of vulnerability, while experiencing </w:t>
      </w:r>
      <w:r w:rsidR="00D23E57" w:rsidRPr="009B58A9">
        <w:rPr>
          <w:rFonts w:ascii="Courier New" w:hAnsi="Courier New" w:cs="Courier New"/>
          <w:lang w:val="en-US"/>
        </w:rPr>
        <w:t xml:space="preserve">lower levels of victimization in periods </w:t>
      </w:r>
      <w:r w:rsidR="002E2703" w:rsidRPr="009B58A9">
        <w:rPr>
          <w:rFonts w:ascii="Courier New" w:hAnsi="Courier New" w:cs="Courier New"/>
          <w:lang w:val="en-US"/>
        </w:rPr>
        <w:t>when</w:t>
      </w:r>
      <w:r w:rsidR="00D23E57" w:rsidRPr="009B58A9">
        <w:rPr>
          <w:rFonts w:ascii="Courier New" w:hAnsi="Courier New" w:cs="Courier New"/>
          <w:lang w:val="en-US"/>
        </w:rPr>
        <w:t xml:space="preserve"> violence</w:t>
      </w:r>
      <w:r w:rsidR="00F60658" w:rsidRPr="009B58A9">
        <w:rPr>
          <w:rFonts w:ascii="Courier New" w:hAnsi="Courier New" w:cs="Courier New"/>
          <w:lang w:val="en-US"/>
        </w:rPr>
        <w:t xml:space="preserve"> is inreasing</w:t>
      </w:r>
      <w:r w:rsidR="00D23E57" w:rsidRPr="009B58A9">
        <w:rPr>
          <w:rFonts w:ascii="Courier New" w:hAnsi="Courier New" w:cs="Courier New"/>
          <w:lang w:val="en-US"/>
        </w:rPr>
        <w:t>.</w:t>
      </w:r>
      <w:r w:rsidR="00D23E57"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&lt;EndNote&gt;&lt;Cite&gt;&lt;Author&gt;Canudas-Romo&lt;/Author&gt;&lt;Year&gt;2017&lt;/Year&gt;&lt;RecNum&gt;92&lt;/RecNum&gt;&lt;DisplayText&gt;&lt;style face="superscript"&gt;26&lt;/style&gt;&lt;/DisplayText&gt;&lt;record&gt;&lt;rec-number&gt;92&lt;/rec-number&gt;&lt;foreign-keys&gt;&lt;key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D23E57"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26</w:t>
      </w:r>
      <w:r w:rsidR="00D23E57" w:rsidRPr="009B58A9">
        <w:rPr>
          <w:rFonts w:ascii="Courier New" w:hAnsi="Courier New" w:cs="Courier New"/>
          <w:lang w:val="en-US"/>
        </w:rPr>
        <w:fldChar w:fldCharType="end"/>
      </w:r>
      <w:r w:rsidR="00D928B8" w:rsidRPr="009B58A9">
        <w:rPr>
          <w:rFonts w:ascii="Courier New" w:hAnsi="Courier New" w:cs="Courier New"/>
          <w:lang w:val="en-US"/>
        </w:rPr>
        <w:t xml:space="preserve"> Certainly, this has an immediate effect on quality of life</w:t>
      </w:r>
      <w:r w:rsidR="000F7D2B">
        <w:rPr>
          <w:rFonts w:ascii="Courier New" w:hAnsi="Courier New" w:cs="Courier New"/>
          <w:lang w:val="en-US"/>
        </w:rPr>
        <w:t>,</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&lt;EndNote&gt;&lt;Cite&gt;&lt;Author&gt;Jackson&lt;/Author&gt;&lt;Year&gt;2009&lt;/Year&gt;&lt;RecNum&gt;151&lt;/RecNum&gt;&lt;DisplayText&gt;&lt;style face="superscript"&gt;27&lt;/style&gt;&lt;/DisplayText&gt;&lt;record&gt;&lt;rec-number&gt;151&lt;/rec-number&gt;&lt;foreign-keys&gt;&lt;key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27</w:t>
      </w:r>
      <w:r w:rsidR="003352EF" w:rsidRPr="009B58A9">
        <w:rPr>
          <w:rFonts w:ascii="Courier New" w:hAnsi="Courier New" w:cs="Courier New"/>
          <w:lang w:val="en-US"/>
        </w:rPr>
        <w:fldChar w:fldCharType="end"/>
      </w:r>
      <w:r w:rsidR="00D928B8" w:rsidRPr="009B58A9">
        <w:rPr>
          <w:rFonts w:ascii="Courier New" w:hAnsi="Courier New" w:cs="Courier New"/>
          <w:lang w:val="en-US"/>
        </w:rPr>
        <w:t xml:space="preserve"> causing higher levels of</w:t>
      </w:r>
      <w:r w:rsidR="00D337A1" w:rsidRPr="009B58A9">
        <w:rPr>
          <w:rFonts w:ascii="Courier New" w:hAnsi="Courier New" w:cs="Courier New"/>
          <w:lang w:val="en-US"/>
        </w:rPr>
        <w:t xml:space="preserve"> paranoia, anxiety and other </w:t>
      </w:r>
      <w:r w:rsidR="003352EF" w:rsidRPr="009B58A9">
        <w:rPr>
          <w:rFonts w:ascii="Courier New" w:hAnsi="Courier New" w:cs="Courier New"/>
          <w:lang w:val="en-US"/>
        </w:rPr>
        <w:t>mental health issues for individuals,</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&lt;EndNote&gt;&lt;Cite&gt;&lt;Author&gt;Ruijsbroek&lt;/Author&gt;&lt;Year&gt;2015&lt;/Year&gt;&lt;RecNum&gt;152&lt;/RecNum&gt;&lt;DisplayText&gt;&lt;style face="superscript"&gt;28&lt;/style&gt;&lt;/DisplayText&gt;&lt;record&gt;&lt;rec-number&gt;152&lt;/rec-number&gt;&lt;foreign-keys&gt;&lt;key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28</w:t>
      </w:r>
      <w:r w:rsidR="003352EF" w:rsidRPr="009B58A9">
        <w:rPr>
          <w:rFonts w:ascii="Courier New" w:hAnsi="Courier New" w:cs="Courier New"/>
          <w:lang w:val="en-US"/>
        </w:rPr>
        <w:fldChar w:fldCharType="end"/>
      </w:r>
      <w:r w:rsidR="003352EF" w:rsidRPr="009B58A9">
        <w:rPr>
          <w:rFonts w:ascii="Courier New" w:hAnsi="Courier New" w:cs="Courier New"/>
          <w:lang w:val="en-US"/>
        </w:rPr>
        <w:t xml:space="preserve"> while promoting segregatio</w:t>
      </w:r>
      <w:r w:rsidR="00D928B8" w:rsidRPr="009B58A9">
        <w:rPr>
          <w:rFonts w:ascii="Courier New" w:hAnsi="Courier New" w:cs="Courier New"/>
          <w:lang w:val="en-US"/>
        </w:rPr>
        <w:t>n at the population level</w:t>
      </w:r>
      <w:r w:rsidR="003352EF" w:rsidRPr="009B58A9">
        <w:rPr>
          <w:rFonts w:ascii="Courier New" w:hAnsi="Courier New" w:cs="Courier New"/>
          <w:lang w:val="en-US"/>
        </w:rPr>
        <w:t>.</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&lt;EndNote&gt;&lt;Cite&gt;&lt;Author&gt;Carro&lt;/Author&gt;&lt;Year&gt;2010&lt;/Year&gt;&lt;RecNum&gt;153&lt;/RecNum&gt;&lt;DisplayText&gt;&lt;style face="superscript"&gt;26,29&lt;/style&gt;&lt;/DisplayText&gt;&lt;record&gt;&lt;rec-number&gt;153&lt;/rec-number&gt;&lt;foreign-keys&gt;&lt;key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26,29</w:t>
      </w:r>
      <w:r w:rsidR="003352EF" w:rsidRPr="009B58A9">
        <w:rPr>
          <w:rFonts w:ascii="Courier New" w:hAnsi="Courier New" w:cs="Courier New"/>
          <w:lang w:val="en-US"/>
        </w:rPr>
        <w:fldChar w:fldCharType="end"/>
      </w:r>
      <w:r w:rsidR="00D72308" w:rsidRPr="009B58A9">
        <w:rPr>
          <w:rFonts w:ascii="Courier New" w:hAnsi="Courier New" w:cs="Courier New"/>
          <w:lang w:val="en-US"/>
        </w:rPr>
        <w:t xml:space="preserve"> </w:t>
      </w:r>
      <w:r w:rsidR="003352EF" w:rsidRPr="009B58A9">
        <w:rPr>
          <w:rFonts w:ascii="Courier New" w:hAnsi="Courier New" w:cs="Courier New"/>
          <w:lang w:val="en-US"/>
        </w:rPr>
        <w:t>Therefore, a f</w:t>
      </w:r>
      <w:r w:rsidR="00D879E4" w:rsidRPr="009B58A9">
        <w:rPr>
          <w:rFonts w:ascii="Courier New" w:hAnsi="Courier New" w:cs="Courier New"/>
          <w:lang w:val="en-US"/>
        </w:rPr>
        <w:t xml:space="preserve">uller </w:t>
      </w:r>
      <w:r w:rsidR="00D879E4" w:rsidRPr="009B58A9">
        <w:rPr>
          <w:rFonts w:ascii="Courier New" w:hAnsi="Courier New" w:cs="Courier New"/>
          <w:lang w:val="en-US"/>
        </w:rPr>
        <w:lastRenderedPageBreak/>
        <w:t>comprehension of the burden of violence on lifespan uncertainty holds potential insights for</w:t>
      </w:r>
      <w:r w:rsidR="00FA011B" w:rsidRPr="009B58A9">
        <w:rPr>
          <w:rFonts w:ascii="Courier New" w:hAnsi="Courier New" w:cs="Courier New"/>
          <w:lang w:val="en-US"/>
        </w:rPr>
        <w:t xml:space="preserve"> the consequences it poses on individuals and societies, their </w:t>
      </w:r>
      <w:r w:rsidR="00DE54F3" w:rsidRPr="009B58A9">
        <w:rPr>
          <w:rFonts w:ascii="Courier New" w:hAnsi="Courier New" w:cs="Courier New"/>
          <w:lang w:val="en-US"/>
        </w:rPr>
        <w:t xml:space="preserve">behavior in </w:t>
      </w:r>
      <w:r w:rsidR="00D879E4" w:rsidRPr="009B58A9">
        <w:rPr>
          <w:rFonts w:ascii="Courier New" w:hAnsi="Courier New" w:cs="Courier New"/>
          <w:lang w:val="en-US"/>
        </w:rPr>
        <w:t>violent environments</w:t>
      </w:r>
      <w:r w:rsidR="00A60316" w:rsidRPr="009B58A9">
        <w:rPr>
          <w:rFonts w:ascii="Courier New" w:hAnsi="Courier New" w:cs="Courier New"/>
          <w:lang w:val="en-US"/>
        </w:rPr>
        <w:t>,</w:t>
      </w:r>
      <w:r w:rsidR="00D879E4" w:rsidRPr="009B58A9">
        <w:rPr>
          <w:rFonts w:ascii="Courier New" w:hAnsi="Courier New" w:cs="Courier New"/>
          <w:lang w:val="en-US"/>
        </w:rPr>
        <w:t xml:space="preserve"> and </w:t>
      </w:r>
      <w:r w:rsidR="00DE54F3" w:rsidRPr="009B58A9">
        <w:rPr>
          <w:rFonts w:ascii="Courier New" w:hAnsi="Courier New" w:cs="Courier New"/>
          <w:lang w:val="en-US"/>
        </w:rPr>
        <w:t xml:space="preserve">the future of </w:t>
      </w:r>
      <w:r w:rsidR="00D879E4" w:rsidRPr="009B58A9">
        <w:rPr>
          <w:rFonts w:ascii="Courier New" w:hAnsi="Courier New" w:cs="Courier New"/>
          <w:lang w:val="en-US"/>
        </w:rPr>
        <w:t>longevity.</w:t>
      </w:r>
    </w:p>
    <w:p w14:paraId="67858F9D" w14:textId="77777777" w:rsidR="00E71D25" w:rsidRPr="009B58A9" w:rsidRDefault="00E71D25" w:rsidP="00391B82">
      <w:pPr>
        <w:pStyle w:val="NoSpacing"/>
        <w:jc w:val="both"/>
        <w:rPr>
          <w:rFonts w:ascii="Courier New" w:hAnsi="Courier New" w:cs="Courier New"/>
          <w:lang w:val="en-US"/>
        </w:rPr>
      </w:pPr>
    </w:p>
    <w:p w14:paraId="09E35DB2" w14:textId="7D75C03F" w:rsidR="00291FBE" w:rsidRPr="009B58A9" w:rsidRDefault="00E71D25" w:rsidP="00391B82">
      <w:pPr>
        <w:pStyle w:val="NoSpacing"/>
        <w:jc w:val="both"/>
        <w:rPr>
          <w:rFonts w:ascii="Courier New" w:hAnsi="Courier New" w:cs="Courier New"/>
          <w:lang w:val="en-US"/>
        </w:rPr>
      </w:pPr>
      <w:r w:rsidRPr="009B58A9">
        <w:rPr>
          <w:rFonts w:ascii="Courier New" w:hAnsi="Courier New" w:cs="Courier New"/>
          <w:lang w:val="en-US"/>
        </w:rPr>
        <w:t>Here we unify lifetime uncertainty with violence and pose four questions aimed at filling this knowledge gap: How uncertain lifetimes</w:t>
      </w:r>
      <w:r w:rsidR="00D173C9" w:rsidRPr="009B58A9">
        <w:rPr>
          <w:rFonts w:ascii="Courier New" w:hAnsi="Courier New" w:cs="Courier New"/>
          <w:lang w:val="en-US"/>
        </w:rPr>
        <w:t xml:space="preserve"> are</w:t>
      </w:r>
      <w:r w:rsidRPr="009B58A9">
        <w:rPr>
          <w:rFonts w:ascii="Courier New" w:hAnsi="Courier New" w:cs="Courier New"/>
          <w:lang w:val="en-US"/>
        </w:rPr>
        <w:t xml:space="preserve"> in the most dangerous countries in the world, compared with peaceful nations, for males compared with females, and what is the contribution </w:t>
      </w:r>
      <w:r w:rsidR="00291FBE" w:rsidRPr="009B58A9">
        <w:rPr>
          <w:rFonts w:ascii="Courier New" w:hAnsi="Courier New" w:cs="Courier New"/>
          <w:lang w:val="en-US"/>
        </w:rPr>
        <w:t>o</w:t>
      </w:r>
      <w:r w:rsidR="009203AD" w:rsidRPr="009B58A9">
        <w:rPr>
          <w:rFonts w:ascii="Courier New" w:hAnsi="Courier New" w:cs="Courier New"/>
          <w:lang w:val="en-US"/>
        </w:rPr>
        <w:t xml:space="preserve">f </w:t>
      </w:r>
      <w:r w:rsidRPr="009B58A9">
        <w:rPr>
          <w:rFonts w:ascii="Courier New" w:hAnsi="Courier New" w:cs="Courier New"/>
          <w:lang w:val="en-US"/>
        </w:rPr>
        <w:t>violen</w:t>
      </w:r>
      <w:r w:rsidR="009203AD" w:rsidRPr="009B58A9">
        <w:rPr>
          <w:rFonts w:ascii="Courier New" w:hAnsi="Courier New" w:cs="Courier New"/>
          <w:lang w:val="en-US"/>
        </w:rPr>
        <w:t xml:space="preserve">t deaths </w:t>
      </w:r>
      <w:r w:rsidRPr="009B58A9">
        <w:rPr>
          <w:rFonts w:ascii="Courier New" w:hAnsi="Courier New" w:cs="Courier New"/>
          <w:lang w:val="en-US"/>
        </w:rPr>
        <w:t>to the observed differences?</w:t>
      </w:r>
      <w:r w:rsidR="00380DBE" w:rsidRPr="009B58A9">
        <w:rPr>
          <w:rFonts w:ascii="Courier New" w:hAnsi="Courier New" w:cs="Courier New"/>
          <w:lang w:val="en-US"/>
        </w:rPr>
        <w:t xml:space="preserve"> To answer these </w:t>
      </w:r>
      <w:r w:rsidR="009203AD" w:rsidRPr="009B58A9">
        <w:rPr>
          <w:rFonts w:ascii="Courier New" w:hAnsi="Courier New" w:cs="Courier New"/>
          <w:lang w:val="en-US"/>
        </w:rPr>
        <w:t>questions,</w:t>
      </w:r>
      <w:r w:rsidR="00380DBE" w:rsidRPr="009B58A9">
        <w:rPr>
          <w:rFonts w:ascii="Courier New" w:hAnsi="Courier New" w:cs="Courier New"/>
          <w:lang w:val="en-US"/>
        </w:rPr>
        <w:t xml:space="preserve"> we </w:t>
      </w:r>
      <w:r w:rsidR="00F60658" w:rsidRPr="009B58A9">
        <w:rPr>
          <w:rFonts w:ascii="Courier New" w:hAnsi="Courier New" w:cs="Courier New"/>
          <w:lang w:val="en-US"/>
        </w:rPr>
        <w:t>use</w:t>
      </w:r>
      <w:r w:rsidR="00380DBE" w:rsidRPr="009B58A9">
        <w:rPr>
          <w:rFonts w:ascii="Courier New" w:hAnsi="Courier New" w:cs="Courier New"/>
          <w:lang w:val="en-US"/>
        </w:rPr>
        <w:t xml:space="preserve"> </w:t>
      </w:r>
      <w:r w:rsidR="00D173C9" w:rsidRPr="009B58A9">
        <w:rPr>
          <w:rFonts w:ascii="Courier New" w:hAnsi="Courier New" w:cs="Courier New"/>
          <w:lang w:val="en-US"/>
        </w:rPr>
        <w:t xml:space="preserve">mortality </w:t>
      </w:r>
      <w:r w:rsidR="00380DBE" w:rsidRPr="009B58A9">
        <w:rPr>
          <w:rFonts w:ascii="Courier New" w:hAnsi="Courier New" w:cs="Courier New"/>
          <w:lang w:val="en-US"/>
        </w:rPr>
        <w:t xml:space="preserve">data from </w:t>
      </w:r>
      <w:r w:rsidR="00400581" w:rsidRPr="009B58A9">
        <w:rPr>
          <w:rFonts w:ascii="Courier New" w:hAnsi="Courier New" w:cs="Courier New"/>
          <w:lang w:val="en-US"/>
        </w:rPr>
        <w:t>163</w:t>
      </w:r>
      <w:r w:rsidR="00380DBE" w:rsidRPr="009B58A9">
        <w:rPr>
          <w:rFonts w:ascii="Courier New" w:hAnsi="Courier New" w:cs="Courier New"/>
          <w:lang w:val="en-US"/>
        </w:rPr>
        <w:t xml:space="preserve"> nations </w:t>
      </w:r>
      <w:r w:rsidR="009203AD" w:rsidRPr="009B58A9">
        <w:rPr>
          <w:rFonts w:ascii="Courier New" w:hAnsi="Courier New" w:cs="Courier New"/>
          <w:lang w:val="en-US"/>
        </w:rPr>
        <w:t>from the Global Burden of Disease</w:t>
      </w:r>
      <w:r w:rsidR="007D4D01" w:rsidRPr="009B58A9">
        <w:rPr>
          <w:rFonts w:ascii="Courier New" w:hAnsi="Courier New" w:cs="Courier New"/>
          <w:lang w:val="en-US"/>
        </w:rPr>
        <w:t xml:space="preserve"> Study (GBD)</w:t>
      </w:r>
      <w:r w:rsidR="00400581" w:rsidRPr="009B58A9">
        <w:rPr>
          <w:rFonts w:ascii="Courier New" w:hAnsi="Courier New" w:cs="Courier New"/>
          <w:lang w:val="en-US"/>
        </w:rPr>
        <w:t xml:space="preserve"> by sex (3072 life tables</w:t>
      </w:r>
      <w:r w:rsidR="007D4D01" w:rsidRPr="009B58A9">
        <w:rPr>
          <w:rFonts w:ascii="Courier New" w:hAnsi="Courier New" w:cs="Courier New"/>
          <w:lang w:val="en-US"/>
        </w:rPr>
        <w:t>)</w:t>
      </w:r>
      <w:r w:rsidR="00400581" w:rsidRPr="009B58A9">
        <w:rPr>
          <w:rFonts w:ascii="Courier New" w:hAnsi="Courier New" w:cs="Courier New"/>
          <w:lang w:val="en-US"/>
        </w:rPr>
        <w:t>,</w:t>
      </w:r>
      <w:r w:rsidR="007522A5"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7522A5"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30</w:t>
      </w:r>
      <w:r w:rsidR="007522A5" w:rsidRPr="009B58A9">
        <w:rPr>
          <w:rFonts w:ascii="Courier New" w:hAnsi="Courier New" w:cs="Courier New"/>
          <w:lang w:val="en-US"/>
        </w:rPr>
        <w:fldChar w:fldCharType="end"/>
      </w:r>
      <w:r w:rsidR="00400581" w:rsidRPr="009B58A9">
        <w:rPr>
          <w:rFonts w:ascii="Courier New" w:hAnsi="Courier New" w:cs="Courier New"/>
          <w:lang w:val="en-US"/>
        </w:rPr>
        <w:t xml:space="preserve"> and information </w:t>
      </w:r>
      <w:r w:rsidR="00F60658" w:rsidRPr="009B58A9">
        <w:rPr>
          <w:rFonts w:ascii="Courier New" w:hAnsi="Courier New" w:cs="Courier New"/>
          <w:lang w:val="en-US"/>
        </w:rPr>
        <w:t xml:space="preserve">on levels of violence </w:t>
      </w:r>
      <w:r w:rsidR="00400581" w:rsidRPr="009B58A9">
        <w:rPr>
          <w:rFonts w:ascii="Courier New" w:hAnsi="Courier New" w:cs="Courier New"/>
          <w:lang w:val="en-US"/>
        </w:rPr>
        <w:t>from the Global Peace Index for the period 2008-2017.</w:t>
      </w:r>
    </w:p>
    <w:p w14:paraId="728E191A" w14:textId="05974F2D" w:rsidR="00636863" w:rsidRPr="00090083" w:rsidRDefault="007522A5" w:rsidP="00391B82">
      <w:pPr>
        <w:pStyle w:val="NoSpacing"/>
        <w:jc w:val="both"/>
        <w:rPr>
          <w:rFonts w:ascii="Courier New" w:hAnsi="Courier New" w:cs="Courier New"/>
          <w:b/>
          <w:lang w:val="en-US"/>
        </w:rPr>
      </w:pPr>
      <w:r w:rsidRPr="009B58A9">
        <w:rPr>
          <w:rFonts w:ascii="Courier New" w:hAnsi="Courier New" w:cs="Courier New"/>
          <w:lang w:val="en-US"/>
        </w:rPr>
        <w:t xml:space="preserve">                                                                                                                                                 </w:t>
      </w:r>
      <w:r w:rsidR="00090083" w:rsidRPr="00090083">
        <w:rPr>
          <w:rFonts w:ascii="Courier New" w:hAnsi="Courier New" w:cs="Courier New"/>
          <w:b/>
          <w:lang w:val="en-US"/>
        </w:rPr>
        <w:t>Lifetime u</w:t>
      </w:r>
      <w:r w:rsidR="00291FBE" w:rsidRPr="009B58A9">
        <w:rPr>
          <w:rFonts w:ascii="Courier New" w:hAnsi="Courier New" w:cs="Courier New"/>
          <w:b/>
          <w:lang w:val="en-US"/>
        </w:rPr>
        <w:t>ncertainty and violence around the globe</w:t>
      </w:r>
    </w:p>
    <w:p w14:paraId="5065F76D" w14:textId="77777777" w:rsidR="00636863" w:rsidRPr="009B58A9" w:rsidRDefault="00636863" w:rsidP="00391B82">
      <w:pPr>
        <w:pStyle w:val="NoSpacing"/>
        <w:jc w:val="both"/>
        <w:rPr>
          <w:rFonts w:ascii="Courier New" w:hAnsi="Courier New" w:cs="Courier New"/>
          <w:lang w:val="en-US"/>
        </w:rPr>
      </w:pPr>
    </w:p>
    <w:p w14:paraId="6358B3C0" w14:textId="4DD0300D" w:rsidR="00E860E2" w:rsidRPr="00090083" w:rsidRDefault="00291FBE" w:rsidP="00391B82">
      <w:pPr>
        <w:pStyle w:val="NormalWeb"/>
        <w:spacing w:before="0" w:beforeAutospacing="0" w:after="0" w:afterAutospacing="0"/>
        <w:jc w:val="both"/>
        <w:rPr>
          <w:rFonts w:ascii="Courier New" w:hAnsi="Courier New" w:cs="Courier New"/>
          <w:sz w:val="22"/>
          <w:szCs w:val="22"/>
        </w:rPr>
      </w:pPr>
      <w:r w:rsidRPr="009B58A9">
        <w:rPr>
          <w:rFonts w:ascii="Courier New" w:hAnsi="Courier New" w:cs="Courier New"/>
          <w:sz w:val="22"/>
          <w:szCs w:val="22"/>
        </w:rPr>
        <w:t>T</w:t>
      </w:r>
      <w:r w:rsidR="00090083">
        <w:rPr>
          <w:rFonts w:ascii="Courier New" w:hAnsi="Courier New" w:cs="Courier New"/>
          <w:sz w:val="22"/>
          <w:szCs w:val="22"/>
        </w:rPr>
        <w:t>he level of violence in a country is determined by the</w:t>
      </w:r>
      <w:r w:rsidR="00C0364E" w:rsidRPr="009B58A9">
        <w:rPr>
          <w:rFonts w:ascii="Courier New" w:hAnsi="Courier New" w:cs="Courier New"/>
          <w:sz w:val="22"/>
          <w:szCs w:val="22"/>
        </w:rPr>
        <w:t xml:space="preserve"> Global Peace Index</w:t>
      </w:r>
      <w:r w:rsidR="009233B5" w:rsidRPr="009B58A9">
        <w:rPr>
          <w:rFonts w:ascii="Courier New" w:hAnsi="Courier New" w:cs="Courier New"/>
          <w:sz w:val="22"/>
          <w:szCs w:val="22"/>
        </w:rPr>
        <w:t xml:space="preserve"> (GP</w:t>
      </w:r>
      <w:r w:rsidR="00D97BF7" w:rsidRPr="009B58A9">
        <w:rPr>
          <w:rFonts w:ascii="Courier New" w:hAnsi="Courier New" w:cs="Courier New"/>
          <w:sz w:val="22"/>
          <w:szCs w:val="22"/>
        </w:rPr>
        <w:t>I</w:t>
      </w:r>
      <w:r w:rsidR="009233B5" w:rsidRPr="009B58A9">
        <w:rPr>
          <w:rFonts w:ascii="Courier New" w:hAnsi="Courier New" w:cs="Courier New"/>
          <w:sz w:val="22"/>
          <w:szCs w:val="22"/>
        </w:rPr>
        <w:t>)</w:t>
      </w:r>
      <w:r w:rsidR="00C0364E" w:rsidRPr="009B58A9">
        <w:rPr>
          <w:rFonts w:ascii="Courier New" w:hAnsi="Courier New" w:cs="Courier New"/>
          <w:sz w:val="22"/>
          <w:szCs w:val="22"/>
        </w:rPr>
        <w:t>.</w:t>
      </w:r>
      <w:r w:rsidR="00C0364E"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C0364E"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C0364E" w:rsidRPr="009B58A9">
        <w:rPr>
          <w:rFonts w:ascii="Courier New" w:hAnsi="Courier New" w:cs="Courier New"/>
          <w:sz w:val="22"/>
          <w:szCs w:val="22"/>
        </w:rPr>
        <w:fldChar w:fldCharType="end"/>
      </w:r>
      <w:r w:rsidR="006C30B1" w:rsidRPr="009B58A9">
        <w:rPr>
          <w:rFonts w:ascii="Courier New" w:hAnsi="Courier New" w:cs="Courier New"/>
          <w:sz w:val="22"/>
          <w:szCs w:val="22"/>
        </w:rPr>
        <w:t xml:space="preserve"> </w:t>
      </w:r>
      <w:r w:rsidR="00470AA0" w:rsidRPr="009B58A9">
        <w:rPr>
          <w:rFonts w:ascii="Courier New" w:hAnsi="Courier New" w:cs="Courier New"/>
          <w:sz w:val="22"/>
          <w:szCs w:val="22"/>
        </w:rPr>
        <w:t>This index</w:t>
      </w:r>
      <w:r w:rsidR="006C30B1" w:rsidRPr="009B58A9">
        <w:rPr>
          <w:rFonts w:ascii="Courier New" w:hAnsi="Courier New" w:cs="Courier New"/>
          <w:sz w:val="22"/>
          <w:szCs w:val="22"/>
        </w:rPr>
        <w:t xml:space="preserve"> </w:t>
      </w:r>
      <w:r w:rsidR="00381500" w:rsidRPr="009B58A9">
        <w:rPr>
          <w:rFonts w:ascii="Courier New" w:hAnsi="Courier New" w:cs="Courier New"/>
          <w:sz w:val="22"/>
          <w:szCs w:val="22"/>
        </w:rPr>
        <w:t>ranks the peacefulness of 163</w:t>
      </w:r>
      <w:r w:rsidR="00470AA0" w:rsidRPr="009B58A9">
        <w:rPr>
          <w:rFonts w:ascii="Courier New" w:hAnsi="Courier New" w:cs="Courier New"/>
          <w:sz w:val="22"/>
          <w:szCs w:val="22"/>
        </w:rPr>
        <w:t xml:space="preserve"> (99.7% </w:t>
      </w:r>
      <w:r w:rsidR="002376AD" w:rsidRPr="009B58A9">
        <w:rPr>
          <w:rFonts w:ascii="Courier New" w:hAnsi="Courier New" w:cs="Courier New"/>
          <w:sz w:val="22"/>
          <w:szCs w:val="22"/>
        </w:rPr>
        <w:t>of the global population</w:t>
      </w:r>
      <w:r w:rsidR="00470AA0" w:rsidRPr="009B58A9">
        <w:rPr>
          <w:rFonts w:ascii="Courier New" w:hAnsi="Courier New" w:cs="Courier New"/>
          <w:sz w:val="22"/>
          <w:szCs w:val="22"/>
        </w:rPr>
        <w:t>)</w:t>
      </w:r>
      <w:r w:rsidR="00381500" w:rsidRPr="009B58A9">
        <w:rPr>
          <w:rFonts w:ascii="Courier New" w:hAnsi="Courier New" w:cs="Courier New"/>
          <w:sz w:val="22"/>
          <w:szCs w:val="22"/>
        </w:rPr>
        <w:t xml:space="preserve"> countries</w:t>
      </w:r>
      <w:r w:rsidR="006C30B1" w:rsidRPr="009B58A9">
        <w:rPr>
          <w:rFonts w:ascii="Courier New" w:hAnsi="Courier New" w:cs="Courier New"/>
          <w:sz w:val="22"/>
          <w:szCs w:val="22"/>
        </w:rPr>
        <w:t xml:space="preserve"> based on three domains: 1) Ongoing domestic and international conflict, 2) societal safety and security, and 3) militarization. It is </w:t>
      </w:r>
      <w:r w:rsidR="00470AA0" w:rsidRPr="009B58A9">
        <w:rPr>
          <w:rFonts w:ascii="Courier New" w:hAnsi="Courier New" w:cs="Courier New"/>
          <w:sz w:val="22"/>
          <w:szCs w:val="22"/>
        </w:rPr>
        <w:t>constructed</w:t>
      </w:r>
      <w:r w:rsidR="006C30B1" w:rsidRPr="009B58A9">
        <w:rPr>
          <w:rFonts w:ascii="Courier New" w:hAnsi="Courier New" w:cs="Courier New"/>
          <w:sz w:val="22"/>
          <w:szCs w:val="22"/>
        </w:rPr>
        <w:t xml:space="preserve"> </w:t>
      </w:r>
      <w:r w:rsidR="00470AA0" w:rsidRPr="009B58A9">
        <w:rPr>
          <w:rFonts w:ascii="Courier New" w:hAnsi="Courier New" w:cs="Courier New"/>
          <w:sz w:val="22"/>
          <w:szCs w:val="22"/>
        </w:rPr>
        <w:t>with</w:t>
      </w:r>
      <w:r w:rsidR="006C30B1" w:rsidRPr="009B58A9">
        <w:rPr>
          <w:rFonts w:ascii="Courier New" w:hAnsi="Courier New" w:cs="Courier New"/>
          <w:sz w:val="22"/>
          <w:szCs w:val="22"/>
        </w:rPr>
        <w:t xml:space="preserve"> 23 indicators of </w:t>
      </w:r>
      <w:r w:rsidR="002E2703" w:rsidRPr="009B58A9">
        <w:rPr>
          <w:rFonts w:ascii="Courier New" w:hAnsi="Courier New" w:cs="Courier New"/>
          <w:sz w:val="22"/>
          <w:szCs w:val="22"/>
        </w:rPr>
        <w:t>violence</w:t>
      </w:r>
      <w:r w:rsidR="006C30B1" w:rsidRPr="009B58A9">
        <w:rPr>
          <w:rFonts w:ascii="Courier New" w:hAnsi="Courier New" w:cs="Courier New"/>
          <w:sz w:val="22"/>
          <w:szCs w:val="22"/>
        </w:rPr>
        <w:t>, such as number and duration of internal conflicts, level of perceived criminality, and homicide rates.</w:t>
      </w:r>
      <w:r w:rsidR="006C30B1"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6C30B1"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6C30B1" w:rsidRPr="009B58A9">
        <w:rPr>
          <w:rFonts w:ascii="Courier New" w:hAnsi="Courier New" w:cs="Courier New"/>
          <w:sz w:val="22"/>
          <w:szCs w:val="22"/>
        </w:rPr>
        <w:fldChar w:fldCharType="end"/>
      </w:r>
      <w:r w:rsidR="00381500" w:rsidRPr="009B58A9">
        <w:rPr>
          <w:rFonts w:ascii="Courier New" w:hAnsi="Courier New" w:cs="Courier New"/>
          <w:sz w:val="22"/>
          <w:szCs w:val="22"/>
        </w:rPr>
        <w:t xml:space="preserve"> Europe has consistently been the most peaceful region in the wo</w:t>
      </w:r>
      <w:r w:rsidR="00F60658" w:rsidRPr="009B58A9">
        <w:rPr>
          <w:rFonts w:ascii="Courier New" w:hAnsi="Courier New" w:cs="Courier New"/>
          <w:sz w:val="22"/>
          <w:szCs w:val="22"/>
        </w:rPr>
        <w:t>rld over the last decade.</w:t>
      </w:r>
      <w:r w:rsidR="00090083">
        <w:rPr>
          <w:rFonts w:ascii="Courier New" w:hAnsi="Courier New" w:cs="Courier New"/>
          <w:sz w:val="22"/>
          <w:szCs w:val="22"/>
        </w:rPr>
        <w:t xml:space="preserve"> By 2017, the most peaceful nations were Iceland, New Zealand, Portugal, Austria and Denmark. </w:t>
      </w:r>
      <w:r w:rsidR="00F60658" w:rsidRPr="009B58A9">
        <w:rPr>
          <w:rFonts w:ascii="Courier New" w:hAnsi="Courier New" w:cs="Courier New"/>
          <w:sz w:val="22"/>
          <w:szCs w:val="22"/>
        </w:rPr>
        <w:t>While</w:t>
      </w:r>
      <w:r w:rsidR="00381500" w:rsidRPr="009B58A9">
        <w:rPr>
          <w:rFonts w:ascii="Courier New" w:hAnsi="Courier New" w:cs="Courier New"/>
          <w:sz w:val="22"/>
          <w:szCs w:val="22"/>
        </w:rPr>
        <w:t xml:space="preserve"> </w:t>
      </w:r>
      <w:r w:rsidR="00F60658" w:rsidRPr="009B58A9">
        <w:rPr>
          <w:rFonts w:ascii="Courier New" w:hAnsi="Courier New" w:cs="Courier New"/>
          <w:sz w:val="22"/>
          <w:szCs w:val="22"/>
        </w:rPr>
        <w:t xml:space="preserve">the Middle East and North Africa (MENA) are </w:t>
      </w:r>
      <w:r w:rsidR="00381500" w:rsidRPr="009B58A9">
        <w:rPr>
          <w:rFonts w:ascii="Courier New" w:hAnsi="Courier New" w:cs="Courier New"/>
          <w:sz w:val="22"/>
          <w:szCs w:val="22"/>
        </w:rPr>
        <w:t xml:space="preserve">in the other side of the </w:t>
      </w:r>
      <w:r w:rsidR="00470AA0" w:rsidRPr="009B58A9">
        <w:rPr>
          <w:rFonts w:ascii="Courier New" w:hAnsi="Courier New" w:cs="Courier New"/>
          <w:sz w:val="22"/>
          <w:szCs w:val="22"/>
        </w:rPr>
        <w:t xml:space="preserve">spectrum as the </w:t>
      </w:r>
      <w:r w:rsidR="00F60658" w:rsidRPr="009B58A9">
        <w:rPr>
          <w:rFonts w:ascii="Courier New" w:hAnsi="Courier New" w:cs="Courier New"/>
          <w:sz w:val="22"/>
          <w:szCs w:val="22"/>
        </w:rPr>
        <w:t>most violent</w:t>
      </w:r>
      <w:r w:rsidR="00381500" w:rsidRPr="009B58A9">
        <w:rPr>
          <w:rFonts w:ascii="Courier New" w:hAnsi="Courier New" w:cs="Courier New"/>
          <w:sz w:val="22"/>
          <w:szCs w:val="22"/>
        </w:rPr>
        <w:t xml:space="preserve"> regions,</w:t>
      </w:r>
      <w:r w:rsidR="00F60658"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60658"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F60658" w:rsidRPr="009B58A9">
        <w:rPr>
          <w:rFonts w:ascii="Courier New" w:hAnsi="Courier New" w:cs="Courier New"/>
          <w:sz w:val="22"/>
          <w:szCs w:val="22"/>
        </w:rPr>
        <w:fldChar w:fldCharType="end"/>
      </w:r>
      <w:r w:rsidR="00470AA0" w:rsidRPr="009B58A9">
        <w:rPr>
          <w:rFonts w:ascii="Courier New" w:hAnsi="Courier New" w:cs="Courier New"/>
          <w:sz w:val="22"/>
          <w:szCs w:val="22"/>
        </w:rPr>
        <w:t xml:space="preserve"> and Latin America with</w:t>
      </w:r>
      <w:r w:rsidR="00381500" w:rsidRPr="009B58A9">
        <w:rPr>
          <w:rFonts w:ascii="Courier New" w:hAnsi="Courier New" w:cs="Courier New"/>
          <w:sz w:val="22"/>
          <w:szCs w:val="22"/>
        </w:rPr>
        <w:t xml:space="preserve"> highest homicide rates </w:t>
      </w:r>
      <w:r w:rsidR="007C5CA7" w:rsidRPr="009B58A9">
        <w:rPr>
          <w:rFonts w:ascii="Courier New" w:hAnsi="Courier New" w:cs="Courier New"/>
          <w:sz w:val="22"/>
          <w:szCs w:val="22"/>
        </w:rPr>
        <w:t xml:space="preserve">in the world </w:t>
      </w:r>
      <w:r w:rsidR="001359A4" w:rsidRPr="009B58A9">
        <w:rPr>
          <w:rFonts w:ascii="Courier New" w:hAnsi="Courier New" w:cs="Courier New"/>
          <w:sz w:val="22"/>
          <w:szCs w:val="22"/>
        </w:rPr>
        <w:t>(Figure 1A).</w:t>
      </w:r>
      <w:r w:rsidR="007C5CA7"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7C5CA7"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32</w:t>
      </w:r>
      <w:r w:rsidR="007C5CA7" w:rsidRPr="009B58A9">
        <w:rPr>
          <w:rFonts w:ascii="Courier New" w:hAnsi="Courier New" w:cs="Courier New"/>
          <w:sz w:val="22"/>
          <w:szCs w:val="22"/>
        </w:rPr>
        <w:fldChar w:fldCharType="end"/>
      </w:r>
      <w:r w:rsidR="001359A4" w:rsidRPr="009B58A9">
        <w:rPr>
          <w:rFonts w:ascii="Courier New" w:hAnsi="Courier New" w:cs="Courier New"/>
          <w:sz w:val="22"/>
          <w:szCs w:val="22"/>
        </w:rPr>
        <w:t xml:space="preserve"> </w:t>
      </w:r>
      <w:r w:rsidR="00E860E2">
        <w:rPr>
          <w:rFonts w:ascii="Courier New" w:hAnsi="Courier New" w:cs="Courier New"/>
          <w:sz w:val="22"/>
          <w:szCs w:val="22"/>
        </w:rPr>
        <w:t xml:space="preserve">Syria, Afghanistan, Iraq, South Sudan and Yemen were the most dangerous countries. These countries have in common the type of conflict </w:t>
      </w:r>
      <w:r w:rsidR="00E860E2" w:rsidRPr="00E860E2">
        <w:rPr>
          <w:rFonts w:ascii="Courier New" w:hAnsi="Courier New" w:cs="Courier New"/>
          <w:color w:val="FF0000"/>
          <w:sz w:val="22"/>
          <w:szCs w:val="22"/>
        </w:rPr>
        <w:t>[Orsola</w:t>
      </w:r>
      <w:r w:rsidR="00E860E2">
        <w:rPr>
          <w:rFonts w:ascii="Courier New" w:hAnsi="Courier New" w:cs="Courier New"/>
          <w:color w:val="FF0000"/>
          <w:sz w:val="22"/>
          <w:szCs w:val="22"/>
        </w:rPr>
        <w:t>, a couple of sentences</w:t>
      </w:r>
      <w:r w:rsidR="00E860E2" w:rsidRPr="00E860E2">
        <w:rPr>
          <w:rFonts w:ascii="Courier New" w:hAnsi="Courier New" w:cs="Courier New"/>
          <w:color w:val="FF0000"/>
          <w:sz w:val="22"/>
          <w:szCs w:val="22"/>
        </w:rPr>
        <w:t>]</w:t>
      </w:r>
      <w:r w:rsidR="00E860E2" w:rsidRPr="00E860E2">
        <w:rPr>
          <w:rFonts w:ascii="Courier New" w:hAnsi="Courier New" w:cs="Courier New"/>
          <w:color w:val="000000" w:themeColor="text1"/>
          <w:sz w:val="22"/>
          <w:szCs w:val="22"/>
        </w:rPr>
        <w:t>.</w:t>
      </w:r>
      <w:r w:rsidR="00E860E2">
        <w:rPr>
          <w:rFonts w:ascii="Courier New" w:hAnsi="Courier New" w:cs="Courier New"/>
          <w:color w:val="FF0000"/>
          <w:sz w:val="22"/>
          <w:szCs w:val="22"/>
        </w:rPr>
        <w:t xml:space="preserve"> </w:t>
      </w:r>
      <w:r w:rsidR="00E860E2">
        <w:rPr>
          <w:rFonts w:ascii="Courier New" w:hAnsi="Courier New" w:cs="Courier New"/>
          <w:color w:val="000000" w:themeColor="text1"/>
          <w:sz w:val="22"/>
          <w:szCs w:val="22"/>
        </w:rPr>
        <w:t xml:space="preserve">From Latin America, Colombia, Venezuela and Mexico </w:t>
      </w:r>
      <w:r w:rsidR="00342C4A">
        <w:rPr>
          <w:rFonts w:ascii="Courier New" w:hAnsi="Courier New" w:cs="Courier New"/>
          <w:color w:val="000000" w:themeColor="text1"/>
          <w:sz w:val="22"/>
          <w:szCs w:val="22"/>
        </w:rPr>
        <w:t>were</w:t>
      </w:r>
      <w:r w:rsidR="00E860E2">
        <w:rPr>
          <w:rFonts w:ascii="Courier New" w:hAnsi="Courier New" w:cs="Courier New"/>
          <w:color w:val="000000" w:themeColor="text1"/>
          <w:sz w:val="22"/>
          <w:szCs w:val="22"/>
        </w:rPr>
        <w:t xml:space="preserve"> the countries with the highest levels of violence in the region. Venezuela and Mexic</w:t>
      </w:r>
      <w:r w:rsidR="00090083">
        <w:rPr>
          <w:rFonts w:ascii="Courier New" w:hAnsi="Courier New" w:cs="Courier New"/>
          <w:color w:val="000000" w:themeColor="text1"/>
          <w:sz w:val="22"/>
          <w:szCs w:val="22"/>
        </w:rPr>
        <w:t>o</w:t>
      </w:r>
      <w:r w:rsidR="00E860E2">
        <w:rPr>
          <w:rFonts w:ascii="Courier New" w:hAnsi="Courier New" w:cs="Courier New"/>
          <w:color w:val="000000" w:themeColor="text1"/>
          <w:sz w:val="22"/>
          <w:szCs w:val="22"/>
        </w:rPr>
        <w:t xml:space="preserve"> have undergone an unprecedented rise in homicides in the last decade due to political conflict and the war on drugs, respectively.</w:t>
      </w:r>
      <w:r w:rsidR="00090083">
        <w:rPr>
          <w:rFonts w:ascii="Courier New" w:hAnsi="Courier New" w:cs="Courier New"/>
          <w:color w:val="000000" w:themeColor="text1"/>
          <w:sz w:val="22"/>
          <w:szCs w:val="22"/>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Pr>
          <w:rFonts w:ascii="Courier New" w:hAnsi="Courier New" w:cs="Courier New"/>
          <w:color w:val="000000" w:themeColor="text1"/>
          <w:sz w:val="22"/>
          <w:szCs w:val="22"/>
        </w:rPr>
        <w:instrText xml:space="preserve"> ADDIN EN.CITE </w:instrText>
      </w:r>
      <w:r w:rsidR="00090083">
        <w:rPr>
          <w:rFonts w:ascii="Courier New" w:hAnsi="Courier New" w:cs="Courier New"/>
          <w:color w:val="000000" w:themeColor="text1"/>
          <w:sz w:val="22"/>
          <w:szCs w:val="22"/>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Pr>
          <w:rFonts w:ascii="Courier New" w:hAnsi="Courier New" w:cs="Courier New"/>
          <w:color w:val="000000" w:themeColor="text1"/>
          <w:sz w:val="22"/>
          <w:szCs w:val="22"/>
        </w:rPr>
        <w:instrText xml:space="preserve"> ADDIN EN.CITE.DATA </w:instrText>
      </w:r>
      <w:r w:rsidR="00090083">
        <w:rPr>
          <w:rFonts w:ascii="Courier New" w:hAnsi="Courier New" w:cs="Courier New"/>
          <w:color w:val="000000" w:themeColor="text1"/>
          <w:sz w:val="22"/>
          <w:szCs w:val="22"/>
        </w:rPr>
      </w:r>
      <w:r w:rsidR="00090083">
        <w:rPr>
          <w:rFonts w:ascii="Courier New" w:hAnsi="Courier New" w:cs="Courier New"/>
          <w:color w:val="000000" w:themeColor="text1"/>
          <w:sz w:val="22"/>
          <w:szCs w:val="22"/>
        </w:rPr>
        <w:fldChar w:fldCharType="end"/>
      </w:r>
      <w:r w:rsidR="00090083">
        <w:rPr>
          <w:rFonts w:ascii="Courier New" w:hAnsi="Courier New" w:cs="Courier New"/>
          <w:color w:val="000000" w:themeColor="text1"/>
          <w:sz w:val="22"/>
          <w:szCs w:val="22"/>
        </w:rPr>
      </w:r>
      <w:r w:rsidR="00090083">
        <w:rPr>
          <w:rFonts w:ascii="Courier New" w:hAnsi="Courier New" w:cs="Courier New"/>
          <w:color w:val="000000" w:themeColor="text1"/>
          <w:sz w:val="22"/>
          <w:szCs w:val="22"/>
        </w:rPr>
        <w:fldChar w:fldCharType="separate"/>
      </w:r>
      <w:r w:rsidR="00090083" w:rsidRPr="00090083">
        <w:rPr>
          <w:rFonts w:ascii="Courier New" w:hAnsi="Courier New" w:cs="Courier New"/>
          <w:noProof/>
          <w:color w:val="000000" w:themeColor="text1"/>
          <w:sz w:val="22"/>
          <w:szCs w:val="22"/>
          <w:vertAlign w:val="superscript"/>
        </w:rPr>
        <w:t>14,32,33</w:t>
      </w:r>
      <w:r w:rsidR="00090083">
        <w:rPr>
          <w:rFonts w:ascii="Courier New" w:hAnsi="Courier New" w:cs="Courier New"/>
          <w:color w:val="000000" w:themeColor="text1"/>
          <w:sz w:val="22"/>
          <w:szCs w:val="22"/>
        </w:rPr>
        <w:fldChar w:fldCharType="end"/>
      </w:r>
      <w:r w:rsidR="00090083">
        <w:rPr>
          <w:rFonts w:ascii="Courier New" w:hAnsi="Courier New" w:cs="Courier New"/>
          <w:color w:val="000000" w:themeColor="text1"/>
          <w:sz w:val="22"/>
          <w:szCs w:val="22"/>
        </w:rPr>
        <w:t xml:space="preserve"> While Colombia has historically been a country with high homicide rates, even though homicides have declined since 1996.</w:t>
      </w:r>
      <w:r w:rsidR="00090083">
        <w:rPr>
          <w:rFonts w:ascii="Courier New" w:hAnsi="Courier New" w:cs="Courier New"/>
          <w:color w:val="000000" w:themeColor="text1"/>
          <w:sz w:val="22"/>
          <w:szCs w:val="22"/>
        </w:rPr>
        <w:fldChar w:fldCharType="begin"/>
      </w:r>
      <w:r w:rsidR="00090083">
        <w:rPr>
          <w:rFonts w:ascii="Courier New" w:hAnsi="Courier New" w:cs="Courier New"/>
          <w:color w:val="000000" w:themeColor="text1"/>
          <w:sz w:val="22"/>
          <w:szCs w:val="22"/>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90083">
        <w:rPr>
          <w:rFonts w:ascii="Courier New" w:hAnsi="Courier New" w:cs="Courier New"/>
          <w:color w:val="000000" w:themeColor="text1"/>
          <w:sz w:val="22"/>
          <w:szCs w:val="22"/>
        </w:rPr>
        <w:fldChar w:fldCharType="separate"/>
      </w:r>
      <w:r w:rsidR="00090083" w:rsidRPr="00090083">
        <w:rPr>
          <w:rFonts w:ascii="Courier New" w:hAnsi="Courier New" w:cs="Courier New"/>
          <w:noProof/>
          <w:color w:val="000000" w:themeColor="text1"/>
          <w:sz w:val="22"/>
          <w:szCs w:val="22"/>
          <w:vertAlign w:val="superscript"/>
        </w:rPr>
        <w:t>32</w:t>
      </w:r>
      <w:r w:rsidR="00090083">
        <w:rPr>
          <w:rFonts w:ascii="Courier New" w:hAnsi="Courier New" w:cs="Courier New"/>
          <w:color w:val="000000" w:themeColor="text1"/>
          <w:sz w:val="22"/>
          <w:szCs w:val="22"/>
        </w:rPr>
        <w:fldChar w:fldCharType="end"/>
      </w:r>
      <w:r w:rsidR="00E860E2">
        <w:rPr>
          <w:rFonts w:ascii="Courier New" w:hAnsi="Courier New" w:cs="Courier New"/>
          <w:color w:val="000000" w:themeColor="text1"/>
          <w:sz w:val="22"/>
          <w:szCs w:val="22"/>
        </w:rPr>
        <w:t xml:space="preserve"> </w:t>
      </w:r>
    </w:p>
    <w:p w14:paraId="0B6B6C27" w14:textId="77777777" w:rsidR="00090083" w:rsidRPr="00E860E2" w:rsidRDefault="00090083" w:rsidP="00391B82">
      <w:pPr>
        <w:pStyle w:val="NormalWeb"/>
        <w:spacing w:before="0" w:beforeAutospacing="0" w:after="0" w:afterAutospacing="0"/>
        <w:jc w:val="both"/>
        <w:rPr>
          <w:rFonts w:ascii="Courier New" w:hAnsi="Courier New" w:cs="Courier New"/>
          <w:color w:val="000000" w:themeColor="text1"/>
          <w:sz w:val="22"/>
          <w:szCs w:val="22"/>
        </w:rPr>
      </w:pPr>
    </w:p>
    <w:p w14:paraId="38A30E15" w14:textId="77777777" w:rsidR="00391B82" w:rsidRDefault="00E325A3" w:rsidP="00391B82">
      <w:pPr>
        <w:pStyle w:val="NoSpacing"/>
        <w:jc w:val="both"/>
        <w:rPr>
          <w:rFonts w:ascii="Courier New" w:hAnsi="Courier New" w:cs="Courier New"/>
          <w:color w:val="FF0000"/>
          <w:lang w:val="en-US"/>
        </w:rPr>
      </w:pPr>
      <w:r w:rsidRPr="009B58A9">
        <w:rPr>
          <w:rFonts w:ascii="Courier New" w:hAnsi="Courier New" w:cs="Courier New"/>
          <w:lang w:val="en-US"/>
        </w:rPr>
        <w:t>Lifetime u</w:t>
      </w:r>
      <w:r w:rsidR="007C5CA7" w:rsidRPr="009B58A9">
        <w:rPr>
          <w:rFonts w:ascii="Courier New" w:hAnsi="Courier New" w:cs="Courier New"/>
          <w:lang w:val="en-US"/>
        </w:rPr>
        <w:t xml:space="preserve">ncertainty </w:t>
      </w:r>
      <w:r w:rsidR="007D728B" w:rsidRPr="009B58A9">
        <w:rPr>
          <w:rFonts w:ascii="Courier New" w:hAnsi="Courier New" w:cs="Courier New"/>
          <w:lang w:val="en-US"/>
        </w:rPr>
        <w:t>can be</w:t>
      </w:r>
      <w:r w:rsidR="007C5CA7" w:rsidRPr="009B58A9">
        <w:rPr>
          <w:rFonts w:ascii="Courier New" w:hAnsi="Courier New" w:cs="Courier New"/>
          <w:lang w:val="en-US"/>
        </w:rPr>
        <w:t xml:space="preserve"> measured with</w:t>
      </w:r>
      <w:r w:rsidRPr="009B58A9">
        <w:rPr>
          <w:rFonts w:ascii="Courier New" w:hAnsi="Courier New" w:cs="Courier New"/>
          <w:lang w:val="en-US"/>
        </w:rPr>
        <w:t xml:space="preserve"> a summary indicator of </w:t>
      </w:r>
      <w:r w:rsidR="007C5CA7" w:rsidRPr="009B58A9">
        <w:rPr>
          <w:rFonts w:ascii="Courier New" w:hAnsi="Courier New" w:cs="Courier New"/>
          <w:lang w:val="en-US"/>
        </w:rPr>
        <w:t>how similar ages at death</w:t>
      </w:r>
      <w:r w:rsidR="007D728B" w:rsidRPr="009B58A9">
        <w:rPr>
          <w:rFonts w:ascii="Courier New" w:hAnsi="Courier New" w:cs="Courier New"/>
          <w:lang w:val="en-US"/>
        </w:rPr>
        <w:t xml:space="preserve"> are</w:t>
      </w:r>
      <w:r w:rsidRPr="009B58A9">
        <w:rPr>
          <w:rFonts w:ascii="Courier New" w:hAnsi="Courier New" w:cs="Courier New"/>
          <w:lang w:val="en-US"/>
        </w:rPr>
        <w:t xml:space="preserve">. </w:t>
      </w:r>
      <w:r w:rsidR="007C5CA7" w:rsidRPr="009B58A9">
        <w:rPr>
          <w:rFonts w:ascii="Courier New" w:hAnsi="Courier New" w:cs="Courier New"/>
          <w:lang w:val="en-US"/>
        </w:rPr>
        <w:t>M</w:t>
      </w:r>
      <w:r w:rsidRPr="009B58A9">
        <w:rPr>
          <w:rFonts w:ascii="Courier New" w:hAnsi="Courier New" w:cs="Courier New"/>
          <w:lang w:val="en-US"/>
        </w:rPr>
        <w:t xml:space="preserve">ultiple </w:t>
      </w:r>
      <w:r w:rsidR="00187CA8" w:rsidRPr="009B58A9">
        <w:rPr>
          <w:rFonts w:ascii="Courier New" w:hAnsi="Courier New" w:cs="Courier New"/>
          <w:lang w:val="en-US"/>
        </w:rPr>
        <w:t>indicators</w:t>
      </w:r>
      <w:r w:rsidR="007C5CA7" w:rsidRPr="009B58A9">
        <w:rPr>
          <w:rFonts w:ascii="Courier New" w:hAnsi="Courier New" w:cs="Courier New"/>
          <w:lang w:val="en-US"/>
        </w:rPr>
        <w:t xml:space="preserve"> exist</w:t>
      </w:r>
      <w:r w:rsidRPr="009B58A9">
        <w:rPr>
          <w:rFonts w:ascii="Courier New" w:hAnsi="Courier New" w:cs="Courier New"/>
          <w:lang w:val="en-US"/>
        </w:rPr>
        <w:t xml:space="preserve"> for this purpose</w:t>
      </w:r>
      <w:r w:rsidR="00187CA8" w:rsidRPr="009B58A9">
        <w:rPr>
          <w:rFonts w:ascii="Courier New" w:hAnsi="Courier New" w:cs="Courier New"/>
          <w:lang w:val="en-US"/>
        </w:rPr>
        <w:t>,</w:t>
      </w:r>
      <w:r w:rsidR="00187CA8" w:rsidRPr="009B58A9">
        <w:rPr>
          <w:rFonts w:ascii="Courier New" w:hAnsi="Courier New" w:cs="Courier New"/>
          <w:lang w:val="en-US"/>
        </w:rPr>
        <w:fldChar w:fldCharType="begin"/>
      </w:r>
      <w:r w:rsidR="00090083">
        <w:rPr>
          <w:rFonts w:ascii="Courier New" w:hAnsi="Courier New" w:cs="Courier New"/>
          <w:lang w:val="en-US"/>
        </w:rPr>
        <w:instrText xml:space="preserve"> ADDIN EN.CITE &lt;EndNote&gt;&lt;Cite&gt;&lt;Author&gt;van Raalte&lt;/Author&gt;&lt;Year&gt;2013&lt;/Year&gt;&lt;RecNum&gt;9&lt;/RecNum&gt;&lt;DisplayText&gt;&lt;style face="superscript"&gt;34&lt;/style&gt;&lt;/DisplayText&gt;&lt;record&gt;&lt;rec-number&gt;9&lt;/rec-number&gt;&lt;foreign-keys&gt;&lt;key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187CA8" w:rsidRPr="009B58A9">
        <w:rPr>
          <w:rFonts w:ascii="Courier New" w:hAnsi="Courier New" w:cs="Courier New"/>
          <w:lang w:val="en-US"/>
        </w:rPr>
        <w:fldChar w:fldCharType="separate"/>
      </w:r>
      <w:r w:rsidR="00090083" w:rsidRPr="00090083">
        <w:rPr>
          <w:rFonts w:ascii="Courier New" w:hAnsi="Courier New" w:cs="Courier New"/>
          <w:noProof/>
          <w:vertAlign w:val="superscript"/>
          <w:lang w:val="en-US"/>
        </w:rPr>
        <w:t>34</w:t>
      </w:r>
      <w:r w:rsidR="00187CA8" w:rsidRPr="009B58A9">
        <w:rPr>
          <w:rFonts w:ascii="Courier New" w:hAnsi="Courier New" w:cs="Courier New"/>
          <w:lang w:val="en-US"/>
        </w:rPr>
        <w:fldChar w:fldCharType="end"/>
      </w:r>
      <w:r w:rsidR="00187CA8" w:rsidRPr="009B58A9">
        <w:rPr>
          <w:rFonts w:ascii="Courier New" w:hAnsi="Courier New" w:cs="Courier New"/>
          <w:lang w:val="en-US"/>
        </w:rPr>
        <w:t xml:space="preserve"> such as the standard deviation</w:t>
      </w:r>
      <w:r w:rsidR="002D19E2" w:rsidRPr="009B58A9">
        <w:rPr>
          <w:rFonts w:ascii="Courier New" w:hAnsi="Courier New" w:cs="Courier New"/>
          <w:lang w:val="en-US"/>
        </w:rPr>
        <w:t xml:space="preserve"> or</w:t>
      </w:r>
      <w:r w:rsidR="00187CA8" w:rsidRPr="009B58A9">
        <w:rPr>
          <w:rFonts w:ascii="Courier New" w:hAnsi="Courier New" w:cs="Courier New"/>
          <w:lang w:val="en-US"/>
        </w:rPr>
        <w:t xml:space="preserve"> the Gini coefficient</w:t>
      </w:r>
      <w:r w:rsidRPr="009B58A9">
        <w:rPr>
          <w:rFonts w:ascii="Courier New" w:hAnsi="Courier New" w:cs="Courier New"/>
          <w:lang w:val="en-US"/>
        </w:rPr>
        <w:t xml:space="preserve"> of the age-at-death distribution</w:t>
      </w:r>
      <w:r w:rsidR="00187CA8" w:rsidRPr="009B58A9">
        <w:rPr>
          <w:rFonts w:ascii="Courier New" w:hAnsi="Courier New" w:cs="Courier New"/>
          <w:lang w:val="en-US"/>
        </w:rPr>
        <w:t>. We chose the standard deviation</w:t>
      </w:r>
      <w:r w:rsidRPr="009B58A9">
        <w:rPr>
          <w:rFonts w:ascii="Courier New" w:hAnsi="Courier New" w:cs="Courier New"/>
          <w:lang w:val="en-US"/>
        </w:rPr>
        <w:t xml:space="preserve"> </w:t>
      </w:r>
      <w:r w:rsidR="00D84BC7" w:rsidRPr="009B58A9">
        <w:rPr>
          <w:rFonts w:ascii="Courier New" w:hAnsi="Courier New" w:cs="Courier New"/>
          <w:lang w:val="en-US"/>
        </w:rPr>
        <w:t>conditioned to surviving</w:t>
      </w:r>
      <w:r w:rsidR="002D19E2" w:rsidRPr="009B58A9">
        <w:rPr>
          <w:rFonts w:ascii="Courier New" w:hAnsi="Courier New" w:cs="Courier New"/>
          <w:lang w:val="en-US"/>
        </w:rPr>
        <w:t xml:space="preserve"> </w:t>
      </w:r>
      <w:r w:rsidR="00D84BC7" w:rsidRPr="009B58A9">
        <w:rPr>
          <w:rFonts w:ascii="Courier New" w:hAnsi="Courier New" w:cs="Courier New"/>
          <w:lang w:val="en-US"/>
        </w:rPr>
        <w:t>at</w:t>
      </w:r>
      <w:r w:rsidR="002D19E2" w:rsidRPr="009B58A9">
        <w:rPr>
          <w:rFonts w:ascii="Courier New" w:hAnsi="Courier New" w:cs="Courier New"/>
          <w:lang w:val="en-US"/>
        </w:rPr>
        <w:t xml:space="preserve"> age </w:t>
      </w:r>
      <w:r w:rsidRPr="009B58A9">
        <w:rPr>
          <w:rFonts w:ascii="Courier New" w:hAnsi="Courier New" w:cs="Courier New"/>
          <w:lang w:val="en-US"/>
        </w:rPr>
        <w:t>10</w:t>
      </w:r>
      <w:r w:rsidR="002D19E2" w:rsidRPr="009B58A9">
        <w:rPr>
          <w:rFonts w:ascii="Courier New" w:hAnsi="Courier New" w:cs="Courier New"/>
          <w:lang w:val="en-US"/>
        </w:rPr>
        <w:t xml:space="preserve"> to </w:t>
      </w:r>
      <w:r w:rsidR="002376AD" w:rsidRPr="009B58A9">
        <w:rPr>
          <w:rFonts w:ascii="Courier New" w:hAnsi="Courier New" w:cs="Courier New"/>
          <w:lang w:val="en-US"/>
        </w:rPr>
        <w:t>determine how spread ages at death are</w:t>
      </w:r>
      <w:r w:rsidR="00187CA8" w:rsidRPr="009B58A9">
        <w:rPr>
          <w:rFonts w:ascii="Courier New" w:hAnsi="Courier New" w:cs="Courier New"/>
          <w:lang w:val="en-US"/>
        </w:rPr>
        <w:t>.</w:t>
      </w:r>
      <w:r w:rsidR="002D19E2" w:rsidRPr="009B58A9">
        <w:rPr>
          <w:rFonts w:ascii="Courier New" w:hAnsi="Courier New" w:cs="Courier New"/>
          <w:lang w:val="en-US"/>
        </w:rPr>
        <w:t xml:space="preserve"> </w:t>
      </w:r>
      <w:r w:rsidR="00187CA8" w:rsidRPr="009B58A9">
        <w:rPr>
          <w:rFonts w:ascii="Courier New" w:hAnsi="Courier New" w:cs="Courier New"/>
          <w:lang w:val="en-US"/>
        </w:rPr>
        <w:t>The high</w:t>
      </w:r>
      <w:r w:rsidR="00D84BC7" w:rsidRPr="009B58A9">
        <w:rPr>
          <w:rFonts w:ascii="Courier New" w:hAnsi="Courier New" w:cs="Courier New"/>
          <w:lang w:val="en-US"/>
        </w:rPr>
        <w:t xml:space="preserve"> correlation between these indices</w:t>
      </w:r>
      <w:r w:rsidR="00187CA8" w:rsidRPr="009B58A9">
        <w:rPr>
          <w:rFonts w:ascii="Courier New" w:hAnsi="Courier New" w:cs="Courier New"/>
          <w:lang w:val="en-US"/>
        </w:rPr>
        <w:t xml:space="preserve"> suggest</w:t>
      </w:r>
      <w:r w:rsidR="00D84BC7" w:rsidRPr="009B58A9">
        <w:rPr>
          <w:rFonts w:ascii="Courier New" w:hAnsi="Courier New" w:cs="Courier New"/>
          <w:lang w:val="en-US"/>
        </w:rPr>
        <w:t>s</w:t>
      </w:r>
      <w:r w:rsidR="00187CA8" w:rsidRPr="009B58A9">
        <w:rPr>
          <w:rFonts w:ascii="Courier New" w:hAnsi="Courier New" w:cs="Courier New"/>
          <w:lang w:val="en-US"/>
        </w:rPr>
        <w:t xml:space="preserve"> that our results would not change significantly by using </w:t>
      </w:r>
      <w:r w:rsidR="0055618D" w:rsidRPr="009B58A9">
        <w:rPr>
          <w:rFonts w:ascii="Courier New" w:hAnsi="Courier New" w:cs="Courier New"/>
          <w:lang w:val="en-US"/>
        </w:rPr>
        <w:t>another</w:t>
      </w:r>
      <w:r w:rsidR="00187CA8" w:rsidRPr="009B58A9">
        <w:rPr>
          <w:rFonts w:ascii="Courier New" w:hAnsi="Courier New" w:cs="Courier New"/>
          <w:lang w:val="en-US"/>
        </w:rPr>
        <w:t xml:space="preserve"> index.</w:t>
      </w:r>
      <w:r w:rsidR="0055618D" w:rsidRPr="009B58A9">
        <w:rPr>
          <w:rFonts w:ascii="Courier New" w:hAnsi="Courier New" w:cs="Courier New"/>
          <w:lang w:val="en-US"/>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Pr>
          <w:rFonts w:ascii="Courier New" w:hAnsi="Courier New" w:cs="Courier New"/>
          <w:lang w:val="en-US"/>
        </w:rPr>
        <w:instrText xml:space="preserve"> ADDIN EN.CITE </w:instrText>
      </w:r>
      <w:r w:rsidR="00090083">
        <w:rPr>
          <w:rFonts w:ascii="Courier New" w:hAnsi="Courier New" w:cs="Courier New"/>
          <w:lang w:val="en-US"/>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Pr>
          <w:rFonts w:ascii="Courier New" w:hAnsi="Courier New" w:cs="Courier New"/>
          <w:lang w:val="en-US"/>
        </w:rPr>
        <w:instrText xml:space="preserve"> ADDIN EN.CITE.DATA </w:instrText>
      </w:r>
      <w:r w:rsidR="00090083">
        <w:rPr>
          <w:rFonts w:ascii="Courier New" w:hAnsi="Courier New" w:cs="Courier New"/>
          <w:lang w:val="en-US"/>
        </w:rPr>
      </w:r>
      <w:r w:rsidR="00090083">
        <w:rPr>
          <w:rFonts w:ascii="Courier New" w:hAnsi="Courier New" w:cs="Courier New"/>
          <w:lang w:val="en-US"/>
        </w:rPr>
        <w:fldChar w:fldCharType="end"/>
      </w:r>
      <w:r w:rsidR="0055618D" w:rsidRPr="009B58A9">
        <w:rPr>
          <w:rFonts w:ascii="Courier New" w:hAnsi="Courier New" w:cs="Courier New"/>
          <w:lang w:val="en-US"/>
        </w:rPr>
      </w:r>
      <w:r w:rsidR="0055618D" w:rsidRPr="009B58A9">
        <w:rPr>
          <w:rFonts w:ascii="Courier New" w:hAnsi="Courier New" w:cs="Courier New"/>
          <w:lang w:val="en-US"/>
        </w:rPr>
        <w:fldChar w:fldCharType="separate"/>
      </w:r>
      <w:r w:rsidR="00090083" w:rsidRPr="00090083">
        <w:rPr>
          <w:rFonts w:ascii="Courier New" w:hAnsi="Courier New" w:cs="Courier New"/>
          <w:noProof/>
          <w:vertAlign w:val="superscript"/>
          <w:lang w:val="en-US"/>
        </w:rPr>
        <w:t>16,34</w:t>
      </w:r>
      <w:r w:rsidR="0055618D" w:rsidRPr="009B58A9">
        <w:rPr>
          <w:rFonts w:ascii="Courier New" w:hAnsi="Courier New" w:cs="Courier New"/>
          <w:lang w:val="en-US"/>
        </w:rPr>
        <w:fldChar w:fldCharType="end"/>
      </w:r>
      <w:r w:rsidR="00187CA8" w:rsidRPr="009B58A9">
        <w:rPr>
          <w:rFonts w:ascii="Courier New" w:hAnsi="Courier New" w:cs="Courier New"/>
          <w:lang w:val="en-US"/>
        </w:rPr>
        <w:t xml:space="preserve"> </w:t>
      </w:r>
      <w:r w:rsidR="00220843">
        <w:rPr>
          <w:rFonts w:ascii="Courier New" w:hAnsi="Courier New" w:cs="Courier New"/>
          <w:lang w:val="en-US"/>
        </w:rPr>
        <w:t>In Syria, Iraq, El Salvador, South Africa and Venezuela, lifetime uncertainty is extraordinarily high for males and females</w:t>
      </w:r>
      <w:r w:rsidR="00C55DF0">
        <w:rPr>
          <w:rFonts w:ascii="Courier New" w:hAnsi="Courier New" w:cs="Courier New"/>
          <w:lang w:val="en-US"/>
        </w:rPr>
        <w:t xml:space="preserve"> (Figure 1B)</w:t>
      </w:r>
      <w:r w:rsidR="00220843">
        <w:rPr>
          <w:rFonts w:ascii="Courier New" w:hAnsi="Courier New" w:cs="Courier New"/>
          <w:lang w:val="en-US"/>
        </w:rPr>
        <w:t>. This set of countries also share the highest levels of violence. Syria is the most dangerous country in the world and has been for the past five years, while El Salvador</w:t>
      </w:r>
      <w:r w:rsidR="00C55DF0">
        <w:rPr>
          <w:rFonts w:ascii="Courier New" w:hAnsi="Courier New" w:cs="Courier New"/>
          <w:lang w:val="en-US"/>
        </w:rPr>
        <w:t xml:space="preserve"> has presently the second highest homicide rate. In contrast, the Netherlands, Switzerland, Italy, Sweden and Norway are remarkably successful in reducing lifetime uncertainty. </w:t>
      </w:r>
      <w:r w:rsidR="00C55DF0" w:rsidRPr="00C55DF0">
        <w:rPr>
          <w:rFonts w:ascii="Courier New" w:hAnsi="Courier New" w:cs="Courier New"/>
          <w:color w:val="FF0000"/>
          <w:lang w:val="en-US"/>
        </w:rPr>
        <w:t>[Orsola please expand a bit here]</w:t>
      </w:r>
    </w:p>
    <w:p w14:paraId="2507BE96" w14:textId="77777777" w:rsidR="00391B82" w:rsidRDefault="00391B82" w:rsidP="00391B82">
      <w:pPr>
        <w:pStyle w:val="NoSpacing"/>
        <w:jc w:val="both"/>
        <w:rPr>
          <w:b/>
        </w:rPr>
      </w:pPr>
    </w:p>
    <w:p w14:paraId="7D5FD798" w14:textId="77777777" w:rsidR="00391B82" w:rsidRDefault="00391B82" w:rsidP="00391B82">
      <w:pPr>
        <w:pStyle w:val="NoSpacing"/>
        <w:jc w:val="both"/>
        <w:rPr>
          <w:b/>
        </w:rPr>
      </w:pPr>
    </w:p>
    <w:p w14:paraId="6030887F" w14:textId="2A317FF8" w:rsidR="008B63F7" w:rsidRDefault="00F14042" w:rsidP="00391B82">
      <w:pPr>
        <w:pStyle w:val="NoSpacing"/>
        <w:jc w:val="center"/>
        <w:rPr>
          <w:b/>
        </w:rPr>
      </w:pPr>
      <w:r>
        <w:rPr>
          <w:b/>
        </w:rPr>
        <w:t>F</w:t>
      </w:r>
      <w:r w:rsidR="008B63F7" w:rsidRPr="008B63F7">
        <w:rPr>
          <w:b/>
        </w:rPr>
        <w:t xml:space="preserve">igure </w:t>
      </w:r>
      <w:r w:rsidR="008B63F7" w:rsidRPr="008B63F7">
        <w:rPr>
          <w:b/>
        </w:rPr>
        <w:fldChar w:fldCharType="begin"/>
      </w:r>
      <w:r w:rsidR="008B63F7" w:rsidRPr="008B63F7">
        <w:rPr>
          <w:b/>
        </w:rPr>
        <w:instrText xml:space="preserve"> SEQ Figure \* ARABIC </w:instrText>
      </w:r>
      <w:r w:rsidR="008B63F7" w:rsidRPr="008B63F7">
        <w:rPr>
          <w:b/>
        </w:rPr>
        <w:fldChar w:fldCharType="separate"/>
      </w:r>
      <w:r w:rsidR="00CC6D03">
        <w:rPr>
          <w:b/>
          <w:noProof/>
        </w:rPr>
        <w:t>1</w:t>
      </w:r>
      <w:r w:rsidR="008B63F7" w:rsidRPr="008B63F7">
        <w:rPr>
          <w:b/>
        </w:rPr>
        <w:fldChar w:fldCharType="end"/>
      </w:r>
      <w:r w:rsidR="008B63F7" w:rsidRPr="008B63F7">
        <w:rPr>
          <w:b/>
        </w:rPr>
        <w:t xml:space="preserve"> Global level of violence and lifetime uncertainty for males in 2017</w:t>
      </w:r>
    </w:p>
    <w:p w14:paraId="48070B82" w14:textId="77777777" w:rsidR="00391B82" w:rsidRPr="00391B82" w:rsidRDefault="00391B82" w:rsidP="00391B82">
      <w:pPr>
        <w:pStyle w:val="NoSpacing"/>
        <w:jc w:val="both"/>
        <w:rPr>
          <w:rFonts w:ascii="Courier New" w:hAnsi="Courier New" w:cs="Courier New"/>
          <w:lang w:val="en-US"/>
        </w:rPr>
      </w:pPr>
    </w:p>
    <w:p w14:paraId="766229FE" w14:textId="33F4CE20" w:rsidR="00D84BC7" w:rsidRPr="009B58A9" w:rsidRDefault="008B63F7" w:rsidP="00391B82">
      <w:pPr>
        <w:pStyle w:val="NoSpacing"/>
        <w:jc w:val="both"/>
        <w:rPr>
          <w:rFonts w:ascii="Courier New" w:hAnsi="Courier New" w:cs="Courier New"/>
          <w:lang w:val="en-US"/>
        </w:rPr>
      </w:pPr>
      <w:r>
        <w:rPr>
          <w:noProof/>
        </w:rPr>
        <w:drawing>
          <wp:inline distT="0" distB="0" distL="0" distR="0" wp14:anchorId="51947638" wp14:editId="0AFAD59B">
            <wp:extent cx="4768115" cy="5328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806" cy="5352378"/>
                    </a:xfrm>
                    <a:prstGeom prst="rect">
                      <a:avLst/>
                    </a:prstGeom>
                  </pic:spPr>
                </pic:pic>
              </a:graphicData>
            </a:graphic>
          </wp:inline>
        </w:drawing>
      </w:r>
    </w:p>
    <w:p w14:paraId="5B301A0B" w14:textId="77777777" w:rsidR="00F14042" w:rsidRDefault="00F14042" w:rsidP="00391B82">
      <w:pPr>
        <w:pStyle w:val="NoSpacing"/>
        <w:jc w:val="both"/>
        <w:rPr>
          <w:rFonts w:ascii="Courier New" w:hAnsi="Courier New" w:cs="Courier New"/>
          <w:b/>
          <w:lang w:val="en-US"/>
        </w:rPr>
      </w:pPr>
    </w:p>
    <w:p w14:paraId="3367011D" w14:textId="77777777" w:rsidR="0006290F" w:rsidRDefault="00F14042" w:rsidP="00391B82">
      <w:pPr>
        <w:pStyle w:val="NoSpacing"/>
        <w:jc w:val="both"/>
        <w:rPr>
          <w:rFonts w:ascii="Courier New" w:hAnsi="Courier New" w:cs="Courier New"/>
          <w:color w:val="000000"/>
        </w:rPr>
      </w:pPr>
      <w:r w:rsidRPr="009B58A9">
        <w:rPr>
          <w:rFonts w:ascii="Courier New" w:hAnsi="Courier New" w:cs="Courier New"/>
          <w:lang w:val="en-US"/>
        </w:rPr>
        <w:t>Peaceful nations all enjoy low lifetime uncertainty (</w:t>
      </w:r>
      <w:r>
        <w:rPr>
          <w:rFonts w:ascii="Courier New" w:hAnsi="Courier New" w:cs="Courier New"/>
          <w:lang w:val="en-US"/>
        </w:rPr>
        <w:t>F</w:t>
      </w:r>
      <w:r w:rsidRPr="009B58A9">
        <w:rPr>
          <w:rFonts w:ascii="Courier New" w:hAnsi="Courier New" w:cs="Courier New"/>
          <w:lang w:val="en-US"/>
        </w:rPr>
        <w:t xml:space="preserve">igure </w:t>
      </w:r>
      <w:r w:rsidRPr="00F14042">
        <w:rPr>
          <w:rFonts w:ascii="Courier New" w:hAnsi="Courier New" w:cs="Courier New"/>
          <w:lang w:val="en-US"/>
        </w:rPr>
        <w:fldChar w:fldCharType="begin"/>
      </w:r>
      <w:r w:rsidRPr="00F14042">
        <w:rPr>
          <w:rFonts w:ascii="Courier New" w:hAnsi="Courier New" w:cs="Courier New"/>
          <w:lang w:val="en-US"/>
        </w:rPr>
        <w:instrText xml:space="preserve"> SEQ Figure \* ARABIC </w:instrText>
      </w:r>
      <w:r w:rsidRPr="00F14042">
        <w:rPr>
          <w:rFonts w:ascii="Courier New" w:hAnsi="Courier New" w:cs="Courier New"/>
          <w:lang w:val="en-US"/>
        </w:rPr>
        <w:fldChar w:fldCharType="separate"/>
      </w:r>
      <w:r w:rsidRPr="00F14042">
        <w:rPr>
          <w:rFonts w:ascii="Courier New" w:hAnsi="Courier New" w:cs="Courier New"/>
          <w:lang w:val="en-US"/>
        </w:rPr>
        <w:t>2</w:t>
      </w:r>
      <w:r w:rsidRPr="00F14042">
        <w:rPr>
          <w:rFonts w:ascii="Courier New" w:hAnsi="Courier New" w:cs="Courier New"/>
          <w:lang w:val="en-US"/>
        </w:rPr>
        <w:fldChar w:fldCharType="end"/>
      </w:r>
      <w:r w:rsidRPr="009B58A9">
        <w:rPr>
          <w:rFonts w:ascii="Courier New" w:hAnsi="Courier New" w:cs="Courier New"/>
          <w:lang w:val="en-US"/>
        </w:rPr>
        <w:t>)</w:t>
      </w:r>
      <w:r>
        <w:rPr>
          <w:rFonts w:ascii="Courier New" w:hAnsi="Courier New" w:cs="Courier New"/>
          <w:lang w:val="en-US"/>
        </w:rPr>
        <w:t>.</w:t>
      </w:r>
      <w:r w:rsidRPr="009B58A9">
        <w:rPr>
          <w:rFonts w:ascii="Courier New" w:hAnsi="Courier New" w:cs="Courier New"/>
          <w:color w:val="000000"/>
        </w:rPr>
        <w:t xml:space="preserve"> </w:t>
      </w:r>
      <w:r>
        <w:rPr>
          <w:rFonts w:ascii="Courier New" w:hAnsi="Courier New" w:cs="Courier New"/>
          <w:color w:val="000000"/>
        </w:rPr>
        <w:t>T</w:t>
      </w:r>
      <w:r w:rsidRPr="009B58A9">
        <w:rPr>
          <w:rFonts w:ascii="Courier New" w:hAnsi="Courier New" w:cs="Courier New"/>
          <w:color w:val="000000"/>
        </w:rPr>
        <w:t>he most violent countries tend to have higher life</w:t>
      </w:r>
      <w:r>
        <w:rPr>
          <w:rFonts w:ascii="Courier New" w:hAnsi="Courier New" w:cs="Courier New"/>
          <w:color w:val="000000"/>
        </w:rPr>
        <w:t>time</w:t>
      </w:r>
      <w:r w:rsidRPr="009B58A9">
        <w:rPr>
          <w:rFonts w:ascii="Courier New" w:hAnsi="Courier New" w:cs="Courier New"/>
          <w:color w:val="000000"/>
        </w:rPr>
        <w:t xml:space="preserve"> uncertainty.</w:t>
      </w:r>
      <w:r>
        <w:rPr>
          <w:rFonts w:ascii="Courier New" w:hAnsi="Courier New" w:cs="Courier New"/>
          <w:lang w:val="en-US"/>
        </w:rPr>
        <w:t xml:space="preserve"> </w:t>
      </w:r>
      <w:r w:rsidRPr="009B58A9">
        <w:rPr>
          <w:rFonts w:ascii="Courier New" w:hAnsi="Courier New" w:cs="Courier New"/>
          <w:lang w:val="en-US"/>
        </w:rPr>
        <w:t>Between 2008 and 2017, males</w:t>
      </w:r>
      <w:r w:rsidR="007B486D">
        <w:rPr>
          <w:rFonts w:ascii="Courier New" w:hAnsi="Courier New" w:cs="Courier New"/>
          <w:lang w:val="en-US"/>
        </w:rPr>
        <w:t xml:space="preserve"> and females</w:t>
      </w:r>
      <w:r w:rsidRPr="009B58A9">
        <w:rPr>
          <w:rFonts w:ascii="Courier New" w:hAnsi="Courier New" w:cs="Courier New"/>
          <w:lang w:val="en-US"/>
        </w:rPr>
        <w:t xml:space="preserve"> living in the most dangerous countries showed a positive association with experiencing higher uncertainty in lifetime</w:t>
      </w:r>
      <w:r>
        <w:rPr>
          <w:rFonts w:ascii="Courier New" w:hAnsi="Courier New" w:cs="Courier New"/>
          <w:lang w:val="en-US"/>
        </w:rPr>
        <w:t xml:space="preserve"> (</w:t>
      </w:r>
      <w:r w:rsidRPr="009B58A9">
        <w:rPr>
          <w:rFonts w:ascii="Courier New" w:hAnsi="Courier New" w:cs="Courier New"/>
          <w:lang w:val="en-US"/>
        </w:rPr>
        <w:t>correlation between GPI and life uncertainty is 0.51</w:t>
      </w:r>
      <w:r w:rsidR="007B486D">
        <w:rPr>
          <w:rFonts w:ascii="Courier New" w:hAnsi="Courier New" w:cs="Courier New"/>
          <w:lang w:val="en-US"/>
        </w:rPr>
        <w:t xml:space="preserve"> and 0.44</w:t>
      </w:r>
      <w:r w:rsidRPr="009B58A9">
        <w:rPr>
          <w:rFonts w:ascii="Courier New" w:hAnsi="Courier New" w:cs="Courier New"/>
          <w:lang w:val="en-US"/>
        </w:rPr>
        <w:t xml:space="preserve"> for males</w:t>
      </w:r>
      <w:r w:rsidR="007B486D">
        <w:rPr>
          <w:rFonts w:ascii="Courier New" w:hAnsi="Courier New" w:cs="Courier New"/>
          <w:lang w:val="en-US"/>
        </w:rPr>
        <w:t xml:space="preserve"> and females, respectively</w:t>
      </w:r>
      <w:r>
        <w:rPr>
          <w:rFonts w:ascii="Courier New" w:hAnsi="Courier New" w:cs="Courier New"/>
          <w:lang w:val="en-US"/>
        </w:rPr>
        <w:t>)</w:t>
      </w:r>
      <w:r w:rsidRPr="009B58A9">
        <w:rPr>
          <w:rFonts w:ascii="Courier New" w:hAnsi="Courier New" w:cs="Courier New"/>
          <w:lang w:val="en-US"/>
        </w:rPr>
        <w:t>. Moreover, the strong relationship between uncertainty about life and life expectancy suggests that those countries with high levels of violence experience lower levels of life expectancy than the peaceful nations.</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&lt;EndNote&gt;&lt;Cite&gt;&lt;Author&gt;Colchero&lt;/Author&gt;&lt;Year&gt;2016&lt;/Year&gt;&lt;RecNum&gt;58&lt;/RecNum&gt;&lt;DisplayText&gt;&lt;style face="superscript"&gt;16&lt;/style&gt;&lt;/DisplayText&gt;&lt;record&gt;&lt;rec-number&gt;58&lt;/rec-number&gt;&lt;foreign-keys&gt;&lt;key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Sciences&lt;/secondary-title&gt;&lt;/titles&gt;&lt;pages&gt;E7681-E7690&lt;/pages&gt;&lt;volume&gt;113&lt;/volume&gt;&lt;number&gt;48&lt;/number&gt;&lt;dates&gt;&lt;year&gt;2016&lt;/year&gt;&lt;/dates&gt;&lt;publisher&gt;National Acad Sciences&lt;/publisher&gt;&lt;label&gt;Colchero2016&lt;/label&gt;&lt;urls&gt;&lt;/urls&gt;&lt;/record&gt;&lt;/Cite&gt;&lt;/EndNote&gt;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16</w:t>
      </w:r>
      <w:r w:rsidRPr="009B58A9">
        <w:rPr>
          <w:rFonts w:ascii="Courier New" w:hAnsi="Courier New" w:cs="Courier New"/>
          <w:lang w:val="en-US"/>
        </w:rPr>
        <w:fldChar w:fldCharType="end"/>
      </w:r>
      <w:r w:rsidRPr="009B58A9">
        <w:rPr>
          <w:rFonts w:ascii="Courier New" w:hAnsi="Courier New" w:cs="Courier New"/>
          <w:lang w:val="en-US"/>
        </w:rPr>
        <w:t xml:space="preserve"> </w:t>
      </w:r>
      <w:r w:rsidR="007B486D">
        <w:rPr>
          <w:rFonts w:ascii="Courier New" w:hAnsi="Courier New" w:cs="Courier New"/>
          <w:lang w:val="en-US"/>
        </w:rPr>
        <w:t xml:space="preserve">Indeed, </w:t>
      </w:r>
      <w:r w:rsidR="00DE5657">
        <w:rPr>
          <w:rFonts w:ascii="Courier New" w:hAnsi="Courier New" w:cs="Courier New"/>
          <w:lang w:val="en-US"/>
        </w:rPr>
        <w:t xml:space="preserve">males in Syria and Afghanistan had a life expectancy at age 10 of 57.5 and 57.5 years, respectively, while males aged 10 in Iceland and New Zealand had a expected life spans of 70 years, a gap of almost 14 years. </w:t>
      </w:r>
      <w:r>
        <w:rPr>
          <w:rFonts w:ascii="Courier New" w:hAnsi="Courier New" w:cs="Courier New"/>
          <w:color w:val="000000"/>
        </w:rPr>
        <w:t xml:space="preserve">This is important because life uncertainty is a measure of how the length of life varies and GPI measures the level of </w:t>
      </w:r>
      <w:r w:rsidR="00391B82">
        <w:rPr>
          <w:rFonts w:ascii="Courier New" w:hAnsi="Courier New" w:cs="Courier New"/>
          <w:color w:val="000000"/>
        </w:rPr>
        <w:t>violence</w:t>
      </w:r>
      <w:r>
        <w:rPr>
          <w:rFonts w:ascii="Courier New" w:hAnsi="Courier New" w:cs="Courier New"/>
          <w:color w:val="000000"/>
        </w:rPr>
        <w:t xml:space="preserve"> in a country. In principle, the two indicators could be unrelated to each other: A peaceful country could suffer high lifetime uncertainty, while a violent country might display </w:t>
      </w:r>
      <w:r>
        <w:rPr>
          <w:rFonts w:ascii="Courier New" w:hAnsi="Courier New" w:cs="Courier New"/>
          <w:color w:val="000000"/>
        </w:rPr>
        <w:lastRenderedPageBreak/>
        <w:t>lower mortality and uncertainty in life</w:t>
      </w:r>
      <w:r w:rsidR="00391B82">
        <w:rPr>
          <w:rFonts w:ascii="Courier New" w:hAnsi="Courier New" w:cs="Courier New"/>
          <w:color w:val="000000"/>
        </w:rPr>
        <w:t>, and in some cases, this happens</w:t>
      </w:r>
      <w:r w:rsidR="00DE5657">
        <w:rPr>
          <w:rFonts w:ascii="Courier New" w:hAnsi="Courier New" w:cs="Courier New"/>
          <w:color w:val="000000"/>
        </w:rPr>
        <w:t>, as Israel</w:t>
      </w:r>
      <w:r w:rsidR="00391B82">
        <w:rPr>
          <w:rFonts w:ascii="Courier New" w:hAnsi="Courier New" w:cs="Courier New"/>
          <w:color w:val="000000"/>
        </w:rPr>
        <w:t xml:space="preserve">.  </w:t>
      </w:r>
      <w:r w:rsidR="00DE5657">
        <w:rPr>
          <w:rFonts w:ascii="Courier New" w:hAnsi="Courier New" w:cs="Courier New"/>
          <w:color w:val="000000"/>
        </w:rPr>
        <w:t>However, even though t</w:t>
      </w:r>
      <w:r>
        <w:rPr>
          <w:rFonts w:ascii="Courier New" w:hAnsi="Courier New" w:cs="Courier New"/>
          <w:color w:val="000000"/>
        </w:rPr>
        <w:t xml:space="preserve">he set of countries with the highest life uncertainty could be completely different from the set of countries with the highest levels of violence, but it turns out that they overlap. </w:t>
      </w:r>
    </w:p>
    <w:p w14:paraId="33883DA0" w14:textId="77777777" w:rsidR="0006290F" w:rsidRDefault="0006290F" w:rsidP="00391B82">
      <w:pPr>
        <w:pStyle w:val="NoSpacing"/>
        <w:jc w:val="both"/>
        <w:rPr>
          <w:rFonts w:ascii="Courier New" w:hAnsi="Courier New" w:cs="Courier New"/>
          <w:color w:val="000000"/>
        </w:rPr>
      </w:pPr>
    </w:p>
    <w:p w14:paraId="72CD2132" w14:textId="11598D23" w:rsidR="00F14042" w:rsidRPr="00DE5657" w:rsidRDefault="00F14042" w:rsidP="00391B82">
      <w:pPr>
        <w:pStyle w:val="NoSpacing"/>
        <w:jc w:val="both"/>
        <w:rPr>
          <w:rFonts w:ascii="Courier New" w:hAnsi="Courier New" w:cs="Courier New"/>
          <w:lang w:val="en-US"/>
        </w:rPr>
      </w:pPr>
      <w:r>
        <w:rPr>
          <w:rFonts w:ascii="Courier New" w:hAnsi="Courier New" w:cs="Courier New"/>
          <w:color w:val="000000"/>
        </w:rPr>
        <w:t xml:space="preserve">For females, lifetime uncertainty is lower than for males. </w:t>
      </w:r>
      <w:r w:rsidRPr="009B58A9">
        <w:rPr>
          <w:rFonts w:ascii="Courier New" w:hAnsi="Courier New" w:cs="Courier New"/>
          <w:lang w:val="en-US"/>
        </w:rPr>
        <w:t>This advantage, however, is less associated with the levels of violence (correlation of 0.44). We hypothesize that this difference results from higher mortality at young and working ages for males. This is usually referred to as the ‘young-mortality’ hump and it is an important explanatory factor of sex differences in mortality.</w:t>
      </w:r>
      <w:r w:rsidRPr="009B58A9">
        <w:rPr>
          <w:rFonts w:ascii="Courier New" w:hAnsi="Courier New" w:cs="Courier New"/>
          <w:lang w:val="en-US"/>
        </w:rPr>
        <w:fldChar w:fldCharType="begin"/>
      </w:r>
      <w:r>
        <w:rPr>
          <w:rFonts w:ascii="Courier New" w:hAnsi="Courier New" w:cs="Courier New"/>
          <w:lang w:val="en-US"/>
        </w:rPr>
        <w:instrText xml:space="preserve"> ADDIN EN.CITE &lt;EndNote&gt;&lt;Cite&gt;&lt;Author&gt;Remund&lt;/Author&gt;&lt;Year&gt;2018&lt;/Year&gt;&lt;RecNum&gt;158&lt;/RecNum&gt;&lt;DisplayText&gt;&lt;style face="superscript"&gt;35&lt;/style&gt;&lt;/DisplayText&gt;&lt;record&gt;&lt;rec-number&gt;158&lt;/rec-number&gt;&lt;foreign-keys&gt;&lt;key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sidRPr="009B58A9">
        <w:rPr>
          <w:rFonts w:ascii="Courier New" w:hAnsi="Courier New" w:cs="Courier New"/>
          <w:lang w:val="en-US"/>
        </w:rPr>
        <w:fldChar w:fldCharType="separate"/>
      </w:r>
      <w:r w:rsidRPr="00090083">
        <w:rPr>
          <w:rFonts w:ascii="Courier New" w:hAnsi="Courier New" w:cs="Courier New"/>
          <w:noProof/>
          <w:vertAlign w:val="superscript"/>
          <w:lang w:val="en-US"/>
        </w:rPr>
        <w:t>35</w:t>
      </w:r>
      <w:r w:rsidRPr="009B58A9">
        <w:rPr>
          <w:rFonts w:ascii="Courier New" w:hAnsi="Courier New" w:cs="Courier New"/>
          <w:lang w:val="en-US"/>
        </w:rPr>
        <w:fldChar w:fldCharType="end"/>
      </w:r>
      <w:r w:rsidRPr="009B58A9">
        <w:rPr>
          <w:rFonts w:ascii="Courier New" w:hAnsi="Courier New" w:cs="Courier New"/>
          <w:lang w:val="en-US"/>
        </w:rPr>
        <w:t xml:space="preserve"> For example, war related deaths are five times higher for men than for women, and homicide rates in Latin America are 10 times higher for men</w:t>
      </w:r>
      <w:r>
        <w:rPr>
          <w:rFonts w:ascii="Courier New" w:hAnsi="Courier New" w:cs="Courier New"/>
          <w:lang w:val="en-US"/>
        </w:rPr>
        <w:t xml:space="preserve"> than for women</w:t>
      </w:r>
      <w:r w:rsidRPr="009B58A9">
        <w:rPr>
          <w:rFonts w:ascii="Courier New" w:hAnsi="Courier New" w:cs="Courier New"/>
          <w:lang w:val="en-US"/>
        </w:rPr>
        <w:t>.</w:t>
      </w:r>
      <w:r w:rsidRPr="009B58A9">
        <w:rPr>
          <w:rFonts w:ascii="Courier New" w:hAnsi="Courier New" w:cs="Courier New"/>
          <w:lang w:val="en-US"/>
        </w:rPr>
        <w:fldChar w:fldCharType="begin"/>
      </w:r>
      <w:r>
        <w:rPr>
          <w:rFonts w:ascii="Courier New" w:hAnsi="Courier New" w:cs="Courier New"/>
          <w:lang w:val="en-US"/>
        </w:rPr>
        <w:instrText xml:space="preserve"> ADDIN EN.CITE &lt;EndNote&gt;&lt;Cite&gt;&lt;Author&gt;Briceño-León&lt;/Author&gt;&lt;Year&gt;2008&lt;/Year&gt;&lt;RecNum&gt;98&lt;/RecNum&gt;&lt;DisplayText&gt;&lt;style face="superscript"&gt;36&lt;/style&gt;&lt;/DisplayText&gt;&lt;record&gt;&lt;rec-number&gt;98&lt;/rec-number&gt;&lt;foreign-keys&gt;&lt;key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Pr="009B58A9">
        <w:rPr>
          <w:rFonts w:ascii="Courier New" w:hAnsi="Courier New" w:cs="Courier New"/>
          <w:lang w:val="en-US"/>
        </w:rPr>
        <w:fldChar w:fldCharType="separate"/>
      </w:r>
      <w:r w:rsidRPr="00090083">
        <w:rPr>
          <w:rFonts w:ascii="Courier New" w:hAnsi="Courier New" w:cs="Courier New"/>
          <w:noProof/>
          <w:vertAlign w:val="superscript"/>
          <w:lang w:val="en-US"/>
        </w:rPr>
        <w:t>36</w:t>
      </w:r>
      <w:r w:rsidRPr="009B58A9">
        <w:rPr>
          <w:rFonts w:ascii="Courier New" w:hAnsi="Courier New" w:cs="Courier New"/>
          <w:lang w:val="en-US"/>
        </w:rPr>
        <w:fldChar w:fldCharType="end"/>
      </w:r>
      <w:r w:rsidRPr="009B58A9">
        <w:rPr>
          <w:rFonts w:ascii="Courier New" w:hAnsi="Courier New" w:cs="Courier New"/>
          <w:lang w:val="en-US"/>
        </w:rPr>
        <w:t xml:space="preserve"> This highlights the importance of premature mortality on lifetime uncertainty</w:t>
      </w:r>
      <w:r>
        <w:rPr>
          <w:rFonts w:ascii="Courier New" w:hAnsi="Courier New" w:cs="Courier New"/>
          <w:lang w:val="en-US"/>
        </w:rPr>
        <w:t xml:space="preserve"> in contexts of high violence</w:t>
      </w:r>
      <w:r w:rsidRPr="009B58A9">
        <w:rPr>
          <w:rFonts w:ascii="Courier New" w:hAnsi="Courier New" w:cs="Courier New"/>
          <w:lang w:val="en-US"/>
        </w:rPr>
        <w:t>.</w:t>
      </w:r>
    </w:p>
    <w:p w14:paraId="195219AD" w14:textId="77777777" w:rsidR="00F14042" w:rsidRDefault="00F14042" w:rsidP="00391B82">
      <w:pPr>
        <w:pStyle w:val="Caption"/>
        <w:keepNext/>
        <w:jc w:val="center"/>
        <w:rPr>
          <w:rFonts w:ascii="Courier New" w:hAnsi="Courier New" w:cs="Courier New"/>
          <w:i w:val="0"/>
          <w:iCs w:val="0"/>
          <w:color w:val="auto"/>
          <w:sz w:val="22"/>
          <w:szCs w:val="22"/>
          <w:lang w:val="en-US"/>
        </w:rPr>
      </w:pPr>
    </w:p>
    <w:p w14:paraId="2577425F" w14:textId="5BBD3D96" w:rsidR="00CC6D03" w:rsidRPr="00CC6D03" w:rsidRDefault="00CC6D03" w:rsidP="00391B82">
      <w:pPr>
        <w:pStyle w:val="Caption"/>
        <w:keepNext/>
        <w:jc w:val="center"/>
        <w:rPr>
          <w:b/>
          <w:color w:val="auto"/>
          <w:sz w:val="22"/>
        </w:rPr>
      </w:pPr>
      <w:r w:rsidRPr="00CC6D03">
        <w:rPr>
          <w:b/>
          <w:color w:val="auto"/>
          <w:sz w:val="22"/>
        </w:rPr>
        <w:t xml:space="preserve">Figure </w:t>
      </w:r>
      <w:r w:rsidRPr="00CC6D03">
        <w:rPr>
          <w:b/>
          <w:color w:val="auto"/>
          <w:sz w:val="22"/>
        </w:rPr>
        <w:fldChar w:fldCharType="begin"/>
      </w:r>
      <w:r w:rsidRPr="00CC6D03">
        <w:rPr>
          <w:b/>
          <w:color w:val="auto"/>
          <w:sz w:val="22"/>
        </w:rPr>
        <w:instrText xml:space="preserve"> SEQ Figure \* ARABIC </w:instrText>
      </w:r>
      <w:r w:rsidRPr="00CC6D03">
        <w:rPr>
          <w:b/>
          <w:color w:val="auto"/>
          <w:sz w:val="22"/>
        </w:rPr>
        <w:fldChar w:fldCharType="separate"/>
      </w:r>
      <w:r w:rsidRPr="00CC6D03">
        <w:rPr>
          <w:b/>
          <w:color w:val="auto"/>
          <w:sz w:val="22"/>
        </w:rPr>
        <w:t>2</w:t>
      </w:r>
      <w:r w:rsidRPr="00CC6D03">
        <w:rPr>
          <w:b/>
          <w:color w:val="auto"/>
          <w:sz w:val="22"/>
        </w:rPr>
        <w:fldChar w:fldCharType="end"/>
      </w:r>
      <w:r w:rsidRPr="00CC6D03">
        <w:rPr>
          <w:b/>
          <w:color w:val="auto"/>
          <w:sz w:val="22"/>
        </w:rPr>
        <w:t xml:space="preserve"> </w:t>
      </w:r>
      <w:r>
        <w:rPr>
          <w:b/>
          <w:color w:val="auto"/>
          <w:sz w:val="22"/>
        </w:rPr>
        <w:t xml:space="preserve">The relationship between </w:t>
      </w:r>
      <w:r w:rsidR="00232653">
        <w:rPr>
          <w:b/>
          <w:color w:val="auto"/>
          <w:sz w:val="22"/>
        </w:rPr>
        <w:t>lifetime uncertainty and the level of violence in a country</w:t>
      </w:r>
      <w:r w:rsidR="008A5AE3">
        <w:rPr>
          <w:b/>
          <w:color w:val="auto"/>
          <w:sz w:val="22"/>
        </w:rPr>
        <w:t xml:space="preserve"> by sex between 2008 and 2017</w:t>
      </w:r>
      <w:r w:rsidR="00232653">
        <w:rPr>
          <w:b/>
          <w:color w:val="auto"/>
          <w:sz w:val="22"/>
        </w:rPr>
        <w:t>.</w:t>
      </w:r>
    </w:p>
    <w:p w14:paraId="62535E4F" w14:textId="77777777" w:rsidR="00F14042" w:rsidRDefault="00CC6D03" w:rsidP="00391B82">
      <w:pPr>
        <w:pStyle w:val="NoSpacing"/>
        <w:jc w:val="both"/>
        <w:rPr>
          <w:rFonts w:ascii="Courier New" w:hAnsi="Courier New" w:cs="Courier New"/>
          <w:b/>
          <w:lang w:val="en-US"/>
        </w:rPr>
      </w:pPr>
      <w:r>
        <w:rPr>
          <w:noProof/>
        </w:rPr>
        <w:drawing>
          <wp:inline distT="0" distB="0" distL="0" distR="0" wp14:anchorId="212D2ED0" wp14:editId="5FBACE90">
            <wp:extent cx="6185748" cy="33162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7822" cy="3328058"/>
                    </a:xfrm>
                    <a:prstGeom prst="rect">
                      <a:avLst/>
                    </a:prstGeom>
                  </pic:spPr>
                </pic:pic>
              </a:graphicData>
            </a:graphic>
          </wp:inline>
        </w:drawing>
      </w:r>
    </w:p>
    <w:p w14:paraId="6D02B280" w14:textId="49EBBEF2" w:rsidR="00012BF9" w:rsidRDefault="00012BF9" w:rsidP="00391B82">
      <w:pPr>
        <w:pStyle w:val="NoSpacing"/>
        <w:jc w:val="both"/>
        <w:rPr>
          <w:rFonts w:ascii="Courier New" w:hAnsi="Courier New" w:cs="Courier New"/>
          <w:b/>
          <w:lang w:val="en-US"/>
        </w:rPr>
      </w:pPr>
      <w:r w:rsidRPr="009B58A9">
        <w:rPr>
          <w:rFonts w:ascii="Courier New" w:hAnsi="Courier New" w:cs="Courier New"/>
          <w:b/>
          <w:lang w:val="en-US"/>
        </w:rPr>
        <w:t>Contribution of violent deaths to life uncertainty</w:t>
      </w:r>
    </w:p>
    <w:p w14:paraId="74092194" w14:textId="38A4E70A" w:rsidR="00DE5657" w:rsidRDefault="00DE5657" w:rsidP="00391B82">
      <w:pPr>
        <w:pStyle w:val="NoSpacing"/>
        <w:jc w:val="both"/>
        <w:rPr>
          <w:rFonts w:ascii="Courier New" w:hAnsi="Courier New" w:cs="Courier New"/>
          <w:lang w:val="en-US"/>
        </w:rPr>
      </w:pPr>
    </w:p>
    <w:p w14:paraId="74E5369D" w14:textId="73D978A2" w:rsidR="00F14042" w:rsidRPr="00220843" w:rsidRDefault="00DE5657" w:rsidP="00DE5657">
      <w:pPr>
        <w:pStyle w:val="NoSpacing"/>
        <w:jc w:val="both"/>
        <w:rPr>
          <w:rFonts w:ascii="Courier New" w:hAnsi="Courier New" w:cs="Courier New"/>
          <w:lang w:val="en-US"/>
        </w:rPr>
      </w:pPr>
      <w:r>
        <w:rPr>
          <w:rFonts w:ascii="Courier New" w:hAnsi="Courier New" w:cs="Courier New"/>
          <w:lang w:val="en-US"/>
        </w:rPr>
        <w:t xml:space="preserve">To test our hypothesis of the young mortality hump, </w:t>
      </w:r>
      <w:r w:rsidRPr="009B58A9">
        <w:rPr>
          <w:rFonts w:ascii="Courier New" w:hAnsi="Courier New" w:cs="Courier New"/>
          <w:color w:val="000000"/>
        </w:rPr>
        <w:t>we</w:t>
      </w:r>
      <w:r w:rsidR="00F14042" w:rsidRPr="009B58A9">
        <w:rPr>
          <w:rFonts w:ascii="Courier New" w:hAnsi="Courier New" w:cs="Courier New"/>
          <w:color w:val="000000"/>
        </w:rPr>
        <w:t xml:space="preserve"> compare</w:t>
      </w:r>
      <w:r>
        <w:rPr>
          <w:rFonts w:ascii="Courier New" w:hAnsi="Courier New" w:cs="Courier New"/>
          <w:color w:val="000000"/>
        </w:rPr>
        <w:t>d</w:t>
      </w:r>
      <w:r w:rsidR="00F14042" w:rsidRPr="009B58A9">
        <w:rPr>
          <w:rFonts w:ascii="Courier New" w:hAnsi="Courier New" w:cs="Courier New"/>
          <w:color w:val="000000"/>
        </w:rPr>
        <w:t xml:space="preserve"> the 25 countries</w:t>
      </w:r>
      <w:r>
        <w:rPr>
          <w:rFonts w:ascii="Courier New" w:hAnsi="Courier New" w:cs="Courier New"/>
          <w:color w:val="000000"/>
        </w:rPr>
        <w:t xml:space="preserve"> with the highest levels of violence</w:t>
      </w:r>
      <w:r w:rsidR="00F14042" w:rsidRPr="009B58A9">
        <w:rPr>
          <w:rFonts w:ascii="Courier New" w:hAnsi="Courier New" w:cs="Courier New"/>
          <w:color w:val="000000"/>
        </w:rPr>
        <w:t xml:space="preserve"> </w:t>
      </w:r>
      <w:r>
        <w:rPr>
          <w:rFonts w:ascii="Courier New" w:hAnsi="Courier New" w:cs="Courier New"/>
          <w:color w:val="000000"/>
        </w:rPr>
        <w:t>in</w:t>
      </w:r>
      <w:r w:rsidR="00F14042" w:rsidRPr="009B58A9">
        <w:rPr>
          <w:rFonts w:ascii="Courier New" w:hAnsi="Courier New" w:cs="Courier New"/>
          <w:color w:val="000000"/>
        </w:rPr>
        <w:t xml:space="preserve"> 2017 with the set of countries that ranked in the top-10 most peaceful nations in the period 2008-2017</w:t>
      </w:r>
      <w:r>
        <w:rPr>
          <w:rFonts w:ascii="Courier New" w:hAnsi="Courier New" w:cs="Courier New"/>
          <w:color w:val="000000"/>
        </w:rPr>
        <w:t xml:space="preserve">. This robust peaceful region includes </w:t>
      </w:r>
      <w:r w:rsidR="00F14042" w:rsidRPr="009B58A9">
        <w:rPr>
          <w:rFonts w:ascii="Courier New" w:hAnsi="Courier New" w:cs="Courier New"/>
          <w:color w:val="000000"/>
        </w:rPr>
        <w:t>Iceland, New Zealand, Austria, Portugal and Denmark</w:t>
      </w:r>
      <w:r>
        <w:rPr>
          <w:rFonts w:ascii="Courier New" w:hAnsi="Courier New" w:cs="Courier New"/>
          <w:color w:val="000000"/>
        </w:rPr>
        <w:t>, among others</w:t>
      </w:r>
      <w:r w:rsidR="00F14042" w:rsidRPr="009B58A9">
        <w:rPr>
          <w:rFonts w:ascii="Courier New" w:hAnsi="Courier New" w:cs="Courier New"/>
          <w:color w:val="000000"/>
        </w:rPr>
        <w:t>. Syria, Afghanistan, South Sudan, Iraq and Somalia, on the other hand, showed the least peaceful levels in 2017.</w:t>
      </w:r>
      <w:r w:rsidR="00314D92">
        <w:rPr>
          <w:rFonts w:ascii="Courier New" w:hAnsi="Courier New" w:cs="Courier New"/>
          <w:color w:val="000000"/>
        </w:rPr>
        <w:t xml:space="preserve"> This strategy allowed us to identify the ages that drive the difference in lifetime uncertainty between the countries with violent environments and the peaceful region. Additionally, we were able to analyse how much homicides, war-related, and other violent causes of death make more uncertain lifetimes relative to the peaceful region. </w:t>
      </w:r>
      <w:r w:rsidR="00314D92">
        <w:rPr>
          <w:rFonts w:ascii="Courier New" w:hAnsi="Courier New" w:cs="Courier New"/>
          <w:color w:val="000000"/>
        </w:rPr>
        <w:lastRenderedPageBreak/>
        <w:t>These results, however, represent a lower bound as violent deaths are often underestimated and underreported, specially in countries with high violence. For example, in Mexico and Venezuela, the lack of data has made difficult for researcher to estimate the current level of homicides due to misclassification, underreported murders, and the increasing number of missing individuals.</w:t>
      </w:r>
      <w:r w:rsidR="00314D92">
        <w:rPr>
          <w:rFonts w:ascii="Courier New" w:hAnsi="Courier New" w:cs="Courier New"/>
          <w:color w:val="000000"/>
        </w:rPr>
        <w:fldChar w:fldCharType="begin"/>
      </w:r>
      <w:r w:rsidR="00314D92">
        <w:rPr>
          <w:rFonts w:ascii="Courier New" w:hAnsi="Courier New" w:cs="Courier New"/>
          <w:color w:val="000000"/>
        </w:rPr>
        <w:instrText xml:space="preserve"> ADDIN EN.CITE &lt;EndNote&gt;&lt;Cite&gt;&lt;Author&gt;Aburto&lt;/Author&gt;&lt;Year&gt;2018&lt;/Year&gt;&lt;RecNum&gt;127&lt;/RecNum&gt;&lt;DisplayText&gt;&lt;style face="superscript"&gt;37&lt;/style&gt;&lt;/DisplayText&gt;&lt;record&gt;&lt;rec-number&gt;127&lt;/rec-number&gt;&lt;foreign-keys&gt;&lt;key app="EN" db-id="wvs209twpd0rw8e25dcx9ednssap55azsp0p" timestamp="0"&gt;127&lt;/key&gt;&lt;/foreign-keys&gt;&lt;ref-type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ages&gt;e022350&lt;/pages&gt;&lt;volume&gt;8&lt;/volume&gt;&lt;number&gt;7&lt;/number&gt;&lt;dates&gt;&lt;year&gt;2018&lt;/year&gt;&lt;/dates&gt;&lt;isbn&gt;2044-6055&lt;/isbn&gt;&lt;urls&gt;&lt;/urls&gt;&lt;/record&gt;&lt;/Cite&gt;&lt;/EndNote&gt;</w:instrText>
      </w:r>
      <w:r w:rsidR="00314D92">
        <w:rPr>
          <w:rFonts w:ascii="Courier New" w:hAnsi="Courier New" w:cs="Courier New"/>
          <w:color w:val="000000"/>
        </w:rPr>
        <w:fldChar w:fldCharType="separate"/>
      </w:r>
      <w:r w:rsidR="00314D92" w:rsidRPr="00314D92">
        <w:rPr>
          <w:rFonts w:ascii="Courier New" w:hAnsi="Courier New" w:cs="Courier New"/>
          <w:noProof/>
          <w:color w:val="000000"/>
          <w:vertAlign w:val="superscript"/>
        </w:rPr>
        <w:t>37</w:t>
      </w:r>
      <w:r w:rsidR="00314D92">
        <w:rPr>
          <w:rFonts w:ascii="Courier New" w:hAnsi="Courier New" w:cs="Courier New"/>
          <w:color w:val="000000"/>
        </w:rPr>
        <w:fldChar w:fldCharType="end"/>
      </w:r>
    </w:p>
    <w:p w14:paraId="1B86D1A9" w14:textId="620674E3" w:rsidR="00012BF9" w:rsidRDefault="00012BF9" w:rsidP="00391B82">
      <w:pPr>
        <w:pStyle w:val="NoSpacing"/>
        <w:jc w:val="both"/>
        <w:rPr>
          <w:rFonts w:ascii="Courier New" w:hAnsi="Courier New" w:cs="Courier New"/>
          <w:lang w:val="en-US"/>
        </w:rPr>
      </w:pPr>
    </w:p>
    <w:p w14:paraId="2CBF1496" w14:textId="31FFA694" w:rsidR="00E8341E" w:rsidRDefault="00E8341E" w:rsidP="00391B82">
      <w:pPr>
        <w:pStyle w:val="NoSpacing"/>
        <w:jc w:val="both"/>
        <w:rPr>
          <w:rFonts w:ascii="Courier New" w:hAnsi="Courier New" w:cs="Courier New"/>
          <w:color w:val="FF0000"/>
          <w:lang w:val="en-US"/>
        </w:rPr>
      </w:pPr>
      <w:r w:rsidRPr="00E8341E">
        <w:rPr>
          <w:rFonts w:ascii="Courier New" w:hAnsi="Courier New" w:cs="Courier New"/>
          <w:color w:val="FF0000"/>
          <w:lang w:val="en-US"/>
        </w:rPr>
        <w:t>[Orsola describe decomposition results: ages and causes of death]</w:t>
      </w:r>
    </w:p>
    <w:p w14:paraId="37A6572E" w14:textId="77777777" w:rsidR="00E8341E" w:rsidRPr="00E8341E" w:rsidRDefault="00E8341E" w:rsidP="00391B82">
      <w:pPr>
        <w:pStyle w:val="NoSpacing"/>
        <w:jc w:val="both"/>
        <w:rPr>
          <w:rFonts w:ascii="Courier New" w:hAnsi="Courier New" w:cs="Courier New"/>
          <w:color w:val="FF0000"/>
          <w:lang w:val="en-US"/>
        </w:rPr>
      </w:pPr>
    </w:p>
    <w:p w14:paraId="242EFCA4" w14:textId="38F5EAD9" w:rsidR="00E8341E" w:rsidRDefault="002E2703" w:rsidP="00391B82">
      <w:pPr>
        <w:pStyle w:val="NoSpacing"/>
        <w:jc w:val="both"/>
        <w:rPr>
          <w:rFonts w:ascii="Courier New" w:hAnsi="Courier New" w:cs="Courier New"/>
          <w:lang w:val="en-US"/>
        </w:rPr>
      </w:pPr>
      <w:r w:rsidRPr="009B58A9">
        <w:rPr>
          <w:rFonts w:ascii="Courier New" w:hAnsi="Courier New" w:cs="Courier New"/>
          <w:lang w:val="en-US"/>
        </w:rPr>
        <w:t xml:space="preserve">The countries </w:t>
      </w:r>
      <w:r w:rsidR="005F5F2B" w:rsidRPr="009B58A9">
        <w:rPr>
          <w:rFonts w:ascii="Courier New" w:hAnsi="Courier New" w:cs="Courier New"/>
          <w:lang w:val="en-US"/>
        </w:rPr>
        <w:t>with the lowest levels of lifespan uncertainty succeeded not only because of a general lower level of mortality at all ages, but also because their levels of deaths due to war or interpersonal violence are almost inexistent (x and y per 100,000 for males and females, respectively</w:t>
      </w:r>
      <w:r w:rsidR="00682B0A">
        <w:rPr>
          <w:rFonts w:ascii="Courier New" w:hAnsi="Courier New" w:cs="Courier New"/>
          <w:lang w:val="en-US"/>
        </w:rPr>
        <w:t xml:space="preserve"> </w:t>
      </w:r>
      <w:r w:rsidR="00682B0A" w:rsidRPr="00682B0A">
        <w:rPr>
          <w:rFonts w:ascii="Courier New" w:hAnsi="Courier New" w:cs="Courier New"/>
          <w:color w:val="FF0000"/>
          <w:lang w:val="en-US"/>
        </w:rPr>
        <w:t>[Tim?]</w:t>
      </w:r>
      <w:r w:rsidR="005F5F2B" w:rsidRPr="009B58A9">
        <w:rPr>
          <w:rFonts w:ascii="Courier New" w:hAnsi="Courier New" w:cs="Courier New"/>
          <w:lang w:val="en-US"/>
        </w:rPr>
        <w:t xml:space="preserve">). </w:t>
      </w:r>
      <w:r w:rsidR="00D01288" w:rsidRPr="009B58A9">
        <w:rPr>
          <w:rFonts w:ascii="Courier New" w:hAnsi="Courier New" w:cs="Courier New"/>
          <w:lang w:val="en-US"/>
        </w:rPr>
        <w:t>The impact of violenc</w:t>
      </w:r>
      <w:bookmarkStart w:id="0" w:name="_GoBack"/>
      <w:bookmarkEnd w:id="0"/>
      <w:r w:rsidR="00D01288" w:rsidRPr="009B58A9">
        <w:rPr>
          <w:rFonts w:ascii="Courier New" w:hAnsi="Courier New" w:cs="Courier New"/>
          <w:lang w:val="en-US"/>
        </w:rPr>
        <w:t xml:space="preserve">e, through war and interpersonal deaths, on how life is unpredictable in </w:t>
      </w:r>
      <w:r w:rsidR="0000529A" w:rsidRPr="009B58A9">
        <w:rPr>
          <w:rFonts w:ascii="Courier New" w:hAnsi="Courier New" w:cs="Courier New"/>
          <w:lang w:val="en-US"/>
        </w:rPr>
        <w:t xml:space="preserve">countries with high violence is overwhelmingly concentrated in young ages. </w:t>
      </w:r>
    </w:p>
    <w:p w14:paraId="28FC578D" w14:textId="77777777" w:rsidR="00E8341E" w:rsidRDefault="00E8341E" w:rsidP="00391B82">
      <w:pPr>
        <w:pStyle w:val="NoSpacing"/>
        <w:jc w:val="both"/>
        <w:rPr>
          <w:rFonts w:ascii="Courier New" w:hAnsi="Courier New" w:cs="Courier New"/>
          <w:color w:val="FF0000"/>
          <w:lang w:val="en-US"/>
        </w:rPr>
      </w:pPr>
    </w:p>
    <w:p w14:paraId="1E260F4C" w14:textId="11FB1ACA" w:rsidR="002E2703" w:rsidRPr="009B58A9" w:rsidRDefault="005F5F2B" w:rsidP="00391B82">
      <w:pPr>
        <w:pStyle w:val="NoSpacing"/>
        <w:jc w:val="both"/>
        <w:rPr>
          <w:rFonts w:ascii="Courier New" w:hAnsi="Courier New" w:cs="Courier New"/>
          <w:lang w:val="en-US"/>
        </w:rPr>
      </w:pPr>
      <w:r w:rsidRPr="00E8341E">
        <w:rPr>
          <w:rFonts w:ascii="Courier New" w:hAnsi="Courier New" w:cs="Courier New"/>
          <w:color w:val="FF0000"/>
          <w:lang w:val="en-US"/>
        </w:rPr>
        <w:t>[Describe some countries</w:t>
      </w:r>
      <w:r w:rsidR="0000529A" w:rsidRPr="00E8341E">
        <w:rPr>
          <w:rFonts w:ascii="Courier New" w:hAnsi="Courier New" w:cs="Courier New"/>
          <w:color w:val="FF0000"/>
          <w:lang w:val="en-US"/>
        </w:rPr>
        <w:t xml:space="preserve"> and regions</w:t>
      </w:r>
      <w:r w:rsidRPr="00E8341E">
        <w:rPr>
          <w:rFonts w:ascii="Courier New" w:hAnsi="Courier New" w:cs="Courier New"/>
          <w:color w:val="FF0000"/>
          <w:lang w:val="en-US"/>
        </w:rPr>
        <w:t xml:space="preserve"> on this]</w:t>
      </w:r>
    </w:p>
    <w:p w14:paraId="3525945A" w14:textId="77777777" w:rsidR="005F5F2B" w:rsidRPr="009B58A9" w:rsidRDefault="005F5F2B" w:rsidP="00391B82">
      <w:pPr>
        <w:pStyle w:val="NoSpacing"/>
        <w:jc w:val="both"/>
        <w:rPr>
          <w:rFonts w:ascii="Courier New" w:hAnsi="Courier New" w:cs="Courier New"/>
          <w:lang w:val="en-US"/>
        </w:rPr>
      </w:pPr>
    </w:p>
    <w:p w14:paraId="7DB90DF1" w14:textId="77777777" w:rsidR="007C4FDE" w:rsidRPr="009B58A9" w:rsidRDefault="007C4FDE" w:rsidP="00391B82">
      <w:pPr>
        <w:pStyle w:val="NoSpacing"/>
        <w:jc w:val="both"/>
        <w:rPr>
          <w:rFonts w:ascii="Courier New" w:hAnsi="Courier New" w:cs="Courier New"/>
          <w:lang w:val="en-US"/>
        </w:rPr>
      </w:pPr>
      <w:r w:rsidRPr="009B58A9">
        <w:rPr>
          <w:rFonts w:ascii="Courier New" w:hAnsi="Courier New" w:cs="Courier New"/>
          <w:b/>
          <w:lang w:val="en-US"/>
        </w:rPr>
        <w:t>Perspectives</w:t>
      </w:r>
    </w:p>
    <w:p w14:paraId="3F58E12B" w14:textId="77777777" w:rsidR="007C4FDE" w:rsidRPr="009B58A9" w:rsidRDefault="007C4FDE" w:rsidP="00391B82">
      <w:pPr>
        <w:pStyle w:val="NoSpacing"/>
        <w:jc w:val="both"/>
        <w:rPr>
          <w:rFonts w:ascii="Courier New" w:hAnsi="Courier New" w:cs="Courier New"/>
          <w:lang w:val="en-US"/>
        </w:rPr>
      </w:pPr>
    </w:p>
    <w:p w14:paraId="77ABBEDB" w14:textId="11692EE5" w:rsidR="00C06989" w:rsidRDefault="007C4FDE" w:rsidP="00391B82">
      <w:pPr>
        <w:pStyle w:val="NoSpacing"/>
        <w:jc w:val="both"/>
        <w:rPr>
          <w:rFonts w:ascii="Courier New" w:hAnsi="Courier New" w:cs="Courier New"/>
          <w:lang w:val="en-US"/>
        </w:rPr>
      </w:pPr>
      <w:r w:rsidRPr="009B58A9">
        <w:rPr>
          <w:rFonts w:ascii="Courier New" w:hAnsi="Courier New" w:cs="Courier New"/>
          <w:lang w:val="en-US"/>
        </w:rPr>
        <w:t>These findings make clear</w:t>
      </w:r>
    </w:p>
    <w:p w14:paraId="0B38C396" w14:textId="77777777" w:rsidR="00EB41BC" w:rsidRPr="009B58A9" w:rsidRDefault="00EB41BC" w:rsidP="00391B82">
      <w:pPr>
        <w:pStyle w:val="NoSpacing"/>
        <w:jc w:val="both"/>
        <w:rPr>
          <w:rFonts w:ascii="Courier New" w:hAnsi="Courier New" w:cs="Courier New"/>
          <w:lang w:val="en-US"/>
        </w:rPr>
      </w:pPr>
    </w:p>
    <w:p w14:paraId="12C5CB8D" w14:textId="77777777" w:rsidR="006E2972" w:rsidRPr="0056396E" w:rsidRDefault="006E2972"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sidRPr="0056396E">
        <w:rPr>
          <w:rFonts w:ascii="Courier New" w:hAnsi="Courier New" w:cs="Courier New"/>
          <w:color w:val="FF0000"/>
          <w:lang w:val="en-US"/>
        </w:rPr>
        <w:t xml:space="preserve">Tensions, conflicts, and crises that emerged in the past decade remain unresolved, especially in the Middle East, resulting in this gradual, sustained fall in peacefulness. </w:t>
      </w:r>
    </w:p>
    <w:p w14:paraId="491E9A97" w14:textId="26959B90" w:rsidR="006E2972" w:rsidRDefault="006E2972"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sidRPr="0056396E">
        <w:rPr>
          <w:rFonts w:ascii="Courier New" w:hAnsi="Courier New" w:cs="Courier New"/>
          <w:color w:val="FF0000"/>
          <w:lang w:val="en-US"/>
        </w:rPr>
        <w:t xml:space="preserve">The increase and high levels of homicide in Latin America. </w:t>
      </w:r>
    </w:p>
    <w:p w14:paraId="547DB62F" w14:textId="6EC10F2E" w:rsidR="00EB41BC"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Pr>
          <w:rFonts w:ascii="Courier New" w:hAnsi="Courier New" w:cs="Courier New"/>
          <w:color w:val="FF0000"/>
          <w:lang w:val="en-US"/>
        </w:rPr>
        <w:t>The relationship with life expectancy</w:t>
      </w:r>
    </w:p>
    <w:p w14:paraId="7F703930" w14:textId="6F9C133A" w:rsidR="00EB41BC"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Pr>
          <w:rFonts w:ascii="Courier New" w:hAnsi="Courier New" w:cs="Courier New"/>
          <w:color w:val="FF0000"/>
          <w:lang w:val="en-US"/>
        </w:rPr>
        <w:t>Differences between males and females</w:t>
      </w:r>
    </w:p>
    <w:p w14:paraId="519A9340" w14:textId="3837517A" w:rsidR="00EB41BC" w:rsidRPr="0056396E"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Pr>
          <w:rFonts w:ascii="Courier New" w:hAnsi="Courier New" w:cs="Courier New"/>
          <w:color w:val="FF0000"/>
          <w:lang w:val="en-US"/>
        </w:rPr>
        <w:t>The hump hypothesis</w:t>
      </w:r>
    </w:p>
    <w:p w14:paraId="7B9C62EB" w14:textId="3ED2932D" w:rsidR="006A7DE7" w:rsidRPr="006A7DE7" w:rsidRDefault="00C04EB3" w:rsidP="006A7DE7">
      <w:pPr>
        <w:pStyle w:val="ListParagraph"/>
        <w:numPr>
          <w:ilvl w:val="0"/>
          <w:numId w:val="2"/>
        </w:numPr>
        <w:autoSpaceDE w:val="0"/>
        <w:autoSpaceDN w:val="0"/>
        <w:adjustRightInd w:val="0"/>
        <w:spacing w:after="0" w:line="240" w:lineRule="auto"/>
        <w:jc w:val="both"/>
        <w:rPr>
          <w:rFonts w:ascii="Courier New" w:hAnsi="Courier New" w:cs="Courier New"/>
          <w:color w:val="FF0000"/>
          <w:lang w:val="en-US"/>
        </w:rPr>
      </w:pPr>
      <w:r w:rsidRPr="0056396E">
        <w:rPr>
          <w:rFonts w:ascii="Courier New" w:hAnsi="Courier New" w:cs="Courier New"/>
          <w:color w:val="FF0000"/>
          <w:lang w:val="en-US"/>
        </w:rPr>
        <w:t>Subjective survival probabilities</w:t>
      </w:r>
      <w:r w:rsidR="006A7DE7">
        <w:rPr>
          <w:rFonts w:ascii="Courier New" w:hAnsi="Courier New" w:cs="Courier New"/>
          <w:color w:val="FF0000"/>
          <w:lang w:val="en-US"/>
        </w:rPr>
        <w:t xml:space="preserve"> and fear to crime.</w:t>
      </w:r>
    </w:p>
    <w:p w14:paraId="771FC8BF" w14:textId="77777777" w:rsidR="00D23E57" w:rsidRPr="009B58A9" w:rsidRDefault="00D23E57" w:rsidP="00391B82">
      <w:pPr>
        <w:pStyle w:val="NoSpacing"/>
        <w:jc w:val="both"/>
        <w:rPr>
          <w:rFonts w:ascii="Courier New" w:hAnsi="Courier New" w:cs="Courier New"/>
          <w:lang w:val="en-US"/>
        </w:rPr>
      </w:pPr>
    </w:p>
    <w:p w14:paraId="19654EC9" w14:textId="71E9559B" w:rsidR="009036D1" w:rsidRDefault="009036D1" w:rsidP="00391B82">
      <w:pPr>
        <w:pStyle w:val="NoSpacing"/>
        <w:jc w:val="both"/>
        <w:rPr>
          <w:rFonts w:ascii="Courier New" w:hAnsi="Courier New" w:cs="Courier New"/>
          <w:b/>
          <w:lang w:val="en-US"/>
        </w:rPr>
      </w:pPr>
      <w:r w:rsidRPr="009B58A9">
        <w:rPr>
          <w:rFonts w:ascii="Courier New" w:hAnsi="Courier New" w:cs="Courier New"/>
          <w:b/>
          <w:lang w:val="en-US"/>
        </w:rPr>
        <w:t>Acknowledgements:</w:t>
      </w:r>
    </w:p>
    <w:p w14:paraId="1F85FD8B" w14:textId="77777777" w:rsidR="00EB41BC" w:rsidRPr="009B58A9" w:rsidRDefault="00EB41BC" w:rsidP="00391B82">
      <w:pPr>
        <w:pStyle w:val="NoSpacing"/>
        <w:jc w:val="both"/>
        <w:rPr>
          <w:rFonts w:ascii="Courier New" w:hAnsi="Courier New" w:cs="Courier New"/>
          <w:b/>
          <w:lang w:val="en-US"/>
        </w:rPr>
      </w:pPr>
    </w:p>
    <w:p w14:paraId="5E8C312F" w14:textId="70C24321" w:rsidR="009036D1" w:rsidRDefault="009036D1" w:rsidP="00391B82">
      <w:pPr>
        <w:pStyle w:val="NoSpacing"/>
        <w:jc w:val="both"/>
        <w:rPr>
          <w:rFonts w:ascii="Courier New" w:hAnsi="Courier New" w:cs="Courier New"/>
          <w:lang w:val="en-US"/>
        </w:rPr>
      </w:pPr>
      <w:r w:rsidRPr="009B58A9">
        <w:rPr>
          <w:rFonts w:ascii="Courier New" w:hAnsi="Courier New" w:cs="Courier New"/>
          <w:b/>
          <w:lang w:val="en-US"/>
        </w:rPr>
        <w:t>Author contributions:</w:t>
      </w:r>
      <w:r w:rsidR="000C2E72" w:rsidRPr="009B58A9">
        <w:rPr>
          <w:rFonts w:ascii="Courier New" w:hAnsi="Courier New" w:cs="Courier New"/>
          <w:lang w:val="en-US"/>
        </w:rPr>
        <w:t xml:space="preserve"> JMA, </w:t>
      </w:r>
      <w:proofErr w:type="spellStart"/>
      <w:r w:rsidR="000C2E72" w:rsidRPr="009B58A9">
        <w:rPr>
          <w:rFonts w:ascii="Courier New" w:hAnsi="Courier New" w:cs="Courier New"/>
          <w:lang w:val="en-US"/>
        </w:rPr>
        <w:t>VdL</w:t>
      </w:r>
      <w:proofErr w:type="spellEnd"/>
      <w:r w:rsidR="000C2E72" w:rsidRPr="009B58A9">
        <w:rPr>
          <w:rFonts w:ascii="Courier New" w:hAnsi="Courier New" w:cs="Courier New"/>
          <w:lang w:val="en-US"/>
        </w:rPr>
        <w:t>, TR originated the idea and initiated this collaboration.</w:t>
      </w:r>
      <w:r w:rsidR="00EB41BC">
        <w:rPr>
          <w:rFonts w:ascii="Courier New" w:hAnsi="Courier New" w:cs="Courier New"/>
          <w:lang w:val="en-US"/>
        </w:rPr>
        <w:t xml:space="preserve"> </w:t>
      </w:r>
    </w:p>
    <w:p w14:paraId="601C5194" w14:textId="77777777" w:rsidR="00EB41BC" w:rsidRPr="009B58A9" w:rsidRDefault="00EB41BC" w:rsidP="00391B82">
      <w:pPr>
        <w:pStyle w:val="NoSpacing"/>
        <w:jc w:val="both"/>
        <w:rPr>
          <w:rFonts w:ascii="Courier New" w:hAnsi="Courier New" w:cs="Courier New"/>
          <w:lang w:val="en-US"/>
        </w:rPr>
      </w:pPr>
    </w:p>
    <w:p w14:paraId="4347D2CF" w14:textId="77777777" w:rsidR="009036D1" w:rsidRPr="009B58A9" w:rsidRDefault="009036D1" w:rsidP="00391B82">
      <w:pPr>
        <w:pStyle w:val="NoSpacing"/>
        <w:jc w:val="both"/>
        <w:rPr>
          <w:rFonts w:ascii="Courier New" w:hAnsi="Courier New" w:cs="Courier New"/>
          <w:b/>
          <w:lang w:val="en-US"/>
        </w:rPr>
      </w:pPr>
      <w:r w:rsidRPr="009B58A9">
        <w:rPr>
          <w:rFonts w:ascii="Courier New" w:hAnsi="Courier New" w:cs="Courier New"/>
          <w:b/>
          <w:lang w:val="en-US"/>
        </w:rPr>
        <w:t>Competing interests:</w:t>
      </w:r>
      <w:r w:rsidR="000C2E72" w:rsidRPr="009B58A9">
        <w:rPr>
          <w:rFonts w:ascii="Courier New" w:hAnsi="Courier New" w:cs="Courier New"/>
          <w:b/>
          <w:lang w:val="en-US"/>
        </w:rPr>
        <w:t xml:space="preserve"> </w:t>
      </w:r>
      <w:r w:rsidR="00C41F4A" w:rsidRPr="009B58A9">
        <w:rPr>
          <w:rFonts w:ascii="Courier New" w:hAnsi="Courier New" w:cs="Courier New"/>
          <w:lang w:val="en-US"/>
        </w:rPr>
        <w:t>Non-declared</w:t>
      </w:r>
      <w:r w:rsidR="000C2E72" w:rsidRPr="009B58A9">
        <w:rPr>
          <w:rFonts w:ascii="Courier New" w:hAnsi="Courier New" w:cs="Courier New"/>
          <w:lang w:val="en-US"/>
        </w:rPr>
        <w:t>.</w:t>
      </w:r>
    </w:p>
    <w:p w14:paraId="356F16E8" w14:textId="77777777" w:rsidR="00E503CA" w:rsidRPr="009B58A9" w:rsidRDefault="00E503CA" w:rsidP="00391B82">
      <w:pPr>
        <w:pStyle w:val="NoSpacing"/>
        <w:jc w:val="both"/>
        <w:rPr>
          <w:rFonts w:ascii="Courier New" w:hAnsi="Courier New" w:cs="Courier New"/>
          <w:b/>
          <w:lang w:val="en-US"/>
        </w:rPr>
      </w:pPr>
    </w:p>
    <w:p w14:paraId="01CE959B" w14:textId="77777777" w:rsidR="009036D1" w:rsidRPr="009B58A9" w:rsidRDefault="009036D1" w:rsidP="00391B82">
      <w:pPr>
        <w:pStyle w:val="NoSpacing"/>
        <w:jc w:val="both"/>
        <w:rPr>
          <w:rFonts w:ascii="Courier New" w:hAnsi="Courier New" w:cs="Courier New"/>
          <w:b/>
          <w:lang w:val="en-US"/>
        </w:rPr>
      </w:pPr>
      <w:r w:rsidRPr="009B58A9">
        <w:rPr>
          <w:rFonts w:ascii="Courier New" w:hAnsi="Courier New" w:cs="Courier New"/>
          <w:b/>
          <w:lang w:val="en-US"/>
        </w:rPr>
        <w:t>Methods</w:t>
      </w:r>
      <w:r w:rsidR="007D4D01" w:rsidRPr="009B58A9">
        <w:rPr>
          <w:rFonts w:ascii="Courier New" w:hAnsi="Courier New" w:cs="Courier New"/>
          <w:b/>
          <w:lang w:val="en-US"/>
        </w:rPr>
        <w:t xml:space="preserve"> &amp; Data</w:t>
      </w:r>
      <w:r w:rsidRPr="009B58A9">
        <w:rPr>
          <w:rFonts w:ascii="Courier New" w:hAnsi="Courier New" w:cs="Courier New"/>
          <w:b/>
          <w:lang w:val="en-US"/>
        </w:rPr>
        <w:t xml:space="preserve"> [3000]</w:t>
      </w:r>
    </w:p>
    <w:p w14:paraId="6D4E0E2F" w14:textId="77777777" w:rsidR="007D4D01" w:rsidRPr="009B58A9" w:rsidRDefault="007D4D01" w:rsidP="00391B82">
      <w:pPr>
        <w:pStyle w:val="NoSpacing"/>
        <w:jc w:val="both"/>
        <w:rPr>
          <w:rFonts w:ascii="Courier New" w:hAnsi="Courier New" w:cs="Courier New"/>
          <w:b/>
          <w:lang w:val="en-US"/>
        </w:rPr>
      </w:pPr>
    </w:p>
    <w:p w14:paraId="668307BA" w14:textId="007D0A75" w:rsidR="00283C29" w:rsidRPr="00462DB3" w:rsidRDefault="007D4D01" w:rsidP="00391B82">
      <w:pPr>
        <w:pStyle w:val="NormalWeb"/>
        <w:spacing w:before="0" w:beforeAutospacing="0" w:after="0" w:afterAutospacing="0"/>
        <w:jc w:val="both"/>
        <w:rPr>
          <w:sz w:val="22"/>
          <w:szCs w:val="22"/>
        </w:rPr>
      </w:pPr>
      <w:r w:rsidRPr="009B58A9">
        <w:rPr>
          <w:rFonts w:ascii="Courier New" w:hAnsi="Courier New" w:cs="Courier New"/>
          <w:b/>
          <w:sz w:val="22"/>
          <w:szCs w:val="22"/>
        </w:rPr>
        <w:t xml:space="preserve">Data. </w:t>
      </w:r>
      <w:r w:rsidR="005B58D7" w:rsidRPr="009B58A9">
        <w:rPr>
          <w:rFonts w:ascii="Courier New" w:hAnsi="Courier New" w:cs="Courier New"/>
          <w:color w:val="000000"/>
          <w:sz w:val="22"/>
          <w:szCs w:val="22"/>
        </w:rPr>
        <w:t>We used mortality estimates for 163 countries from the Global Burden of Disease Study</w:t>
      </w:r>
      <w:r w:rsidRPr="009B58A9">
        <w:rPr>
          <w:rFonts w:ascii="Courier New" w:hAnsi="Courier New" w:cs="Courier New"/>
          <w:sz w:val="22"/>
          <w:szCs w:val="22"/>
        </w:rPr>
        <w:t>.</w:t>
      </w:r>
      <w:r w:rsidR="00FF0499"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FF0499"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30</w:t>
      </w:r>
      <w:r w:rsidR="00FF0499" w:rsidRPr="009B58A9">
        <w:rPr>
          <w:rFonts w:ascii="Courier New" w:hAnsi="Courier New" w:cs="Courier New"/>
          <w:sz w:val="22"/>
          <w:szCs w:val="22"/>
        </w:rPr>
        <w:fldChar w:fldCharType="end"/>
      </w:r>
      <w:r w:rsidRPr="009B58A9">
        <w:rPr>
          <w:rFonts w:ascii="Courier New" w:hAnsi="Courier New" w:cs="Courier New"/>
          <w:sz w:val="22"/>
          <w:szCs w:val="22"/>
        </w:rPr>
        <w:t xml:space="preserve"> GBD is an observational epidemiological study widely used to analyze trends in mortality and morbidity from major diseases, injuries and risk factor</w:t>
      </w:r>
      <w:r w:rsidR="00260BE8" w:rsidRPr="009B58A9">
        <w:rPr>
          <w:rFonts w:ascii="Courier New" w:hAnsi="Courier New" w:cs="Courier New"/>
          <w:sz w:val="22"/>
          <w:szCs w:val="22"/>
        </w:rPr>
        <w:t xml:space="preserve">s in a global perspective. These data </w:t>
      </w:r>
      <w:r w:rsidR="005B58D7" w:rsidRPr="009B58A9">
        <w:rPr>
          <w:rFonts w:ascii="Courier New" w:hAnsi="Courier New" w:cs="Courier New"/>
          <w:sz w:val="22"/>
          <w:szCs w:val="22"/>
        </w:rPr>
        <w:t>are</w:t>
      </w:r>
      <w:r w:rsidR="00260BE8" w:rsidRPr="009B58A9">
        <w:rPr>
          <w:rFonts w:ascii="Courier New" w:hAnsi="Courier New" w:cs="Courier New"/>
          <w:sz w:val="22"/>
          <w:szCs w:val="22"/>
        </w:rPr>
        <w:t xml:space="preserve"> provided in 5-year age intervals with the highest interval concentrating deaths above age 85.</w:t>
      </w:r>
      <w:r w:rsidR="005B58D7" w:rsidRPr="009B58A9">
        <w:rPr>
          <w:rFonts w:ascii="Courier New" w:hAnsi="Courier New" w:cs="Courier New"/>
          <w:sz w:val="22"/>
          <w:szCs w:val="22"/>
        </w:rPr>
        <w:t xml:space="preserve"> </w:t>
      </w:r>
      <w:r w:rsidR="005B58D7" w:rsidRPr="009B58A9">
        <w:rPr>
          <w:rFonts w:ascii="Courier New" w:hAnsi="Courier New" w:cs="Courier New"/>
          <w:color w:val="000000"/>
          <w:sz w:val="22"/>
          <w:szCs w:val="22"/>
        </w:rPr>
        <w:t>We focus on three main causes of death related to violence Table 1 for code of the International Classification of Diseases [ICD10]): 1) homicide, 2) other violence (mostly war, state, and terrorist), and 3) all other causes.</w:t>
      </w:r>
    </w:p>
    <w:p w14:paraId="4BCC55A4" w14:textId="77777777" w:rsidR="00283C29" w:rsidRPr="009B58A9" w:rsidRDefault="00283C29" w:rsidP="00391B82">
      <w:pPr>
        <w:pStyle w:val="NoSpacing"/>
        <w:jc w:val="both"/>
        <w:rPr>
          <w:rFonts w:ascii="Courier New" w:hAnsi="Courier New" w:cs="Courier New"/>
          <w:lang w:val="en-US"/>
        </w:rPr>
      </w:pPr>
    </w:p>
    <w:p w14:paraId="78FE6411" w14:textId="536B944D" w:rsidR="00E152E8" w:rsidRPr="009B58A9" w:rsidRDefault="00283C29" w:rsidP="00391B82">
      <w:pPr>
        <w:pStyle w:val="NoSpacing"/>
        <w:jc w:val="both"/>
        <w:rPr>
          <w:rFonts w:ascii="Courier New" w:hAnsi="Courier New" w:cs="Courier New"/>
          <w:lang w:val="en-US"/>
        </w:rPr>
      </w:pPr>
      <w:r w:rsidRPr="009B58A9">
        <w:rPr>
          <w:rFonts w:ascii="Courier New" w:hAnsi="Courier New" w:cs="Courier New"/>
          <w:lang w:val="en-US"/>
        </w:rPr>
        <w:lastRenderedPageBreak/>
        <w:t>To measure the levels of violence (or peacefulness)</w:t>
      </w:r>
      <w:r w:rsidR="00260BE8" w:rsidRPr="009B58A9">
        <w:rPr>
          <w:rFonts w:ascii="Courier New" w:hAnsi="Courier New" w:cs="Courier New"/>
          <w:lang w:val="en-US"/>
        </w:rPr>
        <w:t xml:space="preserve"> </w:t>
      </w:r>
      <w:r w:rsidRPr="009B58A9">
        <w:rPr>
          <w:rFonts w:ascii="Courier New" w:hAnsi="Courier New" w:cs="Courier New"/>
          <w:lang w:val="en-US"/>
        </w:rPr>
        <w:t xml:space="preserve">we use the Global Peace Index (GPI). </w:t>
      </w:r>
      <w:r w:rsidR="00FB7015" w:rsidRPr="009B58A9">
        <w:rPr>
          <w:rFonts w:ascii="Courier New" w:hAnsi="Courier New" w:cs="Courier New"/>
          <w:lang w:val="en-US"/>
        </w:rPr>
        <w:t>GPI has been systematically calculated in the period that we study 2008-2017.</w:t>
      </w:r>
      <w:r w:rsidR="00FF0499"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F0499"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31</w:t>
      </w:r>
      <w:r w:rsidR="00FF0499" w:rsidRPr="009B58A9">
        <w:rPr>
          <w:rFonts w:ascii="Courier New" w:hAnsi="Courier New" w:cs="Courier New"/>
          <w:lang w:val="en-US"/>
        </w:rPr>
        <w:fldChar w:fldCharType="end"/>
      </w:r>
      <w:r w:rsidR="00FB7015" w:rsidRPr="009B58A9">
        <w:rPr>
          <w:rFonts w:ascii="Courier New" w:hAnsi="Courier New" w:cs="Courier New"/>
          <w:lang w:val="en-US"/>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comprehensive index at a global scale and, therefore, a primary source of this study.</w:t>
      </w:r>
      <w:r w:rsidR="005B58D7" w:rsidRPr="009B58A9">
        <w:rPr>
          <w:rFonts w:ascii="Courier New" w:hAnsi="Courier New" w:cs="Courier New"/>
          <w:color w:val="000000"/>
        </w:rPr>
        <w:t xml:space="preserve"> The R-code to get the data is available at [URL].</w:t>
      </w:r>
    </w:p>
    <w:p w14:paraId="3FC2C629" w14:textId="77777777" w:rsidR="00E152E8" w:rsidRPr="009B58A9" w:rsidRDefault="00E152E8" w:rsidP="00391B82">
      <w:pPr>
        <w:pStyle w:val="NoSpacing"/>
        <w:jc w:val="both"/>
        <w:rPr>
          <w:rFonts w:ascii="Courier New" w:hAnsi="Courier New" w:cs="Courier New"/>
          <w:b/>
          <w:lang w:val="en-US"/>
        </w:rPr>
      </w:pPr>
    </w:p>
    <w:p w14:paraId="2E38EC96" w14:textId="7A6F7D4C" w:rsidR="00E152E8" w:rsidRPr="009B58A9" w:rsidRDefault="00E152E8" w:rsidP="00391B82">
      <w:pPr>
        <w:pStyle w:val="NoSpacing"/>
        <w:jc w:val="both"/>
        <w:rPr>
          <w:rFonts w:ascii="Courier New" w:hAnsi="Courier New" w:cs="Courier New"/>
          <w:lang w:val="en-US"/>
        </w:rPr>
      </w:pPr>
      <w:r w:rsidRPr="009B58A9">
        <w:rPr>
          <w:rFonts w:ascii="Courier New" w:hAnsi="Courier New" w:cs="Courier New"/>
          <w:b/>
          <w:lang w:val="en-US"/>
        </w:rPr>
        <w:t xml:space="preserve">Demographic methods. </w:t>
      </w:r>
      <w:r w:rsidRPr="009B58A9">
        <w:rPr>
          <w:rFonts w:ascii="Courier New" w:hAnsi="Courier New" w:cs="Courier New"/>
          <w:lang w:val="en-US"/>
        </w:rPr>
        <w:t>To more accurately measure the age-at-death distributions for each country we ungrouped the 5-year age intervals to single ages and distributed the deaths above age 85 with the penalized composite</w:t>
      </w:r>
      <w:r w:rsidR="002267ED" w:rsidRPr="009B58A9">
        <w:rPr>
          <w:rFonts w:ascii="Courier New" w:hAnsi="Courier New" w:cs="Courier New"/>
          <w:lang w:val="en-US"/>
        </w:rPr>
        <w:t xml:space="preserve"> model</w:t>
      </w:r>
      <w:r w:rsidRPr="009B58A9">
        <w:rPr>
          <w:rFonts w:ascii="Courier New" w:hAnsi="Courier New" w:cs="Courier New"/>
          <w:lang w:val="en-US"/>
        </w:rPr>
        <w:t xml:space="preserve"> assuming that deaths follow a Poisson distribution</w:t>
      </w:r>
      <w:r w:rsidR="00020F08" w:rsidRPr="009B58A9">
        <w:rPr>
          <w:rFonts w:ascii="Courier New" w:hAnsi="Courier New" w:cs="Courier New"/>
          <w:lang w:val="en-US"/>
        </w:rPr>
        <w:t xml:space="preserve"> and calculated age-specific mortality rates</w:t>
      </w:r>
      <w:r w:rsidR="00FF0499" w:rsidRPr="009B58A9">
        <w:rPr>
          <w:rFonts w:ascii="Courier New" w:hAnsi="Courier New" w:cs="Courier New"/>
          <w:lang w:val="en-US"/>
        </w:rPr>
        <w:t>.</w:t>
      </w:r>
      <w:r w:rsidR="00FF0499"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&lt;EndNote&gt;&lt;Cite&gt;&lt;Author&gt;Rizzi&lt;/Author&gt;&lt;Year&gt;2018&lt;/Year&gt;&lt;RecNum&gt;159&lt;/RecNum&gt;&lt;DisplayText&gt;&lt;style face="superscript"&gt;38&lt;/style&gt;&lt;/DisplayText&gt;&lt;record&gt;&lt;rec-number&gt;159&lt;/rec-number&gt;&lt;foreign-keys&gt;&lt;key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sidR="00FF0499"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38</w:t>
      </w:r>
      <w:r w:rsidR="00FF0499" w:rsidRPr="009B58A9">
        <w:rPr>
          <w:rFonts w:ascii="Courier New" w:hAnsi="Courier New" w:cs="Courier New"/>
          <w:lang w:val="en-US"/>
        </w:rPr>
        <w:fldChar w:fldCharType="end"/>
      </w:r>
      <w:r w:rsidR="00020F08" w:rsidRPr="009B58A9">
        <w:rPr>
          <w:rFonts w:ascii="Courier New" w:hAnsi="Courier New" w:cs="Courier New"/>
          <w:lang w:val="en-US"/>
        </w:rPr>
        <w:t xml:space="preserve"> We constructed life tables for each country, sex, and year following standard demographic techniques</w:t>
      </w:r>
      <w:r w:rsidR="00FF0499" w:rsidRPr="009B58A9">
        <w:rPr>
          <w:rFonts w:ascii="Courier New" w:hAnsi="Courier New" w:cs="Courier New"/>
          <w:lang w:val="en-US"/>
        </w:rPr>
        <w:t>.</w:t>
      </w:r>
      <w:r w:rsidR="00FF0499"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39</w:t>
      </w:r>
      <w:r w:rsidR="00FF0499" w:rsidRPr="009B58A9">
        <w:rPr>
          <w:rFonts w:ascii="Courier New" w:hAnsi="Courier New" w:cs="Courier New"/>
          <w:lang w:val="en-US"/>
        </w:rPr>
        <w:fldChar w:fldCharType="end"/>
      </w:r>
      <w:r w:rsidR="00FF0499" w:rsidRPr="009B58A9">
        <w:rPr>
          <w:rFonts w:ascii="Courier New" w:hAnsi="Courier New" w:cs="Courier New"/>
          <w:lang w:val="en-US"/>
        </w:rPr>
        <w:t xml:space="preserve"> </w:t>
      </w:r>
      <w:r w:rsidR="00020F08" w:rsidRPr="009B58A9">
        <w:rPr>
          <w:rFonts w:ascii="Courier New" w:hAnsi="Courier New" w:cs="Courier New"/>
          <w:lang w:val="en-US"/>
        </w:rPr>
        <w:t xml:space="preserve">From these, lifespan uncertainty conditional on surviving to age 10 </w:t>
      </w:r>
      <w:r w:rsidR="002267ED" w:rsidRPr="009B58A9">
        <w:rPr>
          <w:rFonts w:ascii="Courier New" w:hAnsi="Courier New" w:cs="Courier New"/>
          <w:lang w:val="en-US"/>
        </w:rPr>
        <w:t xml:space="preserve">were calculated. </w:t>
      </w:r>
    </w:p>
    <w:p w14:paraId="58D8FA3A" w14:textId="77777777" w:rsidR="002267ED" w:rsidRPr="009B58A9" w:rsidRDefault="002267ED" w:rsidP="00391B82">
      <w:pPr>
        <w:pStyle w:val="NoSpacing"/>
        <w:jc w:val="both"/>
        <w:rPr>
          <w:rFonts w:ascii="Courier New" w:hAnsi="Courier New" w:cs="Courier New"/>
          <w:lang w:val="en-US"/>
        </w:rPr>
      </w:pPr>
    </w:p>
    <w:p w14:paraId="170464B4" w14:textId="3BD210AB" w:rsidR="00E152E8" w:rsidRPr="009B58A9" w:rsidRDefault="002267ED" w:rsidP="00391B82">
      <w:pPr>
        <w:pStyle w:val="NoSpacing"/>
        <w:jc w:val="both"/>
        <w:rPr>
          <w:rFonts w:ascii="Courier New" w:hAnsi="Courier New" w:cs="Courier New"/>
          <w:lang w:val="en-US"/>
        </w:rPr>
      </w:pPr>
      <w:r w:rsidRPr="009B58A9">
        <w:rPr>
          <w:rFonts w:ascii="Courier New" w:hAnsi="Courier New" w:cs="Courier New"/>
          <w:lang w:val="en-US"/>
        </w:rPr>
        <w:t>To disentangle the effect of violent deaths we calculated life expectancy and lifespan uncertainty in absence of these following the cause-deleted life table methodology</w:t>
      </w:r>
      <w:r w:rsidR="00FF0499" w:rsidRPr="009B58A9">
        <w:rPr>
          <w:rFonts w:ascii="Courier New" w:hAnsi="Courier New" w:cs="Courier New"/>
          <w:lang w:val="en-US"/>
        </w:rPr>
        <w:t>.</w:t>
      </w:r>
      <w:r w:rsidR="00FF0499"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39</w:t>
      </w:r>
      <w:r w:rsidR="00FF0499" w:rsidRPr="009B58A9">
        <w:rPr>
          <w:rFonts w:ascii="Courier New" w:hAnsi="Courier New" w:cs="Courier New"/>
          <w:lang w:val="en-US"/>
        </w:rPr>
        <w:fldChar w:fldCharType="end"/>
      </w:r>
      <w:r w:rsidR="00FF0499" w:rsidRPr="009B58A9">
        <w:rPr>
          <w:rFonts w:ascii="Courier New" w:hAnsi="Courier New" w:cs="Courier New"/>
          <w:lang w:val="en-US"/>
        </w:rPr>
        <w:t xml:space="preserve"> </w:t>
      </w:r>
      <w:r w:rsidRPr="009B58A9">
        <w:rPr>
          <w:rFonts w:ascii="Courier New" w:hAnsi="Courier New" w:cs="Courier New"/>
          <w:lang w:val="en-US"/>
        </w:rPr>
        <w:t>Additionally, we decomposed the difference in lifespan uncertainty between violent countries and RPR using the linear integral model for decomposition</w:t>
      </w:r>
      <w:r w:rsidR="00FF0499" w:rsidRPr="009B58A9">
        <w:rPr>
          <w:rFonts w:ascii="Courier New" w:hAnsi="Courier New" w:cs="Courier New"/>
          <w:lang w:val="en-US"/>
        </w:rPr>
        <w:t>.</w:t>
      </w:r>
      <w:r w:rsidR="00FF0499"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&lt;EndNote&gt;&lt;Cite&gt;&lt;Author&gt;Horiuchi&lt;/Author&gt;&lt;Year&gt;2008&lt;/Year&gt;&lt;RecNum&gt;29&lt;/RecNum&gt;&lt;DisplayText&gt;&lt;style face="superscript"&gt;40&lt;/style&gt;&lt;/DisplayText&gt;&lt;record&gt;&lt;rec-number&gt;29&lt;/rec-number&gt;&lt;foreign-keys&gt;&lt;key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FF0499"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40</w:t>
      </w:r>
      <w:r w:rsidR="00FF0499" w:rsidRPr="009B58A9">
        <w:rPr>
          <w:rFonts w:ascii="Courier New" w:hAnsi="Courier New" w:cs="Courier New"/>
          <w:lang w:val="en-US"/>
        </w:rPr>
        <w:fldChar w:fldCharType="end"/>
      </w:r>
      <w:r w:rsidR="00FF0499" w:rsidRPr="009B58A9">
        <w:rPr>
          <w:rFonts w:ascii="Courier New" w:hAnsi="Courier New" w:cs="Courier New"/>
          <w:lang w:val="en-US"/>
        </w:rPr>
        <w:t xml:space="preserve"> </w:t>
      </w:r>
      <w:r w:rsidR="00B437F4" w:rsidRPr="009B58A9">
        <w:rPr>
          <w:rFonts w:ascii="Courier New" w:hAnsi="Courier New" w:cs="Courier New"/>
          <w:lang w:val="en-US"/>
        </w:rPr>
        <w:t>All procedures were done using the R soft</w:t>
      </w:r>
      <w:r w:rsidR="00FF0499" w:rsidRPr="009B58A9">
        <w:rPr>
          <w:rFonts w:ascii="Courier New" w:hAnsi="Courier New" w:cs="Courier New"/>
          <w:lang w:val="en-US"/>
        </w:rPr>
        <w:t>w</w:t>
      </w:r>
      <w:r w:rsidR="00B437F4" w:rsidRPr="009B58A9">
        <w:rPr>
          <w:rFonts w:ascii="Courier New" w:hAnsi="Courier New" w:cs="Courier New"/>
          <w:lang w:val="en-US"/>
        </w:rPr>
        <w:t>are,</w:t>
      </w:r>
      <w:r w:rsidR="00FF0499"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&lt;EndNote&gt;&lt;Cite&gt;&lt;Author&gt;Team&lt;/Author&gt;&lt;Year&gt;2014&lt;/Year&gt;&lt;RecNum&gt;160&lt;/RecNum&gt;&lt;DisplayText&gt;&lt;style face="superscript"&gt;41&lt;/style&gt;&lt;/DisplayText&gt;&lt;record&gt;&lt;rec-number&gt;160&lt;/rec-number&gt;&lt;foreign-keys&gt;&lt;key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sidR="00FF0499"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41</w:t>
      </w:r>
      <w:r w:rsidR="00FF0499" w:rsidRPr="009B58A9">
        <w:rPr>
          <w:rFonts w:ascii="Courier New" w:hAnsi="Courier New" w:cs="Courier New"/>
          <w:lang w:val="en-US"/>
        </w:rPr>
        <w:fldChar w:fldCharType="end"/>
      </w:r>
      <w:r w:rsidR="00B437F4" w:rsidRPr="009B58A9">
        <w:rPr>
          <w:rFonts w:ascii="Courier New" w:hAnsi="Courier New" w:cs="Courier New"/>
          <w:lang w:val="en-US"/>
        </w:rPr>
        <w:t xml:space="preserve"> and are fully reproducible from the public repository [URL]. </w:t>
      </w:r>
    </w:p>
    <w:p w14:paraId="1E981ADE" w14:textId="77777777" w:rsidR="00E314EF" w:rsidRPr="009B58A9" w:rsidRDefault="00E314EF" w:rsidP="00391B82">
      <w:pPr>
        <w:pStyle w:val="NoSpacing"/>
        <w:jc w:val="both"/>
        <w:rPr>
          <w:rFonts w:ascii="Courier New" w:hAnsi="Courier New" w:cs="Courier New"/>
          <w:b/>
          <w:lang w:val="en-US"/>
        </w:rPr>
      </w:pPr>
    </w:p>
    <w:p w14:paraId="4C4B8972" w14:textId="1C2A7982" w:rsidR="00E314EF" w:rsidRPr="009B58A9" w:rsidRDefault="00E314EF" w:rsidP="00391B82">
      <w:pPr>
        <w:pStyle w:val="NoSpacing"/>
        <w:jc w:val="both"/>
        <w:rPr>
          <w:rFonts w:ascii="Courier New" w:hAnsi="Courier New" w:cs="Courier New"/>
          <w:b/>
          <w:lang w:val="en-US"/>
        </w:rPr>
      </w:pPr>
      <w:r w:rsidRPr="009B58A9">
        <w:rPr>
          <w:rFonts w:ascii="Courier New" w:hAnsi="Courier New" w:cs="Courier New"/>
          <w:b/>
          <w:lang w:val="en-US"/>
        </w:rPr>
        <w:t>Life span uncertainty indicator</w:t>
      </w:r>
      <w:r w:rsidR="007D4D01" w:rsidRPr="009B58A9">
        <w:rPr>
          <w:rFonts w:ascii="Courier New" w:hAnsi="Courier New" w:cs="Courier New"/>
          <w:b/>
          <w:lang w:val="en-US"/>
        </w:rPr>
        <w:t xml:space="preserve">. </w:t>
      </w:r>
      <w:r w:rsidR="00943238" w:rsidRPr="009B58A9">
        <w:rPr>
          <w:rFonts w:ascii="Courier New" w:hAnsi="Courier New" w:cs="Courier New"/>
          <w:lang w:val="en-US"/>
        </w:rPr>
        <w:t>S</w:t>
      </w:r>
      <w:r w:rsidRPr="009B58A9">
        <w:rPr>
          <w:rFonts w:ascii="Courier New" w:hAnsi="Courier New" w:cs="Courier New"/>
          <w:lang w:val="en-US"/>
        </w:rPr>
        <w:t>everal indices</w:t>
      </w:r>
      <w:r w:rsidR="00020F08" w:rsidRPr="009B58A9">
        <w:rPr>
          <w:rFonts w:ascii="Courier New" w:hAnsi="Courier New" w:cs="Courier New"/>
          <w:lang w:val="en-US"/>
        </w:rPr>
        <w:t>,</w:t>
      </w:r>
      <w:r w:rsidRPr="009B58A9">
        <w:rPr>
          <w:rFonts w:ascii="Courier New" w:hAnsi="Courier New" w:cs="Courier New"/>
          <w:lang w:val="en-US"/>
        </w:rPr>
        <w:t xml:space="preserve"> highly correlated</w:t>
      </w:r>
      <w:r w:rsidR="00020F08" w:rsidRPr="009B58A9">
        <w:rPr>
          <w:rFonts w:ascii="Courier New" w:hAnsi="Courier New" w:cs="Courier New"/>
          <w:lang w:val="en-US"/>
        </w:rPr>
        <w:t>,</w:t>
      </w:r>
      <w:r w:rsidRPr="009B58A9">
        <w:rPr>
          <w:rFonts w:ascii="Courier New" w:hAnsi="Courier New" w:cs="Courier New"/>
          <w:lang w:val="en-US"/>
        </w:rPr>
        <w:t xml:space="preserve"> to measure lifespan uncertainty</w:t>
      </w:r>
      <w:r w:rsidR="00943238" w:rsidRPr="009B58A9">
        <w:rPr>
          <w:rFonts w:ascii="Courier New" w:hAnsi="Courier New" w:cs="Courier New"/>
          <w:lang w:val="en-US"/>
        </w:rPr>
        <w:t xml:space="preserve"> exist</w:t>
      </w:r>
      <w:r w:rsidR="00054177" w:rsidRPr="009B58A9">
        <w:rPr>
          <w:rFonts w:ascii="Courier New" w:hAnsi="Courier New" w:cs="Courier New"/>
          <w:lang w:val="en-US"/>
        </w:rPr>
        <w:t>.</w:t>
      </w:r>
      <w:r w:rsidR="00054177"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&lt;EndNote&gt;&lt;Cite&gt;&lt;Author&gt;van Raalte&lt;/Author&gt;&lt;Year&gt;2013&lt;/Year&gt;&lt;RecNum&gt;9&lt;/RecNum&gt;&lt;DisplayText&gt;&lt;style face="superscript"&gt;34,42&lt;/style&gt;&lt;/DisplayText&gt;&lt;record&gt;&lt;rec-number&gt;9&lt;/rec-number&gt;&lt;foreign-keys&gt;&lt;key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054177"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34,42</w:t>
      </w:r>
      <w:r w:rsidR="00054177" w:rsidRPr="009B58A9">
        <w:rPr>
          <w:rFonts w:ascii="Courier New" w:hAnsi="Courier New" w:cs="Courier New"/>
          <w:lang w:val="en-US"/>
        </w:rPr>
        <w:fldChar w:fldCharType="end"/>
      </w:r>
      <w:r w:rsidRPr="009B58A9">
        <w:rPr>
          <w:rFonts w:ascii="Courier New" w:hAnsi="Courier New" w:cs="Courier New"/>
          <w:lang w:val="en-US"/>
        </w:rPr>
        <w:t xml:space="preserve"> We </w:t>
      </w:r>
      <w:r w:rsidR="00260BE8" w:rsidRPr="009B58A9">
        <w:rPr>
          <w:rFonts w:ascii="Courier New" w:hAnsi="Courier New" w:cs="Courier New"/>
          <w:lang w:val="en-US"/>
        </w:rPr>
        <w:t>chose</w:t>
      </w:r>
      <w:r w:rsidRPr="009B58A9">
        <w:rPr>
          <w:rFonts w:ascii="Courier New" w:hAnsi="Courier New" w:cs="Courier New"/>
          <w:lang w:val="en-US"/>
        </w:rPr>
        <w:t xml:space="preserve"> the standard deviation of longevity conditional on surviving to age 10. This indicator has the advantage</w:t>
      </w:r>
      <w:r w:rsidR="00943238" w:rsidRPr="009B58A9">
        <w:rPr>
          <w:rFonts w:ascii="Courier New" w:hAnsi="Courier New" w:cs="Courier New"/>
          <w:lang w:val="en-US"/>
        </w:rPr>
        <w:t>s</w:t>
      </w:r>
      <w:r w:rsidRPr="009B58A9">
        <w:rPr>
          <w:rFonts w:ascii="Courier New" w:hAnsi="Courier New" w:cs="Courier New"/>
          <w:lang w:val="en-US"/>
        </w:rPr>
        <w:t xml:space="preserve"> </w:t>
      </w:r>
      <w:r w:rsidR="00943238" w:rsidRPr="009B58A9">
        <w:rPr>
          <w:rFonts w:ascii="Courier New" w:hAnsi="Courier New" w:cs="Courier New"/>
          <w:lang w:val="en-US"/>
        </w:rPr>
        <w:t>of being widely used as dispersion indicator in statistics, easy to interpret, decomposable</w:t>
      </w:r>
      <w:r w:rsidRPr="009B58A9">
        <w:rPr>
          <w:rFonts w:ascii="Courier New" w:hAnsi="Courier New" w:cs="Courier New"/>
          <w:lang w:val="en-US"/>
        </w:rPr>
        <w:t xml:space="preserve"> into age- and cause-specific </w:t>
      </w:r>
      <w:r w:rsidR="00DD10A0" w:rsidRPr="009B58A9">
        <w:rPr>
          <w:rFonts w:ascii="Courier New" w:hAnsi="Courier New" w:cs="Courier New"/>
          <w:lang w:val="en-US"/>
        </w:rPr>
        <w:t xml:space="preserve">components, and is expressed in years. </w:t>
      </w:r>
      <w:r w:rsidR="00943238" w:rsidRPr="009B58A9">
        <w:rPr>
          <w:rFonts w:ascii="Courier New" w:hAnsi="Courier New" w:cs="Courier New"/>
          <w:lang w:val="en-US"/>
        </w:rPr>
        <w:t>In life table notation the standard deviation (</w:t>
      </w:r>
      <m:oMath>
        <m:r>
          <w:rPr>
            <w:rFonts w:ascii="Cambria Math" w:hAnsi="Cambria Math"/>
            <w:color w:val="000000" w:themeColor="text1"/>
            <w:lang w:val="en-US"/>
          </w:rPr>
          <m:t>σ</m:t>
        </m:r>
      </m:oMath>
      <w:r w:rsidR="00943238" w:rsidRPr="009B58A9">
        <w:rPr>
          <w:rFonts w:ascii="Courier New" w:hAnsi="Courier New" w:cs="Courier New"/>
          <w:color w:val="000000" w:themeColor="text1"/>
          <w:lang w:val="en-US"/>
        </w:rPr>
        <w:t>) is given by</w:t>
      </w:r>
    </w:p>
    <w:p w14:paraId="08E4A93E" w14:textId="77777777" w:rsidR="00943238" w:rsidRPr="009B58A9" w:rsidRDefault="00E314EF" w:rsidP="00391B82">
      <w:pPr>
        <w:spacing w:line="480" w:lineRule="auto"/>
        <w:ind w:firstLine="720"/>
        <w:jc w:val="both"/>
        <w:rPr>
          <w:rFonts w:ascii="Courier New" w:hAnsi="Courier New" w:cs="Courier New"/>
          <w:lang w:val="en-US"/>
        </w:rPr>
      </w:pPr>
      <m:oMathPara>
        <m:oMath>
          <m:r>
            <w:rPr>
              <w:rFonts w:ascii="Cambria Math" w:hAnsi="Cambria Math" w:cs="Courier New"/>
              <w:lang w:val="en-US"/>
            </w:rPr>
            <m:t>σ</m:t>
          </m:r>
          <m:r>
            <m:rPr>
              <m:sty m:val="p"/>
            </m:rPr>
            <w:rPr>
              <w:rFonts w:ascii="Cambria Math" w:hAnsi="Cambria Math" w:cs="Courier New"/>
              <w:lang w:val="en-US"/>
            </w:rPr>
            <m:t>=</m:t>
          </m:r>
          <m:rad>
            <m:radPr>
              <m:degHide m:val="1"/>
              <m:ctrlPr>
                <w:rPr>
                  <w:rFonts w:ascii="Cambria Math" w:hAnsi="Cambria Math" w:cs="Courier New"/>
                  <w:lang w:val="en-US"/>
                </w:rPr>
              </m:ctrlPr>
            </m:radPr>
            <m:deg/>
            <m:e>
              <m:nary>
                <m:naryPr>
                  <m:limLoc m:val="undOvr"/>
                  <m:ctrlPr>
                    <w:rPr>
                      <w:rFonts w:ascii="Cambria Math" w:hAnsi="Cambria Math" w:cs="Courier New"/>
                      <w:lang w:val="en-US"/>
                    </w:rPr>
                  </m:ctrlPr>
                </m:naryPr>
                <m:sub>
                  <m:r>
                    <m:rPr>
                      <m:sty m:val="p"/>
                    </m:rPr>
                    <w:rPr>
                      <w:rFonts w:ascii="Cambria Math" w:hAnsi="Cambria Math" w:cs="Courier New"/>
                      <w:lang w:val="en-US"/>
                    </w:rPr>
                    <m:t>10</m:t>
                  </m:r>
                </m:sub>
                <m:sup>
                  <m:r>
                    <w:rPr>
                      <w:rFonts w:ascii="Cambria Math" w:hAnsi="Cambria Math" w:cs="Courier New"/>
                      <w:lang w:val="en-US"/>
                    </w:rPr>
                    <m:t>ω</m:t>
                  </m:r>
                </m:sup>
                <m:e>
                  <m:sSup>
                    <m:sSupPr>
                      <m:ctrlPr>
                        <w:rPr>
                          <w:rFonts w:ascii="Cambria Math" w:hAnsi="Cambria Math" w:cs="Courier New"/>
                          <w:lang w:val="en-US"/>
                        </w:rPr>
                      </m:ctrlPr>
                    </m:sSupPr>
                    <m:e>
                      <m:r>
                        <m:rPr>
                          <m:sty m:val="p"/>
                        </m:rPr>
                        <w:rPr>
                          <w:rFonts w:ascii="Cambria Math" w:hAnsi="Cambria Math" w:cs="Courier New"/>
                          <w:lang w:val="en-US"/>
                        </w:rPr>
                        <m:t>(</m:t>
                      </m:r>
                      <m:r>
                        <w:rPr>
                          <w:rFonts w:ascii="Cambria Math" w:hAnsi="Cambria Math" w:cs="Courier New"/>
                          <w:lang w:val="en-US"/>
                        </w:rPr>
                        <m:t>x</m:t>
                      </m:r>
                      <m:r>
                        <m:rPr>
                          <m:sty m:val="p"/>
                        </m:rPr>
                        <w:rPr>
                          <w:rFonts w:ascii="Cambria Math" w:hAnsi="Cambria Math" w:cs="Courier New"/>
                          <w:lang w:val="en-US"/>
                        </w:rPr>
                        <m:t>-</m:t>
                      </m:r>
                      <m:sSub>
                        <m:sSubPr>
                          <m:ctrlPr>
                            <w:rPr>
                              <w:rFonts w:ascii="Cambria Math" w:hAnsi="Cambria Math" w:cs="Courier New"/>
                              <w:lang w:val="en-US"/>
                            </w:rPr>
                          </m:ctrlPr>
                        </m:sSubPr>
                        <m:e>
                          <m:r>
                            <w:rPr>
                              <w:rFonts w:ascii="Cambria Math" w:hAnsi="Cambria Math" w:cs="Courier New"/>
                              <w:lang w:val="en-US"/>
                            </w:rPr>
                            <m:t>e</m:t>
                          </m:r>
                        </m:e>
                        <m:sub>
                          <m:r>
                            <m:rPr>
                              <m:sty m:val="p"/>
                            </m:rPr>
                            <w:rPr>
                              <w:rFonts w:ascii="Cambria Math" w:hAnsi="Cambria Math" w:cs="Courier New"/>
                              <w:lang w:val="en-US"/>
                            </w:rPr>
                            <m:t>10</m:t>
                          </m:r>
                        </m:sub>
                      </m:sSub>
                      <m:r>
                        <m:rPr>
                          <m:sty m:val="p"/>
                        </m:rPr>
                        <w:rPr>
                          <w:rFonts w:ascii="Cambria Math" w:hAnsi="Cambria Math" w:cs="Courier New"/>
                          <w:lang w:val="en-US"/>
                        </w:rPr>
                        <m:t>)</m:t>
                      </m:r>
                    </m:e>
                    <m:sup>
                      <m:r>
                        <m:rPr>
                          <m:sty m:val="p"/>
                        </m:rPr>
                        <w:rPr>
                          <w:rFonts w:ascii="Cambria Math" w:hAnsi="Cambria Math" w:cs="Courier New"/>
                          <w:lang w:val="en-US"/>
                        </w:rPr>
                        <m:t>2</m:t>
                      </m:r>
                    </m:sup>
                  </m:sSup>
                  <m:r>
                    <w:rPr>
                      <w:rFonts w:ascii="Cambria Math" w:hAnsi="Cambria Math" w:cs="Courier New"/>
                      <w:lang w:val="en-US"/>
                    </w:rPr>
                    <m:t>f</m:t>
                  </m:r>
                  <m:d>
                    <m:dPr>
                      <m:ctrlPr>
                        <w:rPr>
                          <w:rFonts w:ascii="Cambria Math" w:hAnsi="Cambria Math" w:cs="Courier New"/>
                          <w:lang w:val="en-US"/>
                        </w:rPr>
                      </m:ctrlPr>
                    </m:dPr>
                    <m:e>
                      <m:r>
                        <w:rPr>
                          <w:rFonts w:ascii="Cambria Math" w:hAnsi="Cambria Math" w:cs="Courier New"/>
                          <w:lang w:val="en-US"/>
                        </w:rPr>
                        <m:t>x</m:t>
                      </m:r>
                    </m:e>
                  </m:d>
                  <m:r>
                    <m:rPr>
                      <m:nor/>
                    </m:rPr>
                    <w:rPr>
                      <w:rFonts w:ascii="Courier New" w:hAnsi="Courier New" w:cs="Courier New"/>
                      <w:lang w:val="en-US"/>
                    </w:rPr>
                    <m:t>d</m:t>
                  </m:r>
                  <m:r>
                    <w:rPr>
                      <w:rFonts w:ascii="Cambria Math" w:hAnsi="Cambria Math" w:cs="Courier New"/>
                      <w:lang w:val="en-US"/>
                    </w:rPr>
                    <m:t>x</m:t>
                  </m:r>
                </m:e>
              </m:nary>
            </m:e>
          </m:rad>
          <m:r>
            <m:rPr>
              <m:sty m:val="p"/>
            </m:rPr>
            <w:rPr>
              <w:rFonts w:ascii="Cambria Math" w:hAnsi="Cambria Math" w:cs="Courier New"/>
              <w:lang w:val="en-US"/>
            </w:rPr>
            <m:t xml:space="preserve">.                                 (1)              </m:t>
          </m:r>
        </m:oMath>
      </m:oMathPara>
    </w:p>
    <w:p w14:paraId="473D664C" w14:textId="0109D4AA" w:rsidR="00B437F4" w:rsidRPr="009B58A9" w:rsidRDefault="00E314EF" w:rsidP="00391B82">
      <w:pPr>
        <w:pStyle w:val="NoSpacing"/>
        <w:jc w:val="both"/>
        <w:rPr>
          <w:rFonts w:ascii="Courier New" w:hAnsi="Courier New" w:cs="Courier New"/>
          <w:lang w:val="en-US"/>
        </w:rPr>
      </w:pPr>
      <w:r w:rsidRPr="009B58A9">
        <w:rPr>
          <w:rFonts w:ascii="Courier New" w:hAnsi="Courier New" w:cs="Courier New"/>
          <w:lang w:val="en-US"/>
        </w:rPr>
        <w:t xml:space="preserve">Where </w:t>
      </w:r>
      <m:oMath>
        <m:r>
          <w:rPr>
            <w:rFonts w:ascii="Cambria Math" w:hAnsi="Cambria Math" w:cs="Courier New"/>
            <w:lang w:val="en-US"/>
          </w:rPr>
          <m:t>f</m:t>
        </m:r>
        <m:d>
          <m:dPr>
            <m:ctrlPr>
              <w:rPr>
                <w:rFonts w:ascii="Cambria Math" w:hAnsi="Cambria Math" w:cs="Courier New"/>
                <w:i/>
                <w:lang w:val="en-US"/>
              </w:rPr>
            </m:ctrlPr>
          </m:dPr>
          <m:e>
            <m:r>
              <w:rPr>
                <w:rFonts w:ascii="Cambria Math" w:hAnsi="Cambria Math" w:cs="Courier New"/>
                <w:lang w:val="en-US"/>
              </w:rPr>
              <m:t>x</m:t>
            </m:r>
          </m:e>
        </m:d>
        <m:r>
          <w:rPr>
            <w:rFonts w:ascii="Cambria Math" w:hAnsi="Cambria Math" w:cs="Courier New"/>
            <w:lang w:val="en-US"/>
          </w:rPr>
          <m:t>,</m:t>
        </m:r>
        <m:sSub>
          <m:sSubPr>
            <m:ctrlPr>
              <w:rPr>
                <w:rFonts w:ascii="Cambria Math" w:hAnsi="Cambria Math" w:cs="Courier New"/>
                <w:i/>
                <w:lang w:val="en-US"/>
              </w:rPr>
            </m:ctrlPr>
          </m:sSubPr>
          <m:e>
            <m:r>
              <w:rPr>
                <w:rFonts w:ascii="Cambria Math" w:hAnsi="Cambria Math" w:cs="Courier New"/>
                <w:lang w:val="en-US"/>
              </w:rPr>
              <m:t>e</m:t>
            </m:r>
          </m:e>
          <m:sub>
            <m:r>
              <w:rPr>
                <w:rFonts w:ascii="Cambria Math" w:hAnsi="Cambria Math" w:cs="Courier New"/>
                <w:lang w:val="en-US"/>
              </w:rPr>
              <m:t>10</m:t>
            </m:r>
          </m:sub>
        </m:sSub>
      </m:oMath>
      <w:r w:rsidRPr="009B58A9">
        <w:rPr>
          <w:rFonts w:ascii="Courier New" w:hAnsi="Courier New" w:cs="Courier New"/>
          <w:lang w:val="en-US"/>
        </w:rPr>
        <w:t xml:space="preserve"> and </w:t>
      </w:r>
      <m:oMath>
        <m:r>
          <w:rPr>
            <w:rFonts w:ascii="Cambria Math" w:hAnsi="Cambria Math" w:cs="Courier New"/>
            <w:lang w:val="en-US"/>
          </w:rPr>
          <m:t>ω</m:t>
        </m:r>
      </m:oMath>
      <w:r w:rsidR="00943238" w:rsidRPr="009B58A9">
        <w:rPr>
          <w:rFonts w:ascii="Courier New" w:hAnsi="Courier New" w:cs="Courier New"/>
          <w:lang w:val="en-US"/>
        </w:rPr>
        <w:t xml:space="preserve"> denote the age-</w:t>
      </w:r>
      <w:r w:rsidRPr="009B58A9">
        <w:rPr>
          <w:rFonts w:ascii="Courier New" w:hAnsi="Courier New" w:cs="Courier New"/>
          <w:lang w:val="en-US"/>
        </w:rPr>
        <w:t>at</w:t>
      </w:r>
      <w:r w:rsidR="00943238" w:rsidRPr="009B58A9">
        <w:rPr>
          <w:rFonts w:ascii="Courier New" w:hAnsi="Courier New" w:cs="Courier New"/>
          <w:lang w:val="en-US"/>
        </w:rPr>
        <w:t>-</w:t>
      </w:r>
      <w:r w:rsidRPr="009B58A9">
        <w:rPr>
          <w:rFonts w:ascii="Courier New" w:hAnsi="Courier New" w:cs="Courier New"/>
          <w:lang w:val="en-US"/>
        </w:rPr>
        <w:t>death density function, life expectancy at age</w:t>
      </w:r>
      <w:r w:rsidR="00943238" w:rsidRPr="009B58A9">
        <w:rPr>
          <w:rFonts w:ascii="Courier New" w:hAnsi="Courier New" w:cs="Courier New"/>
          <w:lang w:val="en-US"/>
        </w:rPr>
        <w:t xml:space="preserve"> 10</w:t>
      </w:r>
      <w:r w:rsidRPr="009B58A9">
        <w:rPr>
          <w:rFonts w:ascii="Courier New" w:hAnsi="Courier New" w:cs="Courier New"/>
          <w:lang w:val="en-US"/>
        </w:rPr>
        <w:t>, and the open-aged interval (110+ in our case), respectively.</w:t>
      </w:r>
      <w:r w:rsidR="0033339D" w:rsidRPr="009B58A9">
        <w:rPr>
          <w:rFonts w:ascii="Courier New" w:hAnsi="Courier New" w:cs="Courier New"/>
          <w:lang w:val="en-US"/>
        </w:rPr>
        <w:t xml:space="preserve"> We condition to age 10 to capture the onset of violent deaths, which [x%</w:t>
      </w:r>
      <w:r w:rsidR="00054177" w:rsidRPr="009B58A9">
        <w:rPr>
          <w:rFonts w:ascii="Courier New" w:hAnsi="Courier New" w:cs="Courier New"/>
          <w:lang w:val="en-US"/>
        </w:rPr>
        <w:t>, Tim?</w:t>
      </w:r>
      <w:r w:rsidR="0033339D" w:rsidRPr="009B58A9">
        <w:rPr>
          <w:rFonts w:ascii="Courier New" w:hAnsi="Courier New" w:cs="Courier New"/>
          <w:lang w:val="en-US"/>
        </w:rPr>
        <w:t>] occur over this age, and because infant mortality conceals mo</w:t>
      </w:r>
      <w:r w:rsidR="00054177" w:rsidRPr="009B58A9">
        <w:rPr>
          <w:rFonts w:ascii="Courier New" w:hAnsi="Courier New" w:cs="Courier New"/>
          <w:lang w:val="en-US"/>
        </w:rPr>
        <w:t>rtality dynamics of adult ages.</w:t>
      </w:r>
      <w:r w:rsidR="00054177" w:rsidRPr="009B58A9">
        <w:rPr>
          <w:rFonts w:ascii="Courier New" w:hAnsi="Courier New" w:cs="Courier New"/>
          <w:lang w:val="en-US"/>
        </w:rPr>
        <w:fldChar w:fldCharType="begin"/>
      </w:r>
      <w:r w:rsidR="00314D92">
        <w:rPr>
          <w:rFonts w:ascii="Courier New" w:hAnsi="Courier New" w:cs="Courier New"/>
          <w:lang w:val="en-US"/>
        </w:rPr>
        <w:instrText xml:space="preserve"> ADDIN EN.CITE &lt;EndNote&gt;&lt;Cite&gt;&lt;Author&gt;Edwards&lt;/Author&gt;&lt;Year&gt;2005&lt;/Year&gt;&lt;RecNum&gt;103&lt;/RecNum&gt;&lt;DisplayText&gt;&lt;style face="superscript"&gt;43&lt;/style&gt;&lt;/DisplayText&gt;&lt;record&gt;&lt;rec-number&gt;103&lt;/rec-number&gt;&lt;foreign-keys&gt;&lt;key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00054177" w:rsidRPr="009B58A9">
        <w:rPr>
          <w:rFonts w:ascii="Courier New" w:hAnsi="Courier New" w:cs="Courier New"/>
          <w:lang w:val="en-US"/>
        </w:rPr>
        <w:fldChar w:fldCharType="separate"/>
      </w:r>
      <w:r w:rsidR="00314D92" w:rsidRPr="00314D92">
        <w:rPr>
          <w:rFonts w:ascii="Courier New" w:hAnsi="Courier New" w:cs="Courier New"/>
          <w:noProof/>
          <w:vertAlign w:val="superscript"/>
          <w:lang w:val="en-US"/>
        </w:rPr>
        <w:t>43</w:t>
      </w:r>
      <w:r w:rsidR="00054177" w:rsidRPr="009B58A9">
        <w:rPr>
          <w:rFonts w:ascii="Courier New" w:hAnsi="Courier New" w:cs="Courier New"/>
          <w:lang w:val="en-US"/>
        </w:rPr>
        <w:fldChar w:fldCharType="end"/>
      </w:r>
    </w:p>
    <w:p w14:paraId="0138797A" w14:textId="77777777" w:rsidR="00724A9C" w:rsidRPr="009B58A9" w:rsidRDefault="00724A9C" w:rsidP="00391B82">
      <w:pPr>
        <w:pStyle w:val="NoSpacing"/>
        <w:jc w:val="both"/>
        <w:rPr>
          <w:rFonts w:ascii="Courier New" w:hAnsi="Courier New" w:cs="Courier New"/>
          <w:lang w:val="en-US"/>
        </w:rPr>
      </w:pPr>
    </w:p>
    <w:p w14:paraId="198A42FC" w14:textId="676F5A54" w:rsidR="006C30B1" w:rsidRDefault="00B437F4" w:rsidP="00391B82">
      <w:pPr>
        <w:pStyle w:val="NoSpacing"/>
        <w:jc w:val="both"/>
        <w:rPr>
          <w:rFonts w:ascii="Courier New" w:hAnsi="Courier New" w:cs="Courier New"/>
          <w:lang w:val="en-US"/>
        </w:rPr>
      </w:pPr>
      <w:r w:rsidRPr="009B58A9">
        <w:rPr>
          <w:rFonts w:ascii="Courier New" w:hAnsi="Courier New" w:cs="Courier New"/>
          <w:b/>
          <w:lang w:val="en-US"/>
        </w:rPr>
        <w:t xml:space="preserve">Robustness check with life disparity. </w:t>
      </w:r>
      <w:r w:rsidRPr="009B58A9">
        <w:rPr>
          <w:rFonts w:ascii="Courier New" w:hAnsi="Courier New" w:cs="Courier New"/>
          <w:lang w:val="en-US"/>
        </w:rPr>
        <w:t xml:space="preserve">All figures were replicated using “life disparity” or average life lost. This indicator has been used in several lifespan inequality studies, including one focusing on homicide mortality.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14:paraId="35E93516" w14:textId="30D3C678" w:rsidR="00342C4A" w:rsidRDefault="00342C4A" w:rsidP="00391B82">
      <w:pPr>
        <w:pStyle w:val="NoSpacing"/>
        <w:jc w:val="both"/>
        <w:rPr>
          <w:rFonts w:ascii="Courier New" w:hAnsi="Courier New" w:cs="Courier New"/>
          <w:lang w:val="en-US"/>
        </w:rPr>
      </w:pPr>
    </w:p>
    <w:p w14:paraId="4771B605" w14:textId="059DB089" w:rsidR="00342C4A" w:rsidRPr="009B58A9" w:rsidRDefault="00342C4A" w:rsidP="00391B82">
      <w:pPr>
        <w:pStyle w:val="NoSpacing"/>
        <w:jc w:val="both"/>
        <w:rPr>
          <w:rFonts w:ascii="Courier New" w:hAnsi="Courier New" w:cs="Courier New"/>
          <w:lang w:val="en-US"/>
        </w:rPr>
      </w:pPr>
      <w:r w:rsidRPr="009B58A9">
        <w:rPr>
          <w:rFonts w:ascii="Courier New" w:hAnsi="Courier New" w:cs="Courier New"/>
          <w:b/>
          <w:lang w:val="en-US"/>
        </w:rPr>
        <w:t xml:space="preserve">Robustness check </w:t>
      </w:r>
      <w:r>
        <w:rPr>
          <w:rFonts w:ascii="Courier New" w:hAnsi="Courier New" w:cs="Courier New"/>
          <w:b/>
          <w:lang w:val="en-US"/>
        </w:rPr>
        <w:t>conditioning on surviving to different ages.</w:t>
      </w:r>
    </w:p>
    <w:p w14:paraId="68387B10" w14:textId="5BFE61A3" w:rsidR="00B437F4" w:rsidRPr="009B58A9" w:rsidRDefault="00B437F4" w:rsidP="00391B82">
      <w:pPr>
        <w:pStyle w:val="NoSpacing"/>
        <w:jc w:val="both"/>
        <w:rPr>
          <w:rFonts w:ascii="Courier New" w:hAnsi="Courier New" w:cs="Courier New"/>
          <w:lang w:val="en-US"/>
        </w:rPr>
      </w:pPr>
    </w:p>
    <w:p w14:paraId="48F4840E" w14:textId="36609641" w:rsidR="00724A9C" w:rsidRPr="00684576" w:rsidRDefault="00724A9C" w:rsidP="00391B82">
      <w:pPr>
        <w:spacing w:after="0" w:line="240" w:lineRule="auto"/>
        <w:jc w:val="both"/>
        <w:rPr>
          <w:rFonts w:ascii="Times New Roman"/>
          <w:lang w:val="en-US"/>
        </w:rPr>
      </w:pPr>
      <w:r w:rsidRPr="00724A9C">
        <w:rPr>
          <w:rFonts w:ascii="Courier New" w:hAnsi="Courier New" w:cs="Courier New"/>
          <w:b/>
          <w:bCs/>
          <w:color w:val="000000"/>
          <w:lang w:val="en-US"/>
        </w:rPr>
        <w:t>Selection of violent countries and</w:t>
      </w:r>
      <w:r w:rsidR="00623943">
        <w:rPr>
          <w:rFonts w:ascii="Courier New" w:hAnsi="Courier New" w:cs="Courier New"/>
          <w:b/>
          <w:bCs/>
          <w:color w:val="000000"/>
          <w:lang w:val="en-US"/>
        </w:rPr>
        <w:t xml:space="preserve"> construction of</w:t>
      </w:r>
      <w:r w:rsidRPr="00724A9C">
        <w:rPr>
          <w:rFonts w:ascii="Courier New" w:hAnsi="Courier New" w:cs="Courier New"/>
          <w:b/>
          <w:bCs/>
          <w:color w:val="000000"/>
          <w:lang w:val="en-US"/>
        </w:rPr>
        <w:t xml:space="preserve"> the robust peaceful </w:t>
      </w:r>
      <w:r w:rsidR="00623943">
        <w:rPr>
          <w:rFonts w:ascii="Courier New" w:hAnsi="Courier New" w:cs="Courier New"/>
          <w:b/>
          <w:bCs/>
          <w:color w:val="000000"/>
          <w:lang w:val="en-US"/>
        </w:rPr>
        <w:t>region</w:t>
      </w:r>
      <w:r w:rsidR="00787F2C">
        <w:rPr>
          <w:rFonts w:ascii="Courier New" w:hAnsi="Courier New" w:cs="Courier New"/>
          <w:b/>
          <w:bCs/>
          <w:color w:val="000000"/>
          <w:lang w:val="en-US"/>
        </w:rPr>
        <w:t xml:space="preserve"> (RP</w:t>
      </w:r>
      <w:r w:rsidR="00623943">
        <w:rPr>
          <w:rFonts w:ascii="Courier New" w:hAnsi="Courier New" w:cs="Courier New"/>
          <w:b/>
          <w:bCs/>
          <w:color w:val="000000"/>
          <w:lang w:val="en-US"/>
        </w:rPr>
        <w:t>R</w:t>
      </w:r>
      <w:r w:rsidR="00787F2C">
        <w:rPr>
          <w:rFonts w:ascii="Courier New" w:hAnsi="Courier New" w:cs="Courier New"/>
          <w:b/>
          <w:bCs/>
          <w:color w:val="000000"/>
          <w:lang w:val="en-US"/>
        </w:rPr>
        <w:t>)</w:t>
      </w:r>
      <w:r w:rsidRPr="00724A9C">
        <w:rPr>
          <w:rFonts w:ascii="Courier New" w:hAnsi="Courier New" w:cs="Courier New"/>
          <w:b/>
          <w:bCs/>
          <w:color w:val="000000"/>
          <w:lang w:val="en-US"/>
        </w:rPr>
        <w:t xml:space="preserve">. </w:t>
      </w:r>
      <w:r w:rsidRPr="00724A9C">
        <w:rPr>
          <w:rFonts w:ascii="Courier New" w:hAnsi="Courier New" w:cs="Courier New"/>
          <w:color w:val="000000"/>
          <w:lang w:val="en-US"/>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Portugal, </w:t>
      </w:r>
      <w:r w:rsidR="0056396E" w:rsidRPr="00724A9C">
        <w:rPr>
          <w:rFonts w:ascii="Courier New" w:hAnsi="Courier New" w:cs="Courier New"/>
          <w:color w:val="000000"/>
          <w:lang w:val="en-US"/>
        </w:rPr>
        <w:t>Singapore</w:t>
      </w:r>
      <w:r w:rsidRPr="00724A9C">
        <w:rPr>
          <w:rFonts w:ascii="Courier New" w:hAnsi="Courier New" w:cs="Courier New"/>
          <w:color w:val="000000"/>
          <w:lang w:val="en-US"/>
        </w:rPr>
        <w:t xml:space="preserve">, Slovenia and Sweden. The “Most Violent” category includes </w:t>
      </w:r>
      <w:r w:rsidR="00623943">
        <w:rPr>
          <w:rFonts w:ascii="Courier New" w:hAnsi="Courier New" w:cs="Courier New"/>
          <w:color w:val="000000"/>
          <w:lang w:val="en-US"/>
        </w:rPr>
        <w:t>the 25 worst performers</w:t>
      </w:r>
      <w:r w:rsidRPr="00724A9C">
        <w:rPr>
          <w:rFonts w:ascii="Courier New" w:hAnsi="Courier New" w:cs="Courier New"/>
          <w:color w:val="000000"/>
          <w:lang w:val="en-US"/>
        </w:rPr>
        <w:t xml:space="preserve"> countries that scored a low or very low level of GPI</w:t>
      </w:r>
      <w:r w:rsidR="00623943">
        <w:rPr>
          <w:rFonts w:ascii="Courier New" w:hAnsi="Courier New" w:cs="Courier New"/>
          <w:color w:val="000000"/>
          <w:lang w:val="en-US"/>
        </w:rPr>
        <w:t xml:space="preserve"> in 2017</w:t>
      </w:r>
      <w:r w:rsidRPr="00724A9C">
        <w:rPr>
          <w:rFonts w:ascii="Courier New" w:hAnsi="Courier New" w:cs="Courier New"/>
          <w:color w:val="000000"/>
          <w:lang w:val="en-US"/>
        </w:rPr>
        <w:t>.</w:t>
      </w:r>
      <w:r w:rsidR="00623943">
        <w:rPr>
          <w:rFonts w:ascii="Courier New" w:hAnsi="Courier New" w:cs="Courier New"/>
          <w:color w:val="000000"/>
          <w:lang w:val="en-US"/>
        </w:rPr>
        <w:t xml:space="preserve"> [</w:t>
      </w:r>
      <w:proofErr w:type="gramStart"/>
      <w:r w:rsidR="00623943" w:rsidRPr="00623943">
        <w:rPr>
          <w:rFonts w:ascii="Courier New" w:hAnsi="Courier New" w:cs="Courier New"/>
          <w:color w:val="FF0000"/>
          <w:lang w:val="en-US"/>
        </w:rPr>
        <w:t>Lets</w:t>
      </w:r>
      <w:proofErr w:type="gramEnd"/>
      <w:r w:rsidR="00623943" w:rsidRPr="00623943">
        <w:rPr>
          <w:rFonts w:ascii="Courier New" w:hAnsi="Courier New" w:cs="Courier New"/>
          <w:color w:val="FF0000"/>
          <w:lang w:val="en-US"/>
        </w:rPr>
        <w:t xml:space="preserve"> create a table with both the peaceful, violent and life uncertainty levels, </w:t>
      </w:r>
      <w:proofErr w:type="spellStart"/>
      <w:r w:rsidR="00623943" w:rsidRPr="00623943">
        <w:rPr>
          <w:rFonts w:ascii="Courier New" w:hAnsi="Courier New" w:cs="Courier New"/>
          <w:color w:val="FF0000"/>
          <w:lang w:val="en-US"/>
        </w:rPr>
        <w:t>gpi</w:t>
      </w:r>
      <w:proofErr w:type="spellEnd"/>
      <w:r w:rsidR="00623943">
        <w:rPr>
          <w:rFonts w:ascii="Courier New" w:hAnsi="Courier New" w:cs="Courier New"/>
          <w:color w:val="000000"/>
          <w:lang w:val="en-US"/>
        </w:rPr>
        <w:t>]</w:t>
      </w:r>
      <w:r w:rsidRPr="00724A9C">
        <w:rPr>
          <w:rFonts w:ascii="Courier New" w:hAnsi="Courier New" w:cs="Courier New"/>
          <w:color w:val="000000"/>
          <w:lang w:val="en-US"/>
        </w:rPr>
        <w:t xml:space="preserve"> 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14:paraId="59D5F385" w14:textId="77777777" w:rsidR="00B437F4" w:rsidRPr="009B58A9" w:rsidRDefault="00B437F4" w:rsidP="00391B82">
      <w:pPr>
        <w:pStyle w:val="NoSpacing"/>
        <w:jc w:val="both"/>
        <w:rPr>
          <w:rFonts w:ascii="Courier New" w:hAnsi="Courier New" w:cs="Courier New"/>
          <w:b/>
          <w:lang w:val="en-US"/>
        </w:rPr>
      </w:pPr>
    </w:p>
    <w:p w14:paraId="7FEC25EE" w14:textId="77777777" w:rsidR="00C06989" w:rsidRPr="009B58A9" w:rsidRDefault="00FC44E4" w:rsidP="00391B82">
      <w:pPr>
        <w:pStyle w:val="NoSpacing"/>
        <w:jc w:val="both"/>
        <w:rPr>
          <w:rFonts w:ascii="Courier New" w:hAnsi="Courier New" w:cs="Courier New"/>
          <w:b/>
          <w:lang w:val="en-US"/>
        </w:rPr>
      </w:pPr>
      <w:r w:rsidRPr="009B58A9">
        <w:rPr>
          <w:rFonts w:ascii="Courier New" w:hAnsi="Courier New" w:cs="Courier New"/>
          <w:b/>
          <w:lang w:val="en-US"/>
        </w:rPr>
        <w:t>References [50]</w:t>
      </w:r>
    </w:p>
    <w:p w14:paraId="21781BE4" w14:textId="77777777" w:rsidR="00C06989" w:rsidRPr="009B58A9" w:rsidRDefault="00C06989" w:rsidP="005D3DC5">
      <w:pPr>
        <w:pStyle w:val="NoSpacing"/>
        <w:rPr>
          <w:rFonts w:ascii="Courier New" w:hAnsi="Courier New" w:cs="Courier New"/>
          <w:b/>
          <w:lang w:val="en-US"/>
        </w:rPr>
      </w:pPr>
    </w:p>
    <w:p w14:paraId="20F5DA8E" w14:textId="77777777" w:rsidR="00314D92" w:rsidRPr="00314D92" w:rsidRDefault="00C06989" w:rsidP="00314D92">
      <w:pPr>
        <w:pStyle w:val="EndNoteBibliography"/>
        <w:spacing w:after="0"/>
        <w:ind w:left="720" w:hanging="720"/>
      </w:pPr>
      <w:r w:rsidRPr="009B58A9">
        <w:rPr>
          <w:rFonts w:ascii="Courier New" w:hAnsi="Courier New" w:cs="Courier New"/>
          <w:b/>
        </w:rPr>
        <w:fldChar w:fldCharType="begin"/>
      </w:r>
      <w:r w:rsidRPr="009B58A9">
        <w:rPr>
          <w:rFonts w:ascii="Courier New" w:hAnsi="Courier New" w:cs="Courier New"/>
          <w:b/>
        </w:rPr>
        <w:instrText xml:space="preserve"> ADDIN EN.REFLIST </w:instrText>
      </w:r>
      <w:r w:rsidRPr="009B58A9">
        <w:rPr>
          <w:rFonts w:ascii="Courier New" w:hAnsi="Courier New" w:cs="Courier New"/>
          <w:b/>
        </w:rPr>
        <w:fldChar w:fldCharType="separate"/>
      </w:r>
      <w:r w:rsidR="00314D92" w:rsidRPr="00314D92">
        <w:t>1</w:t>
      </w:r>
      <w:r w:rsidR="00314D92" w:rsidRPr="00314D92">
        <w:tab/>
        <w:t xml:space="preserve">Reith, G. Uncertain times: the notion of ‘risk’and the development of modernity. </w:t>
      </w:r>
      <w:r w:rsidR="00314D92" w:rsidRPr="00314D92">
        <w:rPr>
          <w:i/>
        </w:rPr>
        <w:t>Time &amp; Society</w:t>
      </w:r>
      <w:r w:rsidR="00314D92" w:rsidRPr="00314D92">
        <w:t xml:space="preserve"> </w:t>
      </w:r>
      <w:r w:rsidR="00314D92" w:rsidRPr="00314D92">
        <w:rPr>
          <w:b/>
        </w:rPr>
        <w:t>13</w:t>
      </w:r>
      <w:r w:rsidR="00314D92" w:rsidRPr="00314D92">
        <w:t>, 383-402 (2004).</w:t>
      </w:r>
    </w:p>
    <w:p w14:paraId="0BDCE264" w14:textId="77777777" w:rsidR="00314D92" w:rsidRPr="00314D92" w:rsidRDefault="00314D92" w:rsidP="00314D92">
      <w:pPr>
        <w:pStyle w:val="EndNoteBibliography"/>
        <w:spacing w:after="0"/>
        <w:ind w:left="720" w:hanging="720"/>
      </w:pPr>
      <w:r w:rsidRPr="00314D92">
        <w:t>2</w:t>
      </w:r>
      <w:r w:rsidRPr="00314D92">
        <w:tab/>
        <w:t xml:space="preserve">Yaari, M. E. Uncertain lifetime, life insurance, and the theory of the consumer. </w:t>
      </w:r>
      <w:r w:rsidRPr="00314D92">
        <w:rPr>
          <w:i/>
        </w:rPr>
        <w:t>The Review of Economic Studies</w:t>
      </w:r>
      <w:r w:rsidRPr="00314D92">
        <w:t xml:space="preserve"> </w:t>
      </w:r>
      <w:r w:rsidRPr="00314D92">
        <w:rPr>
          <w:b/>
        </w:rPr>
        <w:t>32</w:t>
      </w:r>
      <w:r w:rsidRPr="00314D92">
        <w:t>, 137-150 (1965).</w:t>
      </w:r>
    </w:p>
    <w:p w14:paraId="6B443BFB" w14:textId="77777777" w:rsidR="00314D92" w:rsidRPr="00314D92" w:rsidRDefault="00314D92" w:rsidP="00314D92">
      <w:pPr>
        <w:pStyle w:val="EndNoteBibliography"/>
        <w:spacing w:after="0"/>
        <w:ind w:left="720" w:hanging="720"/>
      </w:pPr>
      <w:r w:rsidRPr="00314D92">
        <w:t>3</w:t>
      </w:r>
      <w:r w:rsidRPr="00314D92">
        <w:tab/>
        <w:t xml:space="preserve">Abel, A. B. Precautionary saving and accidental bequests. </w:t>
      </w:r>
      <w:r w:rsidRPr="00314D92">
        <w:rPr>
          <w:i/>
        </w:rPr>
        <w:t>The American Economic Review</w:t>
      </w:r>
      <w:r w:rsidRPr="00314D92">
        <w:t xml:space="preserve"> </w:t>
      </w:r>
      <w:r w:rsidRPr="00314D92">
        <w:rPr>
          <w:b/>
        </w:rPr>
        <w:t>75</w:t>
      </w:r>
      <w:r w:rsidRPr="00314D92">
        <w:t>, 777-791 (1985).</w:t>
      </w:r>
    </w:p>
    <w:p w14:paraId="12715036" w14:textId="77777777" w:rsidR="00314D92" w:rsidRPr="00314D92" w:rsidRDefault="00314D92" w:rsidP="00314D92">
      <w:pPr>
        <w:pStyle w:val="EndNoteBibliography"/>
        <w:spacing w:after="0"/>
        <w:ind w:left="720" w:hanging="720"/>
      </w:pPr>
      <w:r w:rsidRPr="00314D92">
        <w:t>4</w:t>
      </w:r>
      <w:r w:rsidRPr="00314D92">
        <w:tab/>
        <w:t xml:space="preserve">Eckstein, Z., Eichenbaum, M. &amp; Peled, D. Uncertain lifetimes and the welfare enhancing properties of annuity markets and social security. </w:t>
      </w:r>
      <w:r w:rsidRPr="00314D92">
        <w:rPr>
          <w:i/>
        </w:rPr>
        <w:t>Journal of Public Economics</w:t>
      </w:r>
      <w:r w:rsidRPr="00314D92">
        <w:t xml:space="preserve"> </w:t>
      </w:r>
      <w:r w:rsidRPr="00314D92">
        <w:rPr>
          <w:b/>
        </w:rPr>
        <w:t>26</w:t>
      </w:r>
      <w:r w:rsidRPr="00314D92">
        <w:t>, 303-326 (1985).</w:t>
      </w:r>
    </w:p>
    <w:p w14:paraId="5B1E3582" w14:textId="77777777" w:rsidR="00314D92" w:rsidRPr="00314D92" w:rsidRDefault="00314D92" w:rsidP="00314D92">
      <w:pPr>
        <w:pStyle w:val="EndNoteBibliography"/>
        <w:spacing w:after="0"/>
        <w:ind w:left="720" w:hanging="720"/>
      </w:pPr>
      <w:r w:rsidRPr="00314D92">
        <w:t>5</w:t>
      </w:r>
      <w:r w:rsidRPr="00314D92">
        <w:tab/>
        <w:t xml:space="preserve">Barro, R. J. &amp; Friedman, J. W. On uncertain lifetimes. </w:t>
      </w:r>
      <w:r w:rsidRPr="00314D92">
        <w:rPr>
          <w:i/>
        </w:rPr>
        <w:t>Journal of Political Economy</w:t>
      </w:r>
      <w:r w:rsidRPr="00314D92">
        <w:t xml:space="preserve"> </w:t>
      </w:r>
      <w:r w:rsidRPr="00314D92">
        <w:rPr>
          <w:b/>
        </w:rPr>
        <w:t>85</w:t>
      </w:r>
      <w:r w:rsidRPr="00314D92">
        <w:t>, 843-849 (1977).</w:t>
      </w:r>
    </w:p>
    <w:p w14:paraId="3985125D" w14:textId="77777777" w:rsidR="00314D92" w:rsidRPr="00314D92" w:rsidRDefault="00314D92" w:rsidP="00314D92">
      <w:pPr>
        <w:pStyle w:val="EndNoteBibliography"/>
        <w:spacing w:after="0"/>
        <w:ind w:left="720" w:hanging="720"/>
      </w:pPr>
      <w:r w:rsidRPr="00314D92">
        <w:t>6</w:t>
      </w:r>
      <w:r w:rsidRPr="00314D92">
        <w:tab/>
        <w:t>Caliendo, F. N., Gorry, A. &amp; Slavov, S. Survival Ambiguity and Welfare. (National Bureau of Economic Research, 2017).</w:t>
      </w:r>
    </w:p>
    <w:p w14:paraId="40C07239" w14:textId="77777777" w:rsidR="00314D92" w:rsidRPr="00314D92" w:rsidRDefault="00314D92" w:rsidP="00314D92">
      <w:pPr>
        <w:pStyle w:val="EndNoteBibliography"/>
        <w:spacing w:after="0"/>
        <w:ind w:left="720" w:hanging="720"/>
      </w:pPr>
      <w:r w:rsidRPr="00314D92">
        <w:t>7</w:t>
      </w:r>
      <w:r w:rsidRPr="00314D92">
        <w:tab/>
        <w:t xml:space="preserve">Chang, F.-R. Uncertain lifetimes, retirement and economic welfare. </w:t>
      </w:r>
      <w:r w:rsidRPr="00314D92">
        <w:rPr>
          <w:i/>
        </w:rPr>
        <w:t>Economica</w:t>
      </w:r>
      <w:r w:rsidRPr="00314D92">
        <w:t>, 215-232 (1991).</w:t>
      </w:r>
    </w:p>
    <w:p w14:paraId="770F85A7" w14:textId="77777777" w:rsidR="00314D92" w:rsidRPr="00314D92" w:rsidRDefault="00314D92" w:rsidP="00314D92">
      <w:pPr>
        <w:pStyle w:val="EndNoteBibliography"/>
        <w:spacing w:after="0"/>
        <w:ind w:left="720" w:hanging="720"/>
      </w:pPr>
      <w:r w:rsidRPr="00314D92">
        <w:t>8</w:t>
      </w:r>
      <w:r w:rsidRPr="00314D92">
        <w:tab/>
        <w:t xml:space="preserve">Firebaugh, G., Acciai, F., Noah, A. J., Prather, C. &amp; Nau, C. Why lifespans are more variable among blacks than among whites in the United States. </w:t>
      </w:r>
      <w:r w:rsidRPr="00314D92">
        <w:rPr>
          <w:i/>
        </w:rPr>
        <w:t>Demography</w:t>
      </w:r>
      <w:r w:rsidRPr="00314D92">
        <w:t xml:space="preserve"> </w:t>
      </w:r>
      <w:r w:rsidRPr="00314D92">
        <w:rPr>
          <w:b/>
        </w:rPr>
        <w:t>51</w:t>
      </w:r>
      <w:r w:rsidRPr="00314D92">
        <w:t>, 2025-2045 (2014).</w:t>
      </w:r>
    </w:p>
    <w:p w14:paraId="4928CD6A" w14:textId="77777777" w:rsidR="00314D92" w:rsidRPr="00314D92" w:rsidRDefault="00314D92" w:rsidP="00314D92">
      <w:pPr>
        <w:pStyle w:val="EndNoteBibliography"/>
        <w:spacing w:after="0"/>
        <w:ind w:left="720" w:hanging="720"/>
      </w:pPr>
      <w:r w:rsidRPr="00314D92">
        <w:t>9</w:t>
      </w:r>
      <w:r w:rsidRPr="00314D92">
        <w:tab/>
        <w:t xml:space="preserve">Lariscy, J. T., Nau, C., Firebaugh, G. &amp; Hummer, R. A. Hispanic-White differences in lifespan variability in the United States. </w:t>
      </w:r>
      <w:r w:rsidRPr="00314D92">
        <w:rPr>
          <w:i/>
        </w:rPr>
        <w:t>Demography</w:t>
      </w:r>
      <w:r w:rsidRPr="00314D92">
        <w:t xml:space="preserve"> </w:t>
      </w:r>
      <w:r w:rsidRPr="00314D92">
        <w:rPr>
          <w:b/>
        </w:rPr>
        <w:t>53</w:t>
      </w:r>
      <w:r w:rsidRPr="00314D92">
        <w:t>, 215-239 (2016).</w:t>
      </w:r>
    </w:p>
    <w:p w14:paraId="651D627A" w14:textId="77777777" w:rsidR="00314D92" w:rsidRPr="00314D92" w:rsidRDefault="00314D92" w:rsidP="00314D92">
      <w:pPr>
        <w:pStyle w:val="EndNoteBibliography"/>
        <w:spacing w:after="0"/>
        <w:ind w:left="720" w:hanging="720"/>
      </w:pPr>
      <w:r w:rsidRPr="00314D92">
        <w:t>10</w:t>
      </w:r>
      <w:r w:rsidRPr="00314D92">
        <w:tab/>
        <w:t xml:space="preserve">Sasson, I. Trends in life expectancy and lifespan variation by educational attainment: United States, 1990–2010. </w:t>
      </w:r>
      <w:r w:rsidRPr="00314D92">
        <w:rPr>
          <w:i/>
        </w:rPr>
        <w:t>Demography</w:t>
      </w:r>
      <w:r w:rsidRPr="00314D92">
        <w:t xml:space="preserve"> </w:t>
      </w:r>
      <w:r w:rsidRPr="00314D92">
        <w:rPr>
          <w:b/>
        </w:rPr>
        <w:t>53</w:t>
      </w:r>
      <w:r w:rsidRPr="00314D92">
        <w:t>, 269-293 (2016).</w:t>
      </w:r>
    </w:p>
    <w:p w14:paraId="1CA2FDB4" w14:textId="77777777" w:rsidR="00314D92" w:rsidRPr="00314D92" w:rsidRDefault="00314D92" w:rsidP="00314D92">
      <w:pPr>
        <w:pStyle w:val="EndNoteBibliography"/>
        <w:spacing w:after="0"/>
        <w:ind w:left="720" w:hanging="720"/>
      </w:pPr>
      <w:r w:rsidRPr="00314D92">
        <w:t>11</w:t>
      </w:r>
      <w:r w:rsidRPr="00314D92">
        <w:tab/>
        <w:t>van Raalte, A. A.</w:t>
      </w:r>
      <w:r w:rsidRPr="00314D92">
        <w:rPr>
          <w:i/>
        </w:rPr>
        <w:t xml:space="preserve"> et al.</w:t>
      </w:r>
      <w:r w:rsidRPr="00314D92">
        <w:t xml:space="preserve"> More variation in lifespan in lower educated groups: evidence from 10 European countries. </w:t>
      </w:r>
      <w:r w:rsidRPr="00314D92">
        <w:rPr>
          <w:i/>
        </w:rPr>
        <w:t>International Journal of Epidemiology</w:t>
      </w:r>
      <w:r w:rsidRPr="00314D92">
        <w:t>, dyr146 (2011).</w:t>
      </w:r>
    </w:p>
    <w:p w14:paraId="73427064" w14:textId="77777777" w:rsidR="00314D92" w:rsidRPr="00314D92" w:rsidRDefault="00314D92" w:rsidP="00314D92">
      <w:pPr>
        <w:pStyle w:val="EndNoteBibliography"/>
        <w:spacing w:after="0"/>
        <w:ind w:left="720" w:hanging="720"/>
      </w:pPr>
      <w:r w:rsidRPr="00314D92">
        <w:t>12</w:t>
      </w:r>
      <w:r w:rsidRPr="00314D92">
        <w:tab/>
        <w:t xml:space="preserve">van Raalte, A. A., Martikainen, P. &amp; Myrskylä, M. Lifespan variation by occupational class: compression or stagnation over time? </w:t>
      </w:r>
      <w:r w:rsidRPr="00314D92">
        <w:rPr>
          <w:i/>
        </w:rPr>
        <w:t>Demography</w:t>
      </w:r>
      <w:r w:rsidRPr="00314D92">
        <w:t xml:space="preserve"> </w:t>
      </w:r>
      <w:r w:rsidRPr="00314D92">
        <w:rPr>
          <w:b/>
        </w:rPr>
        <w:t>51</w:t>
      </w:r>
      <w:r w:rsidRPr="00314D92">
        <w:t>, 73-95 (2014).</w:t>
      </w:r>
    </w:p>
    <w:p w14:paraId="12D8F4C1" w14:textId="77777777" w:rsidR="00314D92" w:rsidRPr="00314D92" w:rsidRDefault="00314D92" w:rsidP="00314D92">
      <w:pPr>
        <w:pStyle w:val="EndNoteBibliography"/>
        <w:spacing w:after="0"/>
        <w:ind w:left="720" w:hanging="720"/>
      </w:pPr>
      <w:r w:rsidRPr="00314D92">
        <w:t>13</w:t>
      </w:r>
      <w:r w:rsidRPr="00314D92">
        <w:tab/>
        <w:t xml:space="preserve">van Raalte, A. A., Sasson, I. &amp; Martikainen, P. The case for monitoring life-span inequality. </w:t>
      </w:r>
      <w:r w:rsidRPr="00314D92">
        <w:rPr>
          <w:i/>
        </w:rPr>
        <w:t>Science</w:t>
      </w:r>
      <w:r w:rsidRPr="00314D92">
        <w:t xml:space="preserve"> </w:t>
      </w:r>
      <w:r w:rsidRPr="00314D92">
        <w:rPr>
          <w:b/>
        </w:rPr>
        <w:t>362</w:t>
      </w:r>
      <w:r w:rsidRPr="00314D92">
        <w:t>, 1002-1004 (2018).</w:t>
      </w:r>
    </w:p>
    <w:p w14:paraId="29ED99D3" w14:textId="77777777" w:rsidR="00314D92" w:rsidRPr="00314D92" w:rsidRDefault="00314D92" w:rsidP="00314D92">
      <w:pPr>
        <w:pStyle w:val="EndNoteBibliography"/>
        <w:spacing w:after="0"/>
        <w:ind w:left="720" w:hanging="720"/>
      </w:pPr>
      <w:r w:rsidRPr="00314D92">
        <w:t>14</w:t>
      </w:r>
      <w:r w:rsidRPr="00314D92">
        <w:tab/>
        <w:t xml:space="preserve">Aburto, J. M. &amp; Beltrán-Sánchez, H. Upsurge of Homicides and Its Impact on Life Expectancy and Life Span Inequality in Mexico, 2005–2015. </w:t>
      </w:r>
      <w:r w:rsidRPr="00314D92">
        <w:rPr>
          <w:i/>
        </w:rPr>
        <w:t>American journal of public health</w:t>
      </w:r>
      <w:r w:rsidRPr="00314D92">
        <w:t>, e1-e7 (2019).</w:t>
      </w:r>
    </w:p>
    <w:p w14:paraId="4DC53D7B" w14:textId="77777777" w:rsidR="00314D92" w:rsidRPr="00314D92" w:rsidRDefault="00314D92" w:rsidP="00314D92">
      <w:pPr>
        <w:pStyle w:val="EndNoteBibliography"/>
        <w:spacing w:after="0"/>
        <w:ind w:left="720" w:hanging="720"/>
      </w:pPr>
      <w:r w:rsidRPr="00314D92">
        <w:t>15</w:t>
      </w:r>
      <w:r w:rsidRPr="00314D92">
        <w:tab/>
        <w:t xml:space="preserve">Aburto, J. M. &amp; van Raalte, A. Lifespan dispersion in times of life expectancy fluctuation: the case of Central and Eastern Europe. </w:t>
      </w:r>
      <w:r w:rsidRPr="00314D92">
        <w:rPr>
          <w:i/>
        </w:rPr>
        <w:t>Demography</w:t>
      </w:r>
      <w:r w:rsidRPr="00314D92">
        <w:t xml:space="preserve"> </w:t>
      </w:r>
      <w:r w:rsidRPr="00314D92">
        <w:rPr>
          <w:b/>
        </w:rPr>
        <w:t>55</w:t>
      </w:r>
      <w:r w:rsidRPr="00314D92">
        <w:t>, 2071-2096 (2018).</w:t>
      </w:r>
    </w:p>
    <w:p w14:paraId="31B4357C" w14:textId="77777777" w:rsidR="00314D92" w:rsidRPr="00314D92" w:rsidRDefault="00314D92" w:rsidP="00314D92">
      <w:pPr>
        <w:pStyle w:val="EndNoteBibliography"/>
        <w:spacing w:after="0"/>
        <w:ind w:left="720" w:hanging="720"/>
      </w:pPr>
      <w:r w:rsidRPr="00314D92">
        <w:lastRenderedPageBreak/>
        <w:t>16</w:t>
      </w:r>
      <w:r w:rsidRPr="00314D92">
        <w:tab/>
        <w:t>Colchero, F.</w:t>
      </w:r>
      <w:r w:rsidRPr="00314D92">
        <w:rPr>
          <w:i/>
        </w:rPr>
        <w:t xml:space="preserve"> et al.</w:t>
      </w:r>
      <w:r w:rsidRPr="00314D92">
        <w:t xml:space="preserve"> The emergence of longevous populations. </w:t>
      </w:r>
      <w:r w:rsidRPr="00314D92">
        <w:rPr>
          <w:i/>
        </w:rPr>
        <w:t>Proceedings of the National Academy of Sciences</w:t>
      </w:r>
      <w:r w:rsidRPr="00314D92">
        <w:t xml:space="preserve"> </w:t>
      </w:r>
      <w:r w:rsidRPr="00314D92">
        <w:rPr>
          <w:b/>
        </w:rPr>
        <w:t>113</w:t>
      </w:r>
      <w:r w:rsidRPr="00314D92">
        <w:t>, E7681-E7690 (2016).</w:t>
      </w:r>
    </w:p>
    <w:p w14:paraId="38595981" w14:textId="77777777" w:rsidR="00314D92" w:rsidRPr="00314D92" w:rsidRDefault="00314D92" w:rsidP="00314D92">
      <w:pPr>
        <w:pStyle w:val="EndNoteBibliography"/>
        <w:spacing w:after="0"/>
        <w:ind w:left="720" w:hanging="720"/>
      </w:pPr>
      <w:r w:rsidRPr="00314D92">
        <w:t>17</w:t>
      </w:r>
      <w:r w:rsidRPr="00314D92">
        <w:tab/>
        <w:t xml:space="preserve">Németh, L. Life expectancy versus lifespan inequality: a smudge or a clear relationship? </w:t>
      </w:r>
      <w:r w:rsidRPr="00314D92">
        <w:rPr>
          <w:i/>
        </w:rPr>
        <w:t>PloS one</w:t>
      </w:r>
      <w:r w:rsidRPr="00314D92">
        <w:t xml:space="preserve"> </w:t>
      </w:r>
      <w:r w:rsidRPr="00314D92">
        <w:rPr>
          <w:b/>
        </w:rPr>
        <w:t>12</w:t>
      </w:r>
      <w:r w:rsidRPr="00314D92">
        <w:t>, e0185702 (2017).</w:t>
      </w:r>
    </w:p>
    <w:p w14:paraId="32419805" w14:textId="77777777" w:rsidR="00314D92" w:rsidRPr="00314D92" w:rsidRDefault="00314D92" w:rsidP="00314D92">
      <w:pPr>
        <w:pStyle w:val="EndNoteBibliography"/>
        <w:spacing w:after="0"/>
        <w:ind w:left="720" w:hanging="720"/>
      </w:pPr>
      <w:r w:rsidRPr="00314D92">
        <w:t>18</w:t>
      </w:r>
      <w:r w:rsidRPr="00314D92">
        <w:tab/>
        <w:t xml:space="preserve">Shkolnikov, V. M., Andreev, E. M., Zhang, Z., Oeppen, J. &amp; Vaupel, J. W. Losses of expected lifetime in the United States and other developed countries: methods and empirical analyses. </w:t>
      </w:r>
      <w:r w:rsidRPr="00314D92">
        <w:rPr>
          <w:i/>
        </w:rPr>
        <w:t>Demography</w:t>
      </w:r>
      <w:r w:rsidRPr="00314D92">
        <w:t xml:space="preserve"> </w:t>
      </w:r>
      <w:r w:rsidRPr="00314D92">
        <w:rPr>
          <w:b/>
        </w:rPr>
        <w:t>48</w:t>
      </w:r>
      <w:r w:rsidRPr="00314D92">
        <w:t>, 211-239 (2011).</w:t>
      </w:r>
    </w:p>
    <w:p w14:paraId="3BBEEBA6" w14:textId="77777777" w:rsidR="00314D92" w:rsidRPr="00314D92" w:rsidRDefault="00314D92" w:rsidP="00314D92">
      <w:pPr>
        <w:pStyle w:val="EndNoteBibliography"/>
        <w:spacing w:after="0"/>
        <w:ind w:left="720" w:hanging="720"/>
      </w:pPr>
      <w:r w:rsidRPr="00314D92">
        <w:t>19</w:t>
      </w:r>
      <w:r w:rsidRPr="00314D92">
        <w:tab/>
        <w:t xml:space="preserve">Smits, J. &amp; Monden, C. Length of life inequality around the globe. </w:t>
      </w:r>
      <w:r w:rsidRPr="00314D92">
        <w:rPr>
          <w:i/>
        </w:rPr>
        <w:t>Social Science &amp; Medicine</w:t>
      </w:r>
      <w:r w:rsidRPr="00314D92">
        <w:t xml:space="preserve"> </w:t>
      </w:r>
      <w:r w:rsidRPr="00314D92">
        <w:rPr>
          <w:b/>
        </w:rPr>
        <w:t>68</w:t>
      </w:r>
      <w:r w:rsidRPr="00314D92">
        <w:t>, 1114-1123 (2009).</w:t>
      </w:r>
    </w:p>
    <w:p w14:paraId="156B44B7" w14:textId="77777777" w:rsidR="00314D92" w:rsidRPr="00314D92" w:rsidRDefault="00314D92" w:rsidP="00314D92">
      <w:pPr>
        <w:pStyle w:val="EndNoteBibliography"/>
        <w:spacing w:after="0"/>
        <w:ind w:left="720" w:hanging="720"/>
      </w:pPr>
      <w:r w:rsidRPr="00314D92">
        <w:t>20</w:t>
      </w:r>
      <w:r w:rsidRPr="00314D92">
        <w:tab/>
        <w:t xml:space="preserve">Vaupel, J. W., Zhang, Z. &amp; van Raalte, A. A. Life expectancy and disparity: an international comparison of life table data. </w:t>
      </w:r>
      <w:r w:rsidRPr="00314D92">
        <w:rPr>
          <w:i/>
        </w:rPr>
        <w:t>BMJ open</w:t>
      </w:r>
      <w:r w:rsidRPr="00314D92">
        <w:t xml:space="preserve"> </w:t>
      </w:r>
      <w:r w:rsidRPr="00314D92">
        <w:rPr>
          <w:b/>
        </w:rPr>
        <w:t>1</w:t>
      </w:r>
      <w:r w:rsidRPr="00314D92">
        <w:t>, e000128 (2011).</w:t>
      </w:r>
    </w:p>
    <w:p w14:paraId="5FD9602E" w14:textId="77777777" w:rsidR="00314D92" w:rsidRPr="00314D92" w:rsidRDefault="00314D92" w:rsidP="00314D92">
      <w:pPr>
        <w:pStyle w:val="EndNoteBibliography"/>
        <w:spacing w:after="0"/>
        <w:ind w:left="720" w:hanging="720"/>
      </w:pPr>
      <w:r w:rsidRPr="00314D92">
        <w:t>21</w:t>
      </w:r>
      <w:r w:rsidRPr="00314D92">
        <w:tab/>
        <w:t xml:space="preserve">Wilmoth, J. R. &amp; Horiuchi, S. Rectangularization revisited: Variability of age at death within human populations. </w:t>
      </w:r>
      <w:r w:rsidRPr="00314D92">
        <w:rPr>
          <w:i/>
        </w:rPr>
        <w:t>Demography</w:t>
      </w:r>
      <w:r w:rsidRPr="00314D92">
        <w:t xml:space="preserve"> </w:t>
      </w:r>
      <w:r w:rsidRPr="00314D92">
        <w:rPr>
          <w:b/>
        </w:rPr>
        <w:t>36</w:t>
      </w:r>
      <w:r w:rsidRPr="00314D92">
        <w:t>, 475-495 (1999).</w:t>
      </w:r>
    </w:p>
    <w:p w14:paraId="3E532A48" w14:textId="77777777" w:rsidR="00314D92" w:rsidRPr="00314D92" w:rsidRDefault="00314D92" w:rsidP="00314D92">
      <w:pPr>
        <w:pStyle w:val="EndNoteBibliography"/>
        <w:spacing w:after="0"/>
        <w:ind w:left="720" w:hanging="720"/>
      </w:pPr>
      <w:r w:rsidRPr="00314D92">
        <w:t>22</w:t>
      </w:r>
      <w:r w:rsidRPr="00314D92">
        <w:tab/>
        <w:t xml:space="preserve">Seligman, B., Greenberg, G. &amp; Tuljapurkar, S. Equity and length of lifespan are not the same. </w:t>
      </w:r>
      <w:r w:rsidRPr="00314D92">
        <w:rPr>
          <w:i/>
        </w:rPr>
        <w:t>Proceedings of the National Academy of Sciences</w:t>
      </w:r>
      <w:r w:rsidRPr="00314D92">
        <w:t xml:space="preserve"> </w:t>
      </w:r>
      <w:r w:rsidRPr="00314D92">
        <w:rPr>
          <w:b/>
        </w:rPr>
        <w:t>113</w:t>
      </w:r>
      <w:r w:rsidRPr="00314D92">
        <w:t>, 8420-8423 (2016).</w:t>
      </w:r>
    </w:p>
    <w:p w14:paraId="08FA8B83" w14:textId="77777777" w:rsidR="00314D92" w:rsidRPr="00314D92" w:rsidRDefault="00314D92" w:rsidP="00314D92">
      <w:pPr>
        <w:pStyle w:val="EndNoteBibliography"/>
        <w:spacing w:after="0"/>
        <w:ind w:left="720" w:hanging="720"/>
      </w:pPr>
      <w:r w:rsidRPr="00314D92">
        <w:t>23</w:t>
      </w:r>
      <w:r w:rsidRPr="00314D92">
        <w:tab/>
        <w:t xml:space="preserve">Aburto, J. M., Wensink, M., van Raalte, A. &amp; Lindahl-Jacobsen, R. Potential gains in life expectancy by reducing inequality of lifespans in Denmark: an international comparison and cause-of-death analysis. </w:t>
      </w:r>
      <w:r w:rsidRPr="00314D92">
        <w:rPr>
          <w:i/>
        </w:rPr>
        <w:t>BMC public health</w:t>
      </w:r>
      <w:r w:rsidRPr="00314D92">
        <w:t xml:space="preserve"> </w:t>
      </w:r>
      <w:r w:rsidRPr="00314D92">
        <w:rPr>
          <w:b/>
        </w:rPr>
        <w:t>18</w:t>
      </w:r>
      <w:r w:rsidRPr="00314D92">
        <w:t>, 831 (2018).</w:t>
      </w:r>
    </w:p>
    <w:p w14:paraId="387D0649" w14:textId="77777777" w:rsidR="00314D92" w:rsidRPr="00314D92" w:rsidRDefault="00314D92" w:rsidP="00314D92">
      <w:pPr>
        <w:pStyle w:val="EndNoteBibliography"/>
        <w:spacing w:after="0"/>
        <w:ind w:left="720" w:hanging="720"/>
      </w:pPr>
      <w:r w:rsidRPr="00314D92">
        <w:t>24</w:t>
      </w:r>
      <w:r w:rsidRPr="00314D92">
        <w:tab/>
        <w:t xml:space="preserve">Curiel, R. P. &amp; Bishop, S. R. Fear of crime: the impact of different distributions of victimisation. </w:t>
      </w:r>
      <w:r w:rsidRPr="00314D92">
        <w:rPr>
          <w:i/>
        </w:rPr>
        <w:t>Palgrave Communications</w:t>
      </w:r>
      <w:r w:rsidRPr="00314D92">
        <w:t xml:space="preserve"> </w:t>
      </w:r>
      <w:r w:rsidRPr="00314D92">
        <w:rPr>
          <w:b/>
        </w:rPr>
        <w:t>4</w:t>
      </w:r>
      <w:r w:rsidRPr="00314D92">
        <w:t>, 46 (2018).</w:t>
      </w:r>
    </w:p>
    <w:p w14:paraId="1905991E" w14:textId="77777777" w:rsidR="00314D92" w:rsidRPr="00314D92" w:rsidRDefault="00314D92" w:rsidP="00314D92">
      <w:pPr>
        <w:pStyle w:val="EndNoteBibliography"/>
        <w:spacing w:after="0"/>
        <w:ind w:left="720" w:hanging="720"/>
      </w:pPr>
      <w:r w:rsidRPr="00314D92">
        <w:t>25</w:t>
      </w:r>
      <w:r w:rsidRPr="00314D92">
        <w:tab/>
        <w:t xml:space="preserve">Skogan, W. G. The impact of victimization on fear. </w:t>
      </w:r>
      <w:r w:rsidRPr="00314D92">
        <w:rPr>
          <w:i/>
        </w:rPr>
        <w:t>Crime &amp; Delinquency</w:t>
      </w:r>
      <w:r w:rsidRPr="00314D92">
        <w:t xml:space="preserve"> </w:t>
      </w:r>
      <w:r w:rsidRPr="00314D92">
        <w:rPr>
          <w:b/>
        </w:rPr>
        <w:t>33</w:t>
      </w:r>
      <w:r w:rsidRPr="00314D92">
        <w:t>, 135-154 (1987).</w:t>
      </w:r>
    </w:p>
    <w:p w14:paraId="7E1ABF52" w14:textId="77777777" w:rsidR="00314D92" w:rsidRPr="00314D92" w:rsidRDefault="00314D92" w:rsidP="00314D92">
      <w:pPr>
        <w:pStyle w:val="EndNoteBibliography"/>
        <w:spacing w:after="0"/>
        <w:ind w:left="720" w:hanging="720"/>
      </w:pPr>
      <w:r w:rsidRPr="00314D92">
        <w:t>26</w:t>
      </w:r>
      <w:r w:rsidRPr="00314D92">
        <w:tab/>
        <w:t xml:space="preserve">Canudas-Romo, V., Aburto, J. M., García-Guerrero, V. M. &amp; Beltrán-Sánchez, H. Mexico's epidemic of violence and its public health significance on average length of life. </w:t>
      </w:r>
      <w:r w:rsidRPr="00314D92">
        <w:rPr>
          <w:i/>
        </w:rPr>
        <w:t>Journal of epidemiology and community health</w:t>
      </w:r>
      <w:r w:rsidRPr="00314D92">
        <w:t xml:space="preserve"> </w:t>
      </w:r>
      <w:r w:rsidRPr="00314D92">
        <w:rPr>
          <w:b/>
        </w:rPr>
        <w:t>71</w:t>
      </w:r>
      <w:r w:rsidRPr="00314D92">
        <w:t>, 188-193 (2017).</w:t>
      </w:r>
    </w:p>
    <w:p w14:paraId="284FA353" w14:textId="77777777" w:rsidR="00314D92" w:rsidRPr="00314D92" w:rsidRDefault="00314D92" w:rsidP="00314D92">
      <w:pPr>
        <w:pStyle w:val="EndNoteBibliography"/>
        <w:spacing w:after="0"/>
        <w:ind w:left="720" w:hanging="720"/>
      </w:pPr>
      <w:r w:rsidRPr="00314D92">
        <w:t>27</w:t>
      </w:r>
      <w:r w:rsidRPr="00314D92">
        <w:tab/>
        <w:t xml:space="preserve">Jackson, J. &amp; Gray, E. Functional fear and public insecurities about crime. </w:t>
      </w:r>
      <w:r w:rsidRPr="00314D92">
        <w:rPr>
          <w:i/>
        </w:rPr>
        <w:t>The British Journal of Criminology</w:t>
      </w:r>
      <w:r w:rsidRPr="00314D92">
        <w:t xml:space="preserve"> </w:t>
      </w:r>
      <w:r w:rsidRPr="00314D92">
        <w:rPr>
          <w:b/>
        </w:rPr>
        <w:t>50</w:t>
      </w:r>
      <w:r w:rsidRPr="00314D92">
        <w:t>, 1-22 (2009).</w:t>
      </w:r>
    </w:p>
    <w:p w14:paraId="104D5F0B" w14:textId="77777777" w:rsidR="00314D92" w:rsidRPr="00314D92" w:rsidRDefault="00314D92" w:rsidP="00314D92">
      <w:pPr>
        <w:pStyle w:val="EndNoteBibliography"/>
        <w:spacing w:after="0"/>
        <w:ind w:left="720" w:hanging="720"/>
      </w:pPr>
      <w:r w:rsidRPr="00314D92">
        <w:t>28</w:t>
      </w:r>
      <w:r w:rsidRPr="00314D92">
        <w:tab/>
        <w:t xml:space="preserve">Ruijsbroek, A., Droomers, M., Groenewegen, P. P., Hardyns, W. &amp; Stronks, K. Social safety, self-rated general health and physical activity: changes in area crime, area safety feelings and the role of social cohesion. </w:t>
      </w:r>
      <w:r w:rsidRPr="00314D92">
        <w:rPr>
          <w:i/>
        </w:rPr>
        <w:t>Health &amp; place</w:t>
      </w:r>
      <w:r w:rsidRPr="00314D92">
        <w:t xml:space="preserve"> </w:t>
      </w:r>
      <w:r w:rsidRPr="00314D92">
        <w:rPr>
          <w:b/>
        </w:rPr>
        <w:t>31</w:t>
      </w:r>
      <w:r w:rsidRPr="00314D92">
        <w:t>, 39-45 (2015).</w:t>
      </w:r>
    </w:p>
    <w:p w14:paraId="5FD22415" w14:textId="77777777" w:rsidR="00314D92" w:rsidRPr="00314D92" w:rsidRDefault="00314D92" w:rsidP="00314D92">
      <w:pPr>
        <w:pStyle w:val="EndNoteBibliography"/>
        <w:spacing w:after="0"/>
        <w:ind w:left="720" w:hanging="720"/>
      </w:pPr>
      <w:r w:rsidRPr="00314D92">
        <w:t>29</w:t>
      </w:r>
      <w:r w:rsidRPr="00314D92">
        <w:tab/>
        <w:t xml:space="preserve">Carro, D., Valera, S. &amp; Vidal, T. Perceived insecurity in the public space: Personal, social and environmental variables. </w:t>
      </w:r>
      <w:r w:rsidRPr="00314D92">
        <w:rPr>
          <w:i/>
        </w:rPr>
        <w:t>Quality &amp; Quantity</w:t>
      </w:r>
      <w:r w:rsidRPr="00314D92">
        <w:t xml:space="preserve"> </w:t>
      </w:r>
      <w:r w:rsidRPr="00314D92">
        <w:rPr>
          <w:b/>
        </w:rPr>
        <w:t>44</w:t>
      </w:r>
      <w:r w:rsidRPr="00314D92">
        <w:t>, 303-314 (2010).</w:t>
      </w:r>
    </w:p>
    <w:p w14:paraId="4355A660" w14:textId="1415C610" w:rsidR="00314D92" w:rsidRPr="00314D92" w:rsidRDefault="00314D92" w:rsidP="00314D92">
      <w:pPr>
        <w:pStyle w:val="EndNoteBibliography"/>
        <w:spacing w:after="0"/>
        <w:ind w:left="720" w:hanging="720"/>
      </w:pPr>
      <w:r w:rsidRPr="00314D92">
        <w:t>30</w:t>
      </w:r>
      <w:r w:rsidRPr="00314D92">
        <w:tab/>
        <w:t>Institute for Health Metrics and Evaluation (IHME).</w:t>
      </w:r>
      <w:r w:rsidRPr="00314D92">
        <w:rPr>
          <w:i/>
        </w:rPr>
        <w:t xml:space="preserve"> GBD Compare.  Seattle, WA: IHME, University of Washington</w:t>
      </w:r>
      <w:r w:rsidRPr="00314D92">
        <w:t xml:space="preserve">, &lt; </w:t>
      </w:r>
      <w:hyperlink r:id="rId10" w:history="1">
        <w:r w:rsidRPr="00314D92">
          <w:rPr>
            <w:rStyle w:val="Hyperlink"/>
          </w:rPr>
          <w:t>http://vizhub.healthdata.org/gbd-compare</w:t>
        </w:r>
      </w:hyperlink>
      <w:r w:rsidRPr="00314D92">
        <w:t>&gt; (2019).</w:t>
      </w:r>
    </w:p>
    <w:p w14:paraId="743AEF35" w14:textId="203DA7D2" w:rsidR="00314D92" w:rsidRPr="00314D92" w:rsidRDefault="00314D92" w:rsidP="00314D92">
      <w:pPr>
        <w:pStyle w:val="EndNoteBibliography"/>
        <w:spacing w:after="0"/>
        <w:ind w:left="720" w:hanging="720"/>
      </w:pPr>
      <w:r w:rsidRPr="00314D92">
        <w:t>31</w:t>
      </w:r>
      <w:r w:rsidRPr="00314D92">
        <w:tab/>
        <w:t xml:space="preserve">Institute for Economics &amp; Peace. </w:t>
      </w:r>
      <w:r w:rsidRPr="00314D92">
        <w:rPr>
          <w:i/>
        </w:rPr>
        <w:t>Global Peace Index 2018: Measuring Peace in a Complex World, Sydney</w:t>
      </w:r>
      <w:r w:rsidRPr="00314D92">
        <w:t>, &lt;</w:t>
      </w:r>
      <w:hyperlink r:id="rId11" w:history="1">
        <w:r w:rsidRPr="00314D92">
          <w:rPr>
            <w:rStyle w:val="Hyperlink"/>
          </w:rPr>
          <w:t>http://visionofhumanity.org/reports</w:t>
        </w:r>
      </w:hyperlink>
      <w:r w:rsidRPr="00314D92">
        <w:t>&gt; (2019).</w:t>
      </w:r>
    </w:p>
    <w:p w14:paraId="45DF6470" w14:textId="77777777" w:rsidR="00314D92" w:rsidRPr="00314D92" w:rsidRDefault="00314D92" w:rsidP="00314D92">
      <w:pPr>
        <w:pStyle w:val="EndNoteBibliography"/>
        <w:spacing w:after="0"/>
        <w:ind w:left="720" w:hanging="720"/>
      </w:pPr>
      <w:r w:rsidRPr="00314D92">
        <w:t>32</w:t>
      </w:r>
      <w:r w:rsidRPr="00314D92">
        <w:tab/>
        <w:t xml:space="preserve">United Nations Office on Drugs Crime. </w:t>
      </w:r>
      <w:r w:rsidRPr="00314D92">
        <w:rPr>
          <w:i/>
        </w:rPr>
        <w:t>Global study on homicide 2013: trends, contexts, data</w:t>
      </w:r>
      <w:r w:rsidRPr="00314D92">
        <w:t>.  (UNODC, 2013).</w:t>
      </w:r>
    </w:p>
    <w:p w14:paraId="615B8458" w14:textId="77777777" w:rsidR="00314D92" w:rsidRPr="00314D92" w:rsidRDefault="00314D92" w:rsidP="00314D92">
      <w:pPr>
        <w:pStyle w:val="EndNoteBibliography"/>
        <w:spacing w:after="0"/>
        <w:ind w:left="720" w:hanging="720"/>
      </w:pPr>
      <w:r w:rsidRPr="00314D92">
        <w:t>33</w:t>
      </w:r>
      <w:r w:rsidRPr="00314D92">
        <w:tab/>
        <w:t xml:space="preserve">Aburto, J. M., Beltrán-Sánchez, H., García-Guerrero, V. M. &amp; Canudas-Romo, V. Homicides in Mexico reversed life expectancy gains for men and slowed them for women, 2000–10. </w:t>
      </w:r>
      <w:r w:rsidRPr="00314D92">
        <w:rPr>
          <w:i/>
        </w:rPr>
        <w:t>Health Affairs</w:t>
      </w:r>
      <w:r w:rsidRPr="00314D92">
        <w:t xml:space="preserve"> </w:t>
      </w:r>
      <w:r w:rsidRPr="00314D92">
        <w:rPr>
          <w:b/>
        </w:rPr>
        <w:t>35</w:t>
      </w:r>
      <w:r w:rsidRPr="00314D92">
        <w:t>, 88-95 (2016).</w:t>
      </w:r>
    </w:p>
    <w:p w14:paraId="4EC15A4F" w14:textId="77777777" w:rsidR="00314D92" w:rsidRPr="00314D92" w:rsidRDefault="00314D92" w:rsidP="00314D92">
      <w:pPr>
        <w:pStyle w:val="EndNoteBibliography"/>
        <w:spacing w:after="0"/>
        <w:ind w:left="720" w:hanging="720"/>
      </w:pPr>
      <w:r w:rsidRPr="00314D92">
        <w:t>34</w:t>
      </w:r>
      <w:r w:rsidRPr="00314D92">
        <w:tab/>
        <w:t xml:space="preserve">van Raalte, A. A. &amp; Caswell, H. Perturbation analysis of indices of lifespan variability. </w:t>
      </w:r>
      <w:r w:rsidRPr="00314D92">
        <w:rPr>
          <w:i/>
        </w:rPr>
        <w:t>Demography</w:t>
      </w:r>
      <w:r w:rsidRPr="00314D92">
        <w:t xml:space="preserve"> </w:t>
      </w:r>
      <w:r w:rsidRPr="00314D92">
        <w:rPr>
          <w:b/>
        </w:rPr>
        <w:t>50</w:t>
      </w:r>
      <w:r w:rsidRPr="00314D92">
        <w:t>, 1615-1640 (2013).</w:t>
      </w:r>
    </w:p>
    <w:p w14:paraId="6F95FA8F" w14:textId="77777777" w:rsidR="00314D92" w:rsidRPr="00314D92" w:rsidRDefault="00314D92" w:rsidP="00314D92">
      <w:pPr>
        <w:pStyle w:val="EndNoteBibliography"/>
        <w:spacing w:after="0"/>
        <w:ind w:left="720" w:hanging="720"/>
      </w:pPr>
      <w:r w:rsidRPr="00314D92">
        <w:t>35</w:t>
      </w:r>
      <w:r w:rsidRPr="00314D92">
        <w:tab/>
        <w:t xml:space="preserve">Remund, A., Camarda, C. G. &amp; Riffe, T. A cause-of-death decomposition of young adult excess mortality. </w:t>
      </w:r>
      <w:r w:rsidRPr="00314D92">
        <w:rPr>
          <w:i/>
        </w:rPr>
        <w:t>Demography</w:t>
      </w:r>
      <w:r w:rsidRPr="00314D92">
        <w:t xml:space="preserve"> </w:t>
      </w:r>
      <w:r w:rsidRPr="00314D92">
        <w:rPr>
          <w:b/>
        </w:rPr>
        <w:t>55</w:t>
      </w:r>
      <w:r w:rsidRPr="00314D92">
        <w:t>, 957-978 (2018).</w:t>
      </w:r>
    </w:p>
    <w:p w14:paraId="1C2CCBF4" w14:textId="77777777" w:rsidR="00314D92" w:rsidRPr="00314D92" w:rsidRDefault="00314D92" w:rsidP="00314D92">
      <w:pPr>
        <w:pStyle w:val="EndNoteBibliography"/>
        <w:spacing w:after="0"/>
        <w:ind w:left="720" w:hanging="720"/>
      </w:pPr>
      <w:r w:rsidRPr="00314D92">
        <w:t>36</w:t>
      </w:r>
      <w:r w:rsidRPr="00314D92">
        <w:tab/>
        <w:t xml:space="preserve">Briceño-León, R., Villaveces, A. &amp; Concha-Eastman, A. Understanding the uneven distribution of the incidence of homicide in Latin America. </w:t>
      </w:r>
      <w:r w:rsidRPr="00314D92">
        <w:rPr>
          <w:i/>
        </w:rPr>
        <w:t>International Journal of Epidemiology</w:t>
      </w:r>
      <w:r w:rsidRPr="00314D92">
        <w:t xml:space="preserve"> </w:t>
      </w:r>
      <w:r w:rsidRPr="00314D92">
        <w:rPr>
          <w:b/>
        </w:rPr>
        <w:t>37</w:t>
      </w:r>
      <w:r w:rsidRPr="00314D92">
        <w:t>, 751-757 (2008).</w:t>
      </w:r>
    </w:p>
    <w:p w14:paraId="73D9D365" w14:textId="77777777" w:rsidR="00314D92" w:rsidRPr="00314D92" w:rsidRDefault="00314D92" w:rsidP="00314D92">
      <w:pPr>
        <w:pStyle w:val="EndNoteBibliography"/>
        <w:spacing w:after="0"/>
        <w:ind w:left="720" w:hanging="720"/>
      </w:pPr>
      <w:r w:rsidRPr="00314D92">
        <w:t>37</w:t>
      </w:r>
      <w:r w:rsidRPr="00314D92">
        <w:tab/>
        <w:t xml:space="preserve">Aburto, J. M., Riffe, T. &amp; Canudas-Romo, V. Trends in avoidable mortality over the life course in Mexico, 1990–2015: a cross-sectional demographic analysis. </w:t>
      </w:r>
      <w:r w:rsidRPr="00314D92">
        <w:rPr>
          <w:i/>
        </w:rPr>
        <w:t>BMJ open</w:t>
      </w:r>
      <w:r w:rsidRPr="00314D92">
        <w:t xml:space="preserve"> </w:t>
      </w:r>
      <w:r w:rsidRPr="00314D92">
        <w:rPr>
          <w:b/>
        </w:rPr>
        <w:t>8</w:t>
      </w:r>
      <w:r w:rsidRPr="00314D92">
        <w:t>, e022350 (2018).</w:t>
      </w:r>
    </w:p>
    <w:p w14:paraId="63D3DD67" w14:textId="77777777" w:rsidR="00314D92" w:rsidRPr="00314D92" w:rsidRDefault="00314D92" w:rsidP="00314D92">
      <w:pPr>
        <w:pStyle w:val="EndNoteBibliography"/>
        <w:spacing w:after="0"/>
        <w:ind w:left="720" w:hanging="720"/>
      </w:pPr>
      <w:r w:rsidRPr="00314D92">
        <w:t>38</w:t>
      </w:r>
      <w:r w:rsidRPr="00314D92">
        <w:tab/>
        <w:t>Rizzi, S.</w:t>
      </w:r>
      <w:r w:rsidRPr="00314D92">
        <w:rPr>
          <w:i/>
        </w:rPr>
        <w:t xml:space="preserve"> et al.</w:t>
      </w:r>
      <w:r w:rsidRPr="00314D92">
        <w:t xml:space="preserve"> How to estimate mortality trends from grouped vital statistics. </w:t>
      </w:r>
      <w:r w:rsidRPr="00314D92">
        <w:rPr>
          <w:i/>
        </w:rPr>
        <w:t>International journal of epidemiology</w:t>
      </w:r>
      <w:r w:rsidRPr="00314D92">
        <w:t xml:space="preserve"> (2018).</w:t>
      </w:r>
    </w:p>
    <w:p w14:paraId="5A15CD36" w14:textId="77777777" w:rsidR="00314D92" w:rsidRPr="00314D92" w:rsidRDefault="00314D92" w:rsidP="00314D92">
      <w:pPr>
        <w:pStyle w:val="EndNoteBibliography"/>
        <w:spacing w:after="0"/>
        <w:ind w:left="720" w:hanging="720"/>
      </w:pPr>
      <w:r w:rsidRPr="00314D92">
        <w:lastRenderedPageBreak/>
        <w:t>39</w:t>
      </w:r>
      <w:r w:rsidRPr="00314D92">
        <w:tab/>
        <w:t xml:space="preserve">Preston, S. H., Heuveline, P. &amp; Guillot, M. </w:t>
      </w:r>
      <w:r w:rsidRPr="00314D92">
        <w:rPr>
          <w:i/>
        </w:rPr>
        <w:t>Demography. Measuring and Modeling Population Processes</w:t>
      </w:r>
      <w:r w:rsidRPr="00314D92">
        <w:t>.  (Blackwell, 2001).</w:t>
      </w:r>
    </w:p>
    <w:p w14:paraId="6D9D5E7D" w14:textId="77777777" w:rsidR="00314D92" w:rsidRPr="00314D92" w:rsidRDefault="00314D92" w:rsidP="00314D92">
      <w:pPr>
        <w:pStyle w:val="EndNoteBibliography"/>
        <w:spacing w:after="0"/>
        <w:ind w:left="720" w:hanging="720"/>
      </w:pPr>
      <w:r w:rsidRPr="00314D92">
        <w:t>40</w:t>
      </w:r>
      <w:r w:rsidRPr="00314D92">
        <w:tab/>
        <w:t xml:space="preserve">Horiuchi, S., Wilmoth, J. R. &amp; Pletcher, S. D. A decomposition method based on a model of continuous change. </w:t>
      </w:r>
      <w:r w:rsidRPr="00314D92">
        <w:rPr>
          <w:i/>
        </w:rPr>
        <w:t>Demography</w:t>
      </w:r>
      <w:r w:rsidRPr="00314D92">
        <w:t xml:space="preserve"> </w:t>
      </w:r>
      <w:r w:rsidRPr="00314D92">
        <w:rPr>
          <w:b/>
        </w:rPr>
        <w:t>45</w:t>
      </w:r>
      <w:r w:rsidRPr="00314D92">
        <w:t>, 785-801 (2008).</w:t>
      </w:r>
    </w:p>
    <w:p w14:paraId="0796ACEF" w14:textId="77777777" w:rsidR="00314D92" w:rsidRPr="00314D92" w:rsidRDefault="00314D92" w:rsidP="00314D92">
      <w:pPr>
        <w:pStyle w:val="EndNoteBibliography"/>
        <w:spacing w:after="0"/>
        <w:ind w:left="720" w:hanging="720"/>
      </w:pPr>
      <w:r w:rsidRPr="00314D92">
        <w:t>41</w:t>
      </w:r>
      <w:r w:rsidRPr="00314D92">
        <w:tab/>
        <w:t>Team, R. C.     (2014).</w:t>
      </w:r>
    </w:p>
    <w:p w14:paraId="34C78516" w14:textId="77777777" w:rsidR="00314D92" w:rsidRPr="00314D92" w:rsidRDefault="00314D92" w:rsidP="00314D92">
      <w:pPr>
        <w:pStyle w:val="EndNoteBibliography"/>
        <w:spacing w:after="0"/>
        <w:ind w:left="720" w:hanging="720"/>
      </w:pPr>
      <w:r w:rsidRPr="00314D92">
        <w:t>42</w:t>
      </w:r>
      <w:r w:rsidRPr="00314D92">
        <w:tab/>
        <w:t xml:space="preserve">Wrycza, T. F., Missov, T. I. &amp; Baudisch, A. Quantifying the shape of aging. </w:t>
      </w:r>
      <w:r w:rsidRPr="00314D92">
        <w:rPr>
          <w:i/>
        </w:rPr>
        <w:t>PloS one</w:t>
      </w:r>
      <w:r w:rsidRPr="00314D92">
        <w:t xml:space="preserve"> </w:t>
      </w:r>
      <w:r w:rsidRPr="00314D92">
        <w:rPr>
          <w:b/>
        </w:rPr>
        <w:t>10</w:t>
      </w:r>
      <w:r w:rsidRPr="00314D92">
        <w:t>, e0119163 (2015).</w:t>
      </w:r>
    </w:p>
    <w:p w14:paraId="713B1E9F" w14:textId="77777777" w:rsidR="00314D92" w:rsidRPr="00314D92" w:rsidRDefault="00314D92" w:rsidP="00314D92">
      <w:pPr>
        <w:pStyle w:val="EndNoteBibliography"/>
        <w:ind w:left="720" w:hanging="720"/>
      </w:pPr>
      <w:r w:rsidRPr="00314D92">
        <w:t>43</w:t>
      </w:r>
      <w:r w:rsidRPr="00314D92">
        <w:tab/>
        <w:t xml:space="preserve">Edwards, R. D. &amp; Tuljapurkar, S. Inequality in life spans and a new perspective on mortality convergence across industrialized countries. </w:t>
      </w:r>
      <w:r w:rsidRPr="00314D92">
        <w:rPr>
          <w:i/>
        </w:rPr>
        <w:t>Population and Development Review</w:t>
      </w:r>
      <w:r w:rsidRPr="00314D92">
        <w:t xml:space="preserve"> </w:t>
      </w:r>
      <w:r w:rsidRPr="00314D92">
        <w:rPr>
          <w:b/>
        </w:rPr>
        <w:t>31</w:t>
      </w:r>
      <w:r w:rsidRPr="00314D92">
        <w:t>, 645-674 (2005).</w:t>
      </w:r>
    </w:p>
    <w:p w14:paraId="6EDB9E73" w14:textId="7458D9AD" w:rsidR="00122450" w:rsidRPr="009B58A9" w:rsidRDefault="00C06989" w:rsidP="005D3DC5">
      <w:pPr>
        <w:pStyle w:val="NoSpacing"/>
        <w:rPr>
          <w:rFonts w:ascii="Courier New" w:hAnsi="Courier New" w:cs="Courier New"/>
          <w:b/>
          <w:lang w:val="en-US"/>
        </w:rPr>
      </w:pPr>
      <w:r w:rsidRPr="009B58A9">
        <w:rPr>
          <w:rFonts w:ascii="Courier New" w:hAnsi="Courier New" w:cs="Courier New"/>
          <w:b/>
          <w:lang w:val="en-US"/>
        </w:rPr>
        <w:fldChar w:fldCharType="end"/>
      </w:r>
    </w:p>
    <w:sectPr w:rsidR="00122450" w:rsidRPr="009B58A9" w:rsidSect="005D3DC5">
      <w:footerReference w:type="default" r:id="rId12"/>
      <w:pgSz w:w="11906" w:h="16838"/>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9BDB3" w14:textId="77777777" w:rsidR="00ED04E8" w:rsidRDefault="00ED04E8" w:rsidP="005D3DC5">
      <w:pPr>
        <w:spacing w:after="0" w:line="240" w:lineRule="auto"/>
      </w:pPr>
      <w:r>
        <w:separator/>
      </w:r>
    </w:p>
  </w:endnote>
  <w:endnote w:type="continuationSeparator" w:id="0">
    <w:p w14:paraId="652A440C" w14:textId="77777777" w:rsidR="00ED04E8" w:rsidRDefault="00ED04E8" w:rsidP="005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334217"/>
      <w:docPartObj>
        <w:docPartGallery w:val="Page Numbers (Bottom of Page)"/>
        <w:docPartUnique/>
      </w:docPartObj>
    </w:sdtPr>
    <w:sdtEndPr>
      <w:rPr>
        <w:noProof/>
      </w:rPr>
    </w:sdtEndPr>
    <w:sdtContent>
      <w:p w14:paraId="08BBB96E" w14:textId="77777777" w:rsidR="008A5AE3" w:rsidRDefault="008A5AE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4C568B6" w14:textId="77777777" w:rsidR="008A5AE3" w:rsidRDefault="008A5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FCE3A" w14:textId="77777777" w:rsidR="00ED04E8" w:rsidRDefault="00ED04E8" w:rsidP="005D3DC5">
      <w:pPr>
        <w:spacing w:after="0" w:line="240" w:lineRule="auto"/>
      </w:pPr>
      <w:r>
        <w:separator/>
      </w:r>
    </w:p>
  </w:footnote>
  <w:footnote w:type="continuationSeparator" w:id="0">
    <w:p w14:paraId="5287E0E7" w14:textId="77777777" w:rsidR="00ED04E8" w:rsidRDefault="00ED04E8" w:rsidP="005D3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A6F"/>
    <w:multiLevelType w:val="hybridMultilevel"/>
    <w:tmpl w:val="071C0BC8"/>
    <w:lvl w:ilvl="0" w:tplc="3F9A7A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71DA"/>
    <w:multiLevelType w:val="hybridMultilevel"/>
    <w:tmpl w:val="6706B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s209twpd0rw8e25dcx9ednssap55azsp0p&quot;&gt;Bib_UncertainLives&lt;record-ids&gt;&lt;item&gt;1&lt;/item&gt;&lt;item&gt;4&lt;/item&gt;&lt;item&gt;6&lt;/item&gt;&lt;item&gt;7&lt;/item&gt;&lt;item&gt;9&lt;/item&gt;&lt;item&gt;10&lt;/item&gt;&lt;item&gt;21&lt;/item&gt;&lt;item&gt;24&lt;/item&gt;&lt;item&gt;29&lt;/item&gt;&lt;item&gt;50&lt;/item&gt;&lt;item&gt;58&lt;/item&gt;&lt;item&gt;59&lt;/item&gt;&lt;item&gt;87&lt;/item&gt;&lt;item&gt;88&lt;/item&gt;&lt;item&gt;90&lt;/item&gt;&lt;item&gt;92&lt;/item&gt;&lt;item&gt;93&lt;/item&gt;&lt;item&gt;98&lt;/item&gt;&lt;item&gt;100&lt;/item&gt;&lt;item&gt;103&lt;/item&gt;&lt;item&gt;105&lt;/item&gt;&lt;item&gt;127&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3&lt;/item&gt;&lt;item&gt;155&lt;/item&gt;&lt;item&gt;156&lt;/item&gt;&lt;item&gt;158&lt;/item&gt;&lt;item&gt;159&lt;/item&gt;&lt;item&gt;160&lt;/item&gt;&lt;item&gt;161&lt;/item&gt;&lt;/record-ids&gt;&lt;/item&gt;&lt;/Libraries&gt;"/>
  </w:docVars>
  <w:rsids>
    <w:rsidRoot w:val="00122450"/>
    <w:rsid w:val="0000529A"/>
    <w:rsid w:val="00011DA0"/>
    <w:rsid w:val="00012BF9"/>
    <w:rsid w:val="00020F08"/>
    <w:rsid w:val="0003155E"/>
    <w:rsid w:val="0004495A"/>
    <w:rsid w:val="000517D4"/>
    <w:rsid w:val="00054177"/>
    <w:rsid w:val="00054F10"/>
    <w:rsid w:val="0006290F"/>
    <w:rsid w:val="00090083"/>
    <w:rsid w:val="000C2E72"/>
    <w:rsid w:val="000E79E8"/>
    <w:rsid w:val="000F7D2B"/>
    <w:rsid w:val="00121B38"/>
    <w:rsid w:val="00122450"/>
    <w:rsid w:val="001359A4"/>
    <w:rsid w:val="0014063A"/>
    <w:rsid w:val="00154B3B"/>
    <w:rsid w:val="00187CA8"/>
    <w:rsid w:val="001A2E92"/>
    <w:rsid w:val="001E01C8"/>
    <w:rsid w:val="001E75FC"/>
    <w:rsid w:val="00202144"/>
    <w:rsid w:val="002028F7"/>
    <w:rsid w:val="00220843"/>
    <w:rsid w:val="002267ED"/>
    <w:rsid w:val="00232653"/>
    <w:rsid w:val="00236ABC"/>
    <w:rsid w:val="002376AD"/>
    <w:rsid w:val="00237A43"/>
    <w:rsid w:val="002404CD"/>
    <w:rsid w:val="00260BE8"/>
    <w:rsid w:val="00271358"/>
    <w:rsid w:val="00281094"/>
    <w:rsid w:val="00283C29"/>
    <w:rsid w:val="00291FBE"/>
    <w:rsid w:val="002C2648"/>
    <w:rsid w:val="002C4403"/>
    <w:rsid w:val="002D19E2"/>
    <w:rsid w:val="002E2703"/>
    <w:rsid w:val="00314626"/>
    <w:rsid w:val="00314D92"/>
    <w:rsid w:val="0033339D"/>
    <w:rsid w:val="003352EF"/>
    <w:rsid w:val="00342C4A"/>
    <w:rsid w:val="00380DBE"/>
    <w:rsid w:val="003811F7"/>
    <w:rsid w:val="00381500"/>
    <w:rsid w:val="00391B82"/>
    <w:rsid w:val="003925F1"/>
    <w:rsid w:val="003F431C"/>
    <w:rsid w:val="00400581"/>
    <w:rsid w:val="0040206C"/>
    <w:rsid w:val="004142A8"/>
    <w:rsid w:val="00460C6C"/>
    <w:rsid w:val="00462DB3"/>
    <w:rsid w:val="00470AA0"/>
    <w:rsid w:val="00471F6B"/>
    <w:rsid w:val="00485933"/>
    <w:rsid w:val="00486031"/>
    <w:rsid w:val="004E72CA"/>
    <w:rsid w:val="004F6AC3"/>
    <w:rsid w:val="00546DC1"/>
    <w:rsid w:val="00552325"/>
    <w:rsid w:val="0055618D"/>
    <w:rsid w:val="0056396E"/>
    <w:rsid w:val="005655C2"/>
    <w:rsid w:val="005B58D7"/>
    <w:rsid w:val="005D1720"/>
    <w:rsid w:val="005D3DC5"/>
    <w:rsid w:val="005F29D6"/>
    <w:rsid w:val="005F51F2"/>
    <w:rsid w:val="005F5F2B"/>
    <w:rsid w:val="00623943"/>
    <w:rsid w:val="00626576"/>
    <w:rsid w:val="00630AF5"/>
    <w:rsid w:val="00636863"/>
    <w:rsid w:val="006643A1"/>
    <w:rsid w:val="006743C3"/>
    <w:rsid w:val="00682B0A"/>
    <w:rsid w:val="00684576"/>
    <w:rsid w:val="006A7DE7"/>
    <w:rsid w:val="006C30B1"/>
    <w:rsid w:val="006E2972"/>
    <w:rsid w:val="006E7547"/>
    <w:rsid w:val="00724A9C"/>
    <w:rsid w:val="007522A5"/>
    <w:rsid w:val="00755F4B"/>
    <w:rsid w:val="00774277"/>
    <w:rsid w:val="00787F2C"/>
    <w:rsid w:val="007B486D"/>
    <w:rsid w:val="007B4D79"/>
    <w:rsid w:val="007C38CD"/>
    <w:rsid w:val="007C4FDE"/>
    <w:rsid w:val="007C5CA7"/>
    <w:rsid w:val="007D4D01"/>
    <w:rsid w:val="007D728B"/>
    <w:rsid w:val="007E5D20"/>
    <w:rsid w:val="0080219D"/>
    <w:rsid w:val="00823D78"/>
    <w:rsid w:val="008341FA"/>
    <w:rsid w:val="0084547B"/>
    <w:rsid w:val="00892955"/>
    <w:rsid w:val="008A5AE3"/>
    <w:rsid w:val="008B63F7"/>
    <w:rsid w:val="009036D1"/>
    <w:rsid w:val="009203AD"/>
    <w:rsid w:val="009233B5"/>
    <w:rsid w:val="009264CD"/>
    <w:rsid w:val="0093339C"/>
    <w:rsid w:val="00941AEB"/>
    <w:rsid w:val="00943238"/>
    <w:rsid w:val="009549EB"/>
    <w:rsid w:val="00977526"/>
    <w:rsid w:val="009827E1"/>
    <w:rsid w:val="00996CB1"/>
    <w:rsid w:val="009B52E1"/>
    <w:rsid w:val="009B58A9"/>
    <w:rsid w:val="009F30E8"/>
    <w:rsid w:val="00A60316"/>
    <w:rsid w:val="00AB2A89"/>
    <w:rsid w:val="00AD49B1"/>
    <w:rsid w:val="00AE1A30"/>
    <w:rsid w:val="00B31E92"/>
    <w:rsid w:val="00B437F4"/>
    <w:rsid w:val="00B47C28"/>
    <w:rsid w:val="00B61EF3"/>
    <w:rsid w:val="00C0364E"/>
    <w:rsid w:val="00C04EB3"/>
    <w:rsid w:val="00C06989"/>
    <w:rsid w:val="00C41F4A"/>
    <w:rsid w:val="00C42E69"/>
    <w:rsid w:val="00C55DF0"/>
    <w:rsid w:val="00C95EE6"/>
    <w:rsid w:val="00CC6D03"/>
    <w:rsid w:val="00D01288"/>
    <w:rsid w:val="00D04793"/>
    <w:rsid w:val="00D134CB"/>
    <w:rsid w:val="00D173C9"/>
    <w:rsid w:val="00D23E57"/>
    <w:rsid w:val="00D32526"/>
    <w:rsid w:val="00D337A1"/>
    <w:rsid w:val="00D72308"/>
    <w:rsid w:val="00D84BC7"/>
    <w:rsid w:val="00D879E4"/>
    <w:rsid w:val="00D9055D"/>
    <w:rsid w:val="00D928B8"/>
    <w:rsid w:val="00D97BF7"/>
    <w:rsid w:val="00DC0F62"/>
    <w:rsid w:val="00DC7F65"/>
    <w:rsid w:val="00DD10A0"/>
    <w:rsid w:val="00DE54F3"/>
    <w:rsid w:val="00DE5657"/>
    <w:rsid w:val="00E152E8"/>
    <w:rsid w:val="00E314EF"/>
    <w:rsid w:val="00E325A3"/>
    <w:rsid w:val="00E503CA"/>
    <w:rsid w:val="00E60D08"/>
    <w:rsid w:val="00E61A03"/>
    <w:rsid w:val="00E61C43"/>
    <w:rsid w:val="00E628C6"/>
    <w:rsid w:val="00E71D25"/>
    <w:rsid w:val="00E8341E"/>
    <w:rsid w:val="00E860E2"/>
    <w:rsid w:val="00EA6F3F"/>
    <w:rsid w:val="00EB41BC"/>
    <w:rsid w:val="00ED04E8"/>
    <w:rsid w:val="00F009BB"/>
    <w:rsid w:val="00F14042"/>
    <w:rsid w:val="00F23C31"/>
    <w:rsid w:val="00F346BC"/>
    <w:rsid w:val="00F37784"/>
    <w:rsid w:val="00F60658"/>
    <w:rsid w:val="00F75CE8"/>
    <w:rsid w:val="00F97071"/>
    <w:rsid w:val="00FA011B"/>
    <w:rsid w:val="00FB0961"/>
    <w:rsid w:val="00FB7015"/>
    <w:rsid w:val="00FC0D69"/>
    <w:rsid w:val="00FC44E4"/>
    <w:rsid w:val="00FF0499"/>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522B"/>
  <w15:docId w15:val="{CAA2CCDA-F355-45A5-9A41-E6C7A3D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450"/>
    <w:pPr>
      <w:spacing w:after="0" w:line="240" w:lineRule="auto"/>
    </w:pPr>
    <w:rPr>
      <w:lang w:val="en-GB"/>
    </w:rPr>
  </w:style>
  <w:style w:type="paragraph" w:styleId="Header">
    <w:name w:val="header"/>
    <w:basedOn w:val="Normal"/>
    <w:link w:val="HeaderChar"/>
    <w:uiPriority w:val="99"/>
    <w:unhideWhenUsed/>
    <w:rsid w:val="005D3DC5"/>
    <w:pPr>
      <w:tabs>
        <w:tab w:val="center" w:pos="4986"/>
        <w:tab w:val="right" w:pos="9972"/>
      </w:tabs>
      <w:spacing w:after="0" w:line="240" w:lineRule="auto"/>
    </w:pPr>
  </w:style>
  <w:style w:type="character" w:customStyle="1" w:styleId="HeaderChar">
    <w:name w:val="Header Char"/>
    <w:basedOn w:val="DefaultParagraphFont"/>
    <w:link w:val="Header"/>
    <w:uiPriority w:val="99"/>
    <w:rsid w:val="005D3DC5"/>
    <w:rPr>
      <w:lang w:val="en-GB"/>
    </w:rPr>
  </w:style>
  <w:style w:type="paragraph" w:styleId="Footer">
    <w:name w:val="footer"/>
    <w:basedOn w:val="Normal"/>
    <w:link w:val="FooterChar"/>
    <w:uiPriority w:val="99"/>
    <w:unhideWhenUsed/>
    <w:rsid w:val="005D3DC5"/>
    <w:pPr>
      <w:tabs>
        <w:tab w:val="center" w:pos="4986"/>
        <w:tab w:val="right" w:pos="9972"/>
      </w:tabs>
      <w:spacing w:after="0" w:line="240" w:lineRule="auto"/>
    </w:pPr>
  </w:style>
  <w:style w:type="character" w:customStyle="1" w:styleId="FooterChar">
    <w:name w:val="Footer Char"/>
    <w:basedOn w:val="DefaultParagraphFont"/>
    <w:link w:val="Footer"/>
    <w:uiPriority w:val="99"/>
    <w:rsid w:val="005D3DC5"/>
    <w:rPr>
      <w:lang w:val="en-GB"/>
    </w:rPr>
  </w:style>
  <w:style w:type="character" w:styleId="LineNumber">
    <w:name w:val="line number"/>
    <w:basedOn w:val="DefaultParagraphFont"/>
    <w:uiPriority w:val="99"/>
    <w:semiHidden/>
    <w:unhideWhenUsed/>
    <w:rsid w:val="005D3DC5"/>
  </w:style>
  <w:style w:type="paragraph" w:customStyle="1" w:styleId="EndNoteBibliographyTitle">
    <w:name w:val="EndNote Bibliography Title"/>
    <w:basedOn w:val="Normal"/>
    <w:link w:val="EndNoteBibliographyTitleChar"/>
    <w:rsid w:val="00C06989"/>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C06989"/>
    <w:rPr>
      <w:lang w:val="en-GB"/>
    </w:rPr>
  </w:style>
  <w:style w:type="character" w:customStyle="1" w:styleId="EndNoteBibliographyTitleChar">
    <w:name w:val="EndNote Bibliography Title Char"/>
    <w:basedOn w:val="NoSpacingChar"/>
    <w:link w:val="EndNoteBibliographyTitle"/>
    <w:rsid w:val="00C06989"/>
    <w:rPr>
      <w:rFonts w:ascii="Calibri" w:hAnsi="Calibri" w:cs="Calibri"/>
      <w:noProof/>
      <w:lang w:val="en-GB"/>
    </w:rPr>
  </w:style>
  <w:style w:type="paragraph" w:customStyle="1" w:styleId="EndNoteBibliography">
    <w:name w:val="EndNote Bibliography"/>
    <w:basedOn w:val="Normal"/>
    <w:link w:val="EndNoteBibliographyChar"/>
    <w:rsid w:val="00C06989"/>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C06989"/>
    <w:rPr>
      <w:rFonts w:ascii="Calibri" w:hAnsi="Calibri" w:cs="Calibri"/>
      <w:noProof/>
      <w:lang w:val="en-GB"/>
    </w:rPr>
  </w:style>
  <w:style w:type="character" w:styleId="Hyperlink">
    <w:name w:val="Hyperlink"/>
    <w:basedOn w:val="DefaultParagraphFont"/>
    <w:uiPriority w:val="99"/>
    <w:unhideWhenUsed/>
    <w:rsid w:val="007522A5"/>
    <w:rPr>
      <w:color w:val="0563C1" w:themeColor="hyperlink"/>
      <w:u w:val="single"/>
    </w:rPr>
  </w:style>
  <w:style w:type="character" w:customStyle="1" w:styleId="UnresolvedMention1">
    <w:name w:val="Unresolved Mention1"/>
    <w:basedOn w:val="DefaultParagraphFont"/>
    <w:uiPriority w:val="99"/>
    <w:semiHidden/>
    <w:unhideWhenUsed/>
    <w:rsid w:val="007522A5"/>
    <w:rPr>
      <w:color w:val="605E5C"/>
      <w:shd w:val="clear" w:color="auto" w:fill="E1DFDD"/>
    </w:rPr>
  </w:style>
  <w:style w:type="paragraph" w:styleId="ListParagraph">
    <w:name w:val="List Paragraph"/>
    <w:basedOn w:val="Normal"/>
    <w:uiPriority w:val="34"/>
    <w:qFormat/>
    <w:rsid w:val="006E2972"/>
    <w:pPr>
      <w:ind w:left="720"/>
      <w:contextualSpacing/>
    </w:pPr>
  </w:style>
  <w:style w:type="paragraph" w:styleId="BalloonText">
    <w:name w:val="Balloon Text"/>
    <w:basedOn w:val="Normal"/>
    <w:link w:val="BalloonTextChar"/>
    <w:uiPriority w:val="99"/>
    <w:semiHidden/>
    <w:unhideWhenUsed/>
    <w:rsid w:val="00E3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EF"/>
    <w:rPr>
      <w:rFonts w:ascii="Tahoma" w:hAnsi="Tahoma" w:cs="Tahoma"/>
      <w:sz w:val="16"/>
      <w:szCs w:val="16"/>
      <w:lang w:val="en-GB"/>
    </w:rPr>
  </w:style>
  <w:style w:type="paragraph" w:styleId="NormalWeb">
    <w:name w:val="Normal (Web)"/>
    <w:basedOn w:val="Normal"/>
    <w:uiPriority w:val="99"/>
    <w:unhideWhenUsed/>
    <w:rsid w:val="00FB7015"/>
    <w:pPr>
      <w:spacing w:before="100" w:beforeAutospacing="1" w:after="100" w:afterAutospacing="1" w:line="240" w:lineRule="auto"/>
    </w:pPr>
    <w:rPr>
      <w:rFonts w:ascii="Times New Roman"/>
      <w:sz w:val="24"/>
      <w:szCs w:val="24"/>
      <w:lang w:val="en-US"/>
    </w:rPr>
  </w:style>
  <w:style w:type="character" w:styleId="UnresolvedMention">
    <w:name w:val="Unresolved Mention"/>
    <w:basedOn w:val="DefaultParagraphFont"/>
    <w:uiPriority w:val="99"/>
    <w:semiHidden/>
    <w:unhideWhenUsed/>
    <w:rsid w:val="002376AD"/>
    <w:rPr>
      <w:color w:val="605E5C"/>
      <w:shd w:val="clear" w:color="auto" w:fill="E1DFDD"/>
    </w:rPr>
  </w:style>
  <w:style w:type="character" w:styleId="CommentReference">
    <w:name w:val="annotation reference"/>
    <w:basedOn w:val="DefaultParagraphFont"/>
    <w:uiPriority w:val="99"/>
    <w:semiHidden/>
    <w:unhideWhenUsed/>
    <w:rsid w:val="002376AD"/>
    <w:rPr>
      <w:sz w:val="16"/>
      <w:szCs w:val="16"/>
    </w:rPr>
  </w:style>
  <w:style w:type="paragraph" w:styleId="CommentText">
    <w:name w:val="annotation text"/>
    <w:basedOn w:val="Normal"/>
    <w:link w:val="CommentTextChar"/>
    <w:uiPriority w:val="99"/>
    <w:semiHidden/>
    <w:unhideWhenUsed/>
    <w:rsid w:val="002376AD"/>
    <w:pPr>
      <w:spacing w:line="240" w:lineRule="auto"/>
    </w:pPr>
    <w:rPr>
      <w:sz w:val="20"/>
      <w:szCs w:val="20"/>
    </w:rPr>
  </w:style>
  <w:style w:type="character" w:customStyle="1" w:styleId="CommentTextChar">
    <w:name w:val="Comment Text Char"/>
    <w:basedOn w:val="DefaultParagraphFont"/>
    <w:link w:val="CommentText"/>
    <w:uiPriority w:val="99"/>
    <w:semiHidden/>
    <w:rsid w:val="002376AD"/>
    <w:rPr>
      <w:sz w:val="20"/>
      <w:szCs w:val="20"/>
      <w:lang w:val="en-GB"/>
    </w:rPr>
  </w:style>
  <w:style w:type="paragraph" w:styleId="CommentSubject">
    <w:name w:val="annotation subject"/>
    <w:basedOn w:val="CommentText"/>
    <w:next w:val="CommentText"/>
    <w:link w:val="CommentSubjectChar"/>
    <w:uiPriority w:val="99"/>
    <w:semiHidden/>
    <w:unhideWhenUsed/>
    <w:rsid w:val="002376AD"/>
    <w:rPr>
      <w:b/>
      <w:bCs/>
    </w:rPr>
  </w:style>
  <w:style w:type="character" w:customStyle="1" w:styleId="CommentSubjectChar">
    <w:name w:val="Comment Subject Char"/>
    <w:basedOn w:val="CommentTextChar"/>
    <w:link w:val="CommentSubject"/>
    <w:uiPriority w:val="99"/>
    <w:semiHidden/>
    <w:rsid w:val="002376AD"/>
    <w:rPr>
      <w:b/>
      <w:bCs/>
      <w:sz w:val="20"/>
      <w:szCs w:val="20"/>
      <w:lang w:val="en-GB"/>
    </w:rPr>
  </w:style>
  <w:style w:type="paragraph" w:styleId="Caption">
    <w:name w:val="caption"/>
    <w:basedOn w:val="Normal"/>
    <w:next w:val="Normal"/>
    <w:uiPriority w:val="35"/>
    <w:semiHidden/>
    <w:unhideWhenUsed/>
    <w:qFormat/>
    <w:rsid w:val="008B63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8366">
      <w:bodyDiv w:val="1"/>
      <w:marLeft w:val="0"/>
      <w:marRight w:val="0"/>
      <w:marTop w:val="0"/>
      <w:marBottom w:val="0"/>
      <w:divBdr>
        <w:top w:val="none" w:sz="0" w:space="0" w:color="auto"/>
        <w:left w:val="none" w:sz="0" w:space="0" w:color="auto"/>
        <w:bottom w:val="none" w:sz="0" w:space="0" w:color="auto"/>
        <w:right w:val="none" w:sz="0" w:space="0" w:color="auto"/>
      </w:divBdr>
    </w:div>
    <w:div w:id="1092432500">
      <w:bodyDiv w:val="1"/>
      <w:marLeft w:val="0"/>
      <w:marRight w:val="0"/>
      <w:marTop w:val="0"/>
      <w:marBottom w:val="0"/>
      <w:divBdr>
        <w:top w:val="none" w:sz="0" w:space="0" w:color="auto"/>
        <w:left w:val="none" w:sz="0" w:space="0" w:color="auto"/>
        <w:bottom w:val="none" w:sz="0" w:space="0" w:color="auto"/>
        <w:right w:val="none" w:sz="0" w:space="0" w:color="auto"/>
      </w:divBdr>
    </w:div>
    <w:div w:id="1431507548">
      <w:bodyDiv w:val="1"/>
      <w:marLeft w:val="0"/>
      <w:marRight w:val="0"/>
      <w:marTop w:val="0"/>
      <w:marBottom w:val="0"/>
      <w:divBdr>
        <w:top w:val="none" w:sz="0" w:space="0" w:color="auto"/>
        <w:left w:val="none" w:sz="0" w:space="0" w:color="auto"/>
        <w:bottom w:val="none" w:sz="0" w:space="0" w:color="auto"/>
        <w:right w:val="none" w:sz="0" w:space="0" w:color="auto"/>
      </w:divBdr>
    </w:div>
    <w:div w:id="1523668402">
      <w:bodyDiv w:val="1"/>
      <w:marLeft w:val="0"/>
      <w:marRight w:val="0"/>
      <w:marTop w:val="0"/>
      <w:marBottom w:val="0"/>
      <w:divBdr>
        <w:top w:val="none" w:sz="0" w:space="0" w:color="auto"/>
        <w:left w:val="none" w:sz="0" w:space="0" w:color="auto"/>
        <w:bottom w:val="none" w:sz="0" w:space="0" w:color="auto"/>
        <w:right w:val="none" w:sz="0" w:space="0" w:color="auto"/>
      </w:divBdr>
      <w:divsChild>
        <w:div w:id="1791782270">
          <w:marLeft w:val="0"/>
          <w:marRight w:val="0"/>
          <w:marTop w:val="0"/>
          <w:marBottom w:val="0"/>
          <w:divBdr>
            <w:top w:val="none" w:sz="0" w:space="0" w:color="auto"/>
            <w:left w:val="none" w:sz="0" w:space="0" w:color="auto"/>
            <w:bottom w:val="none" w:sz="0" w:space="0" w:color="auto"/>
            <w:right w:val="none" w:sz="0" w:space="0" w:color="auto"/>
          </w:divBdr>
        </w:div>
        <w:div w:id="343290629">
          <w:marLeft w:val="0"/>
          <w:marRight w:val="0"/>
          <w:marTop w:val="0"/>
          <w:marBottom w:val="0"/>
          <w:divBdr>
            <w:top w:val="none" w:sz="0" w:space="0" w:color="auto"/>
            <w:left w:val="none" w:sz="0" w:space="0" w:color="auto"/>
            <w:bottom w:val="none" w:sz="0" w:space="0" w:color="auto"/>
            <w:right w:val="none" w:sz="0" w:space="0" w:color="auto"/>
          </w:divBdr>
        </w:div>
      </w:divsChild>
    </w:div>
    <w:div w:id="21324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ionofhumanity.org/reports" TargetMode="External"/><Relationship Id="rId5" Type="http://schemas.openxmlformats.org/officeDocument/2006/relationships/webSettings" Target="webSettings.xml"/><Relationship Id="rId10" Type="http://schemas.openxmlformats.org/officeDocument/2006/relationships/hyperlink" Target="http://vizhub.healthdata.org/gbd-comp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B6440-CAE3-4813-9E03-6B8AC810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7673</Words>
  <Characters>43741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97</cp:revision>
  <dcterms:created xsi:type="dcterms:W3CDTF">2019-02-12T14:53:00Z</dcterms:created>
  <dcterms:modified xsi:type="dcterms:W3CDTF">2019-02-28T16:22:00Z</dcterms:modified>
</cp:coreProperties>
</file>