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2A36" w14:textId="77777777" w:rsidR="006845DB" w:rsidRPr="00F30EDE" w:rsidRDefault="006845DB" w:rsidP="00E47648">
      <w:pPr>
        <w:pStyle w:val="PlainText"/>
        <w:jc w:val="both"/>
        <w:rPr>
          <w:rFonts w:ascii="Garamond" w:hAnsi="Garamond"/>
          <w:b/>
          <w:sz w:val="24"/>
          <w:szCs w:val="24"/>
        </w:rPr>
      </w:pPr>
      <w:r w:rsidRPr="00F30EDE">
        <w:rPr>
          <w:rFonts w:ascii="Garamond" w:hAnsi="Garamond"/>
          <w:b/>
          <w:sz w:val="24"/>
          <w:szCs w:val="24"/>
        </w:rPr>
        <w:t>Reply to editors</w:t>
      </w:r>
    </w:p>
    <w:p w14:paraId="15F3521B" w14:textId="77777777" w:rsidR="006845DB" w:rsidRPr="00F30EDE" w:rsidRDefault="006845DB" w:rsidP="00E47648">
      <w:pPr>
        <w:pStyle w:val="PlainText"/>
        <w:jc w:val="both"/>
        <w:rPr>
          <w:rFonts w:ascii="Garamond" w:hAnsi="Garamond"/>
          <w:sz w:val="24"/>
          <w:szCs w:val="24"/>
        </w:rPr>
      </w:pPr>
    </w:p>
    <w:p w14:paraId="32A18C48" w14:textId="6B22AF65" w:rsidR="006845DB" w:rsidRPr="00F30EDE" w:rsidRDefault="006845DB" w:rsidP="00E47648">
      <w:pPr>
        <w:pStyle w:val="PlainText"/>
        <w:jc w:val="both"/>
        <w:rPr>
          <w:rFonts w:ascii="Garamond" w:hAnsi="Garamond"/>
          <w:sz w:val="24"/>
          <w:szCs w:val="24"/>
        </w:rPr>
      </w:pPr>
      <w:r w:rsidRPr="00F30EDE">
        <w:rPr>
          <w:rFonts w:ascii="Garamond" w:hAnsi="Garamond"/>
          <w:sz w:val="24"/>
          <w:szCs w:val="24"/>
        </w:rPr>
        <w:t xml:space="preserve">We thank the editorial board for the opportunity to revise our manuscript. </w:t>
      </w:r>
      <w:r w:rsidR="00023A65" w:rsidRPr="00023A65">
        <w:rPr>
          <w:rFonts w:ascii="Garamond" w:hAnsi="Garamond"/>
          <w:sz w:val="24"/>
          <w:szCs w:val="24"/>
        </w:rPr>
        <w:t>We gratefully acknowledge that the comments of both reviewer</w:t>
      </w:r>
      <w:r w:rsidR="00EE5E0B">
        <w:rPr>
          <w:rFonts w:ascii="Garamond" w:hAnsi="Garamond"/>
          <w:sz w:val="24"/>
          <w:szCs w:val="24"/>
        </w:rPr>
        <w:t>s</w:t>
      </w:r>
      <w:r w:rsidR="00023A65" w:rsidRPr="00023A65">
        <w:rPr>
          <w:rFonts w:ascii="Garamond" w:hAnsi="Garamond"/>
          <w:sz w:val="24"/>
          <w:szCs w:val="24"/>
        </w:rPr>
        <w:t xml:space="preserve"> were very constructive and have improved the paper. We essentially accommodate all of them; there were no points of disagreement.</w:t>
      </w:r>
      <w:r w:rsidR="00D92B1B">
        <w:rPr>
          <w:rFonts w:ascii="Garamond" w:hAnsi="Garamond"/>
          <w:sz w:val="24"/>
          <w:szCs w:val="24"/>
        </w:rPr>
        <w:t xml:space="preserve"> </w:t>
      </w:r>
      <w:r w:rsidRPr="00F30EDE">
        <w:rPr>
          <w:rFonts w:ascii="Garamond" w:hAnsi="Garamond"/>
          <w:sz w:val="24"/>
          <w:szCs w:val="24"/>
        </w:rPr>
        <w:t xml:space="preserve">Our responses to the </w:t>
      </w:r>
      <w:r w:rsidR="00E412B3" w:rsidRPr="00F30EDE">
        <w:rPr>
          <w:rFonts w:ascii="Garamond" w:hAnsi="Garamond"/>
          <w:sz w:val="24"/>
          <w:szCs w:val="24"/>
        </w:rPr>
        <w:t>reviewers’</w:t>
      </w:r>
      <w:r w:rsidRPr="00F30EDE">
        <w:rPr>
          <w:rFonts w:ascii="Garamond" w:hAnsi="Garamond"/>
          <w:sz w:val="24"/>
          <w:szCs w:val="24"/>
        </w:rPr>
        <w:t xml:space="preserve"> comments are outlined below in regular font with editor/reviewer’s comments in bold font. </w:t>
      </w:r>
    </w:p>
    <w:p w14:paraId="7A8F8204" w14:textId="77777777" w:rsidR="006845DB" w:rsidRPr="00F30EDE" w:rsidRDefault="006845DB" w:rsidP="00E47648">
      <w:pPr>
        <w:pStyle w:val="PlainText"/>
        <w:jc w:val="both"/>
        <w:rPr>
          <w:rFonts w:ascii="Garamond" w:hAnsi="Garamond"/>
          <w:sz w:val="24"/>
          <w:szCs w:val="24"/>
        </w:rPr>
      </w:pPr>
    </w:p>
    <w:p w14:paraId="6726823C"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Your manuscript "Potential gains in life expectancy by reducing inequality of lifespans in Denmark: An international comparison and cause of death analysis" (PUBH-D-18-01180) has been assessed by our reviewers. Based on these reports, and my own assessment as Editor, I am pleased to inform you that it is potentially acceptable for publication in BMC Public Health, once you have carried out some essential revisions suggested by our reviewers.</w:t>
      </w:r>
    </w:p>
    <w:p w14:paraId="487D059C" w14:textId="77777777" w:rsidR="006845DB" w:rsidRPr="00F30EDE" w:rsidRDefault="006845DB" w:rsidP="00E47648">
      <w:pPr>
        <w:pStyle w:val="PlainText"/>
        <w:jc w:val="both"/>
        <w:rPr>
          <w:rFonts w:ascii="Garamond" w:hAnsi="Garamond"/>
          <w:sz w:val="24"/>
          <w:szCs w:val="24"/>
        </w:rPr>
      </w:pPr>
    </w:p>
    <w:p w14:paraId="34D49B70" w14:textId="4F4580B3" w:rsidR="002010C1" w:rsidRPr="00F30EDE" w:rsidRDefault="00284F19" w:rsidP="00E47648">
      <w:pPr>
        <w:pStyle w:val="PlainText"/>
        <w:jc w:val="both"/>
        <w:rPr>
          <w:rFonts w:ascii="Garamond" w:hAnsi="Garamond"/>
          <w:sz w:val="24"/>
          <w:szCs w:val="24"/>
        </w:rPr>
      </w:pPr>
      <w:r w:rsidRPr="00F30EDE">
        <w:rPr>
          <w:rFonts w:ascii="Garamond" w:hAnsi="Garamond"/>
          <w:sz w:val="24"/>
          <w:szCs w:val="24"/>
        </w:rPr>
        <w:t>Thank you again for considering our manuscript.</w:t>
      </w:r>
      <w:r w:rsidR="00A95349">
        <w:rPr>
          <w:rFonts w:ascii="Garamond" w:hAnsi="Garamond"/>
          <w:sz w:val="24"/>
          <w:szCs w:val="24"/>
        </w:rPr>
        <w:t xml:space="preserve"> We have addressed every comment from the reviewers and the editorial team</w:t>
      </w:r>
    </w:p>
    <w:p w14:paraId="43C8383B" w14:textId="7B51EFAC" w:rsidR="0004327F" w:rsidRPr="00F30EDE" w:rsidRDefault="0004327F" w:rsidP="00E47648">
      <w:pPr>
        <w:pStyle w:val="PlainText"/>
        <w:jc w:val="both"/>
        <w:rPr>
          <w:rFonts w:ascii="Garamond" w:hAnsi="Garamond"/>
          <w:sz w:val="24"/>
          <w:szCs w:val="24"/>
        </w:rPr>
      </w:pPr>
    </w:p>
    <w:p w14:paraId="1164A561" w14:textId="5A5F863E" w:rsidR="0004327F" w:rsidRPr="00F30EDE" w:rsidRDefault="0004327F" w:rsidP="00E47648">
      <w:pPr>
        <w:pStyle w:val="PlainText"/>
        <w:jc w:val="both"/>
        <w:rPr>
          <w:rFonts w:ascii="Garamond" w:hAnsi="Garamond"/>
          <w:sz w:val="24"/>
          <w:szCs w:val="24"/>
        </w:rPr>
      </w:pPr>
      <w:r w:rsidRPr="00F30EDE">
        <w:rPr>
          <w:rFonts w:ascii="Garamond" w:hAnsi="Garamond"/>
          <w:sz w:val="24"/>
          <w:szCs w:val="24"/>
        </w:rPr>
        <w:t>José Manuel Aburto</w:t>
      </w:r>
    </w:p>
    <w:p w14:paraId="1DADD3DD" w14:textId="26EBA28A" w:rsidR="0004327F" w:rsidRPr="00F30EDE" w:rsidRDefault="00E412B3" w:rsidP="00E47648">
      <w:pPr>
        <w:pStyle w:val="PlainText"/>
        <w:jc w:val="both"/>
        <w:rPr>
          <w:rFonts w:ascii="Garamond" w:hAnsi="Garamond"/>
          <w:sz w:val="24"/>
          <w:szCs w:val="24"/>
        </w:rPr>
      </w:pPr>
      <w:r w:rsidRPr="00F30EDE">
        <w:rPr>
          <w:rFonts w:ascii="Garamond" w:hAnsi="Garamond"/>
          <w:sz w:val="24"/>
          <w:szCs w:val="24"/>
        </w:rPr>
        <w:t>Maarten Wensink</w:t>
      </w:r>
    </w:p>
    <w:p w14:paraId="38C74FFD" w14:textId="528CC867" w:rsidR="00E412B3" w:rsidRPr="00F30EDE" w:rsidRDefault="00E412B3" w:rsidP="00E47648">
      <w:pPr>
        <w:pStyle w:val="PlainText"/>
        <w:jc w:val="both"/>
        <w:rPr>
          <w:rFonts w:ascii="Garamond" w:hAnsi="Garamond"/>
          <w:sz w:val="24"/>
          <w:szCs w:val="24"/>
        </w:rPr>
      </w:pPr>
      <w:r w:rsidRPr="00F30EDE">
        <w:rPr>
          <w:rFonts w:ascii="Garamond" w:hAnsi="Garamond"/>
          <w:sz w:val="24"/>
          <w:szCs w:val="24"/>
        </w:rPr>
        <w:t>Alyson van Raalte</w:t>
      </w:r>
    </w:p>
    <w:p w14:paraId="2FF7D046" w14:textId="7FFD8DD2" w:rsidR="005D1388" w:rsidRPr="00F30EDE" w:rsidRDefault="00E412B3" w:rsidP="00E47648">
      <w:pPr>
        <w:pStyle w:val="PlainText"/>
        <w:jc w:val="both"/>
        <w:rPr>
          <w:rFonts w:ascii="Garamond" w:hAnsi="Garamond"/>
          <w:sz w:val="24"/>
          <w:szCs w:val="24"/>
        </w:rPr>
      </w:pPr>
      <w:r w:rsidRPr="00F30EDE">
        <w:rPr>
          <w:rFonts w:ascii="Garamond" w:hAnsi="Garamond"/>
          <w:sz w:val="24"/>
          <w:szCs w:val="24"/>
        </w:rPr>
        <w:t>Rune Lindahl-Jacobsen</w:t>
      </w:r>
    </w:p>
    <w:p w14:paraId="1C7A4D3B" w14:textId="0C26931D" w:rsidR="002010C1" w:rsidRPr="00F30EDE" w:rsidRDefault="005D1388" w:rsidP="00E47648">
      <w:pPr>
        <w:jc w:val="both"/>
        <w:rPr>
          <w:rFonts w:ascii="Garamond" w:eastAsia="Times New Roman" w:hAnsi="Garamond" w:cs="Times New Roman"/>
          <w:szCs w:val="24"/>
        </w:rPr>
      </w:pPr>
      <w:r w:rsidRPr="00F30EDE">
        <w:rPr>
          <w:rFonts w:ascii="Garamond" w:eastAsia="Times New Roman" w:hAnsi="Garamond" w:cs="Times New Roman"/>
          <w:szCs w:val="24"/>
          <w:lang w:val="en-AU"/>
        </w:rPr>
        <w:br w:type="page"/>
      </w:r>
      <w:r w:rsidR="002010C1" w:rsidRPr="00F30EDE">
        <w:rPr>
          <w:rFonts w:ascii="Garamond" w:eastAsia="Times New Roman" w:hAnsi="Garamond" w:cs="Times New Roman"/>
          <w:b/>
          <w:szCs w:val="24"/>
        </w:rPr>
        <w:lastRenderedPageBreak/>
        <w:t>Reply to reviewers</w:t>
      </w:r>
    </w:p>
    <w:p w14:paraId="1AF19C0A" w14:textId="36D61BC6" w:rsidR="002010C1" w:rsidRPr="00F30EDE" w:rsidRDefault="002010C1" w:rsidP="00E47648">
      <w:pPr>
        <w:pStyle w:val="PlainText"/>
        <w:jc w:val="both"/>
        <w:rPr>
          <w:rFonts w:ascii="Garamond" w:hAnsi="Garamond"/>
          <w:sz w:val="24"/>
          <w:szCs w:val="24"/>
        </w:rPr>
      </w:pPr>
      <w:r w:rsidRPr="00F30EDE">
        <w:rPr>
          <w:rFonts w:ascii="Garamond" w:hAnsi="Garamond"/>
          <w:sz w:val="24"/>
          <w:szCs w:val="24"/>
        </w:rPr>
        <w:t>We appreciate the reviewers' comments; their detailed reading of the manuscript and suggestions that have greatly improved the article. Our responses to the reviewers’ comments are outlined below in regular font with reviewer’s comments in bold font.</w:t>
      </w:r>
    </w:p>
    <w:p w14:paraId="41FBE9AC" w14:textId="32CF9D99" w:rsidR="002010C1" w:rsidRPr="00F30EDE" w:rsidRDefault="002010C1" w:rsidP="00E47648">
      <w:pPr>
        <w:jc w:val="both"/>
        <w:rPr>
          <w:rFonts w:ascii="Garamond" w:hAnsi="Garamond"/>
          <w:szCs w:val="24"/>
        </w:rPr>
      </w:pPr>
    </w:p>
    <w:p w14:paraId="3701D444" w14:textId="3AB0E608" w:rsidR="00733702" w:rsidRPr="00F30EDE" w:rsidRDefault="00733702" w:rsidP="00E47648">
      <w:pPr>
        <w:pStyle w:val="PlainText"/>
        <w:jc w:val="both"/>
        <w:rPr>
          <w:rFonts w:ascii="Garamond" w:hAnsi="Garamond"/>
          <w:b/>
          <w:sz w:val="24"/>
          <w:szCs w:val="24"/>
        </w:rPr>
      </w:pPr>
      <w:r w:rsidRPr="00F30EDE">
        <w:rPr>
          <w:rFonts w:ascii="Garamond" w:hAnsi="Garamond"/>
          <w:b/>
          <w:sz w:val="24"/>
          <w:szCs w:val="24"/>
        </w:rPr>
        <w:t>Reviewer: 1</w:t>
      </w:r>
    </w:p>
    <w:p w14:paraId="02B616E8"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Henrik Bronnum-Hansen (Reviewer 1): This study gives more insight into the cause of the long lasting and disturbing mortality trends in Denmark. The authors simultaneously investigate trends in life expectancy, lifespan inequality and decomposition by cause of death.</w:t>
      </w:r>
    </w:p>
    <w:p w14:paraId="1E997B01" w14:textId="77777777" w:rsidR="00E412B3" w:rsidRPr="00F30EDE" w:rsidRDefault="00E412B3" w:rsidP="00E47648">
      <w:pPr>
        <w:pStyle w:val="PlainText"/>
        <w:jc w:val="both"/>
        <w:rPr>
          <w:rFonts w:ascii="Garamond" w:hAnsi="Garamond"/>
          <w:b/>
          <w:sz w:val="24"/>
          <w:szCs w:val="24"/>
        </w:rPr>
      </w:pPr>
    </w:p>
    <w:p w14:paraId="01109C1A"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The manuscript is well written and my comments, questions and suggestion are few:</w:t>
      </w:r>
    </w:p>
    <w:p w14:paraId="7541478A" w14:textId="4BFF4F22"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1.</w:t>
      </w:r>
      <w:r w:rsidRPr="00F30EDE">
        <w:rPr>
          <w:rFonts w:ascii="Garamond" w:hAnsi="Garamond"/>
          <w:b/>
          <w:sz w:val="24"/>
          <w:szCs w:val="24"/>
        </w:rPr>
        <w:tab/>
        <w:t>Although life expectancy is well known, lifespan may be less. So as a service for readers not in well-informed circles I recommend to introduce the definition(s) or the overall concept(s) of (life expectancy and) lifespan in the introduction of the paper before describing the characteristics of the two health indicators.</w:t>
      </w:r>
    </w:p>
    <w:p w14:paraId="260208E1" w14:textId="77777777" w:rsidR="00AB3DA5" w:rsidRPr="00F30EDE" w:rsidRDefault="00AB3DA5" w:rsidP="00E47648">
      <w:pPr>
        <w:pStyle w:val="PlainText"/>
        <w:jc w:val="both"/>
        <w:rPr>
          <w:rFonts w:ascii="Garamond" w:hAnsi="Garamond"/>
          <w:sz w:val="24"/>
          <w:szCs w:val="24"/>
        </w:rPr>
      </w:pPr>
    </w:p>
    <w:p w14:paraId="7235A5C5" w14:textId="0F9E9F81" w:rsidR="00AB3DA5" w:rsidRDefault="00AB3DA5" w:rsidP="00E47648">
      <w:pPr>
        <w:pStyle w:val="PlainText"/>
        <w:jc w:val="both"/>
        <w:rPr>
          <w:rFonts w:ascii="Garamond" w:hAnsi="Garamond"/>
          <w:sz w:val="24"/>
          <w:szCs w:val="24"/>
        </w:rPr>
      </w:pPr>
      <w:r w:rsidRPr="00F30EDE">
        <w:rPr>
          <w:rFonts w:ascii="Garamond" w:hAnsi="Garamond"/>
          <w:sz w:val="24"/>
          <w:szCs w:val="24"/>
        </w:rPr>
        <w:t>We thank the reviewer for this suggestion. We have clarified the terms in the first two sentences of the introduction. It now reads:</w:t>
      </w:r>
    </w:p>
    <w:p w14:paraId="5359D2E8" w14:textId="77777777" w:rsidR="005B0BC0" w:rsidRPr="00F30EDE" w:rsidRDefault="005B0BC0" w:rsidP="00E47648">
      <w:pPr>
        <w:pStyle w:val="PlainText"/>
        <w:jc w:val="both"/>
        <w:rPr>
          <w:rFonts w:ascii="Garamond" w:hAnsi="Garamond"/>
          <w:sz w:val="24"/>
          <w:szCs w:val="24"/>
        </w:rPr>
      </w:pPr>
    </w:p>
    <w:p w14:paraId="37B40AE5" w14:textId="39E5E1B3" w:rsidR="00AB3DA5" w:rsidRPr="00333607" w:rsidRDefault="004F1A4A" w:rsidP="00333607">
      <w:pPr>
        <w:rPr>
          <w:rFonts w:ascii="Garamond" w:eastAsia="Times New Roman" w:hAnsi="Garamond" w:cs="Times New Roman"/>
          <w:szCs w:val="24"/>
        </w:rPr>
      </w:pPr>
      <w:r w:rsidRPr="00333607">
        <w:rPr>
          <w:rFonts w:ascii="Garamond" w:eastAsia="Times New Roman" w:hAnsi="Garamond" w:cs="Times New Roman"/>
          <w:szCs w:val="24"/>
        </w:rPr>
        <w:t>“Life</w:t>
      </w:r>
      <w:r w:rsidR="00333607" w:rsidRPr="00333607">
        <w:rPr>
          <w:rFonts w:ascii="Garamond" w:eastAsia="Times New Roman" w:hAnsi="Garamond" w:cs="Times New Roman"/>
          <w:szCs w:val="24"/>
        </w:rPr>
        <w:t xml:space="preserve"> expectancy at birth is one of the most commonly used measures of the health status of a population and the performance of the healthcare system.(1) It represents the average age at death if everyone experienced the prevailing death rates throughout their lifetime. Another important dimension is the uncertainty around that expectation (i.e. the variation in</w:t>
      </w:r>
      <w:r w:rsidR="00333607">
        <w:rPr>
          <w:rFonts w:ascii="Garamond" w:eastAsia="Times New Roman" w:hAnsi="Garamond" w:cs="Times New Roman"/>
          <w:szCs w:val="24"/>
        </w:rPr>
        <w:t xml:space="preserve"> ages at death) which is also </w:t>
      </w:r>
      <w:r w:rsidR="00820288">
        <w:rPr>
          <w:rFonts w:ascii="Garamond" w:eastAsia="Times New Roman" w:hAnsi="Garamond" w:cs="Times New Roman"/>
          <w:szCs w:val="24"/>
        </w:rPr>
        <w:t>k</w:t>
      </w:r>
      <w:r w:rsidR="00820288" w:rsidRPr="00333607">
        <w:rPr>
          <w:rFonts w:ascii="Garamond" w:eastAsia="Times New Roman" w:hAnsi="Garamond" w:cs="Times New Roman"/>
          <w:szCs w:val="24"/>
        </w:rPr>
        <w:t>nown</w:t>
      </w:r>
      <w:r w:rsidR="00333607" w:rsidRPr="00333607">
        <w:rPr>
          <w:rFonts w:ascii="Garamond" w:eastAsia="Times New Roman" w:hAnsi="Garamond" w:cs="Times New Roman"/>
          <w:szCs w:val="24"/>
        </w:rPr>
        <w:t xml:space="preserve"> as lifespan </w:t>
      </w:r>
      <w:r>
        <w:rPr>
          <w:rFonts w:ascii="Garamond" w:eastAsia="Times New Roman" w:hAnsi="Garamond" w:cs="Times New Roman"/>
          <w:szCs w:val="24"/>
        </w:rPr>
        <w:t>inequality.</w:t>
      </w:r>
      <w:r w:rsidRPr="00333607">
        <w:rPr>
          <w:rFonts w:ascii="Garamond" w:eastAsia="Times New Roman" w:hAnsi="Garamond" w:cs="Times New Roman"/>
          <w:szCs w:val="24"/>
        </w:rPr>
        <w:t>(</w:t>
      </w:r>
      <w:r w:rsidR="00333607" w:rsidRPr="00333607">
        <w:rPr>
          <w:rFonts w:ascii="Garamond" w:eastAsia="Times New Roman" w:hAnsi="Garamond" w:cs="Times New Roman"/>
          <w:szCs w:val="24"/>
        </w:rPr>
        <w:t xml:space="preserve">2)” </w:t>
      </w:r>
    </w:p>
    <w:p w14:paraId="1C8BBB99" w14:textId="6D15ACCA" w:rsidR="00AB3DA5" w:rsidRPr="00F30EDE" w:rsidRDefault="00AB3DA5" w:rsidP="00E47648">
      <w:pPr>
        <w:pStyle w:val="PlainText"/>
        <w:jc w:val="both"/>
        <w:rPr>
          <w:rFonts w:ascii="Garamond" w:hAnsi="Garamond"/>
          <w:b/>
          <w:sz w:val="24"/>
          <w:szCs w:val="24"/>
        </w:rPr>
      </w:pPr>
    </w:p>
    <w:p w14:paraId="7392A5C9" w14:textId="77777777" w:rsidR="00AB3DA5" w:rsidRPr="00F30EDE" w:rsidRDefault="00AB3DA5" w:rsidP="00E47648">
      <w:pPr>
        <w:pStyle w:val="PlainText"/>
        <w:jc w:val="both"/>
        <w:rPr>
          <w:rFonts w:ascii="Garamond" w:hAnsi="Garamond"/>
          <w:b/>
          <w:sz w:val="24"/>
          <w:szCs w:val="24"/>
        </w:rPr>
      </w:pPr>
    </w:p>
    <w:p w14:paraId="64627EE1" w14:textId="051D7742"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2.</w:t>
      </w:r>
      <w:r w:rsidRPr="00F30EDE">
        <w:rPr>
          <w:rFonts w:ascii="Garamond" w:hAnsi="Garamond"/>
          <w:b/>
          <w:sz w:val="24"/>
          <w:szCs w:val="24"/>
        </w:rPr>
        <w:tab/>
        <w:t>The first sentence on page 3 should start "Life expectancy is one of the most commonly used measure…", because health expectancy and other summary measures of population health become increasingly more widespread.</w:t>
      </w:r>
    </w:p>
    <w:p w14:paraId="5674C916" w14:textId="399DE51A" w:rsidR="00AB3DA5" w:rsidRPr="00F30EDE" w:rsidRDefault="00AB3DA5" w:rsidP="00E47648">
      <w:pPr>
        <w:pStyle w:val="PlainText"/>
        <w:jc w:val="both"/>
        <w:rPr>
          <w:rFonts w:ascii="Garamond" w:hAnsi="Garamond"/>
          <w:b/>
          <w:sz w:val="24"/>
          <w:szCs w:val="24"/>
        </w:rPr>
      </w:pPr>
    </w:p>
    <w:p w14:paraId="796AF839" w14:textId="221E2D0C" w:rsidR="00AB3DA5" w:rsidRDefault="00D74D50" w:rsidP="00E47648">
      <w:pPr>
        <w:pStyle w:val="PlainText"/>
        <w:jc w:val="both"/>
        <w:rPr>
          <w:rFonts w:ascii="Garamond" w:hAnsi="Garamond"/>
          <w:sz w:val="24"/>
          <w:szCs w:val="24"/>
        </w:rPr>
      </w:pPr>
      <w:r w:rsidRPr="00F30EDE">
        <w:rPr>
          <w:rFonts w:ascii="Garamond" w:hAnsi="Garamond"/>
          <w:sz w:val="24"/>
          <w:szCs w:val="24"/>
        </w:rPr>
        <w:t>Thank</w:t>
      </w:r>
      <w:r w:rsidR="00EE5E0B">
        <w:rPr>
          <w:rFonts w:ascii="Garamond" w:hAnsi="Garamond"/>
          <w:sz w:val="24"/>
          <w:szCs w:val="24"/>
        </w:rPr>
        <w:t xml:space="preserve"> you</w:t>
      </w:r>
      <w:r w:rsidRPr="00F30EDE">
        <w:rPr>
          <w:rFonts w:ascii="Garamond" w:hAnsi="Garamond"/>
          <w:sz w:val="24"/>
          <w:szCs w:val="24"/>
        </w:rPr>
        <w:t xml:space="preserve"> for this observation, w</w:t>
      </w:r>
      <w:r w:rsidR="00AB3DA5" w:rsidRPr="00F30EDE">
        <w:rPr>
          <w:rFonts w:ascii="Garamond" w:hAnsi="Garamond"/>
          <w:sz w:val="24"/>
          <w:szCs w:val="24"/>
        </w:rPr>
        <w:t>e have adjusted the sentence accordingly:</w:t>
      </w:r>
    </w:p>
    <w:p w14:paraId="2AB2004C" w14:textId="77777777" w:rsidR="00F30EDE" w:rsidRPr="00F30EDE" w:rsidRDefault="00F30EDE" w:rsidP="00E47648">
      <w:pPr>
        <w:pStyle w:val="PlainText"/>
        <w:jc w:val="both"/>
        <w:rPr>
          <w:rFonts w:ascii="Garamond" w:hAnsi="Garamond"/>
          <w:sz w:val="24"/>
          <w:szCs w:val="24"/>
        </w:rPr>
      </w:pPr>
    </w:p>
    <w:p w14:paraId="16FAA37C" w14:textId="4673818C" w:rsidR="00AB3DA5" w:rsidRPr="00F30EDE" w:rsidRDefault="00F30EDE" w:rsidP="00E47648">
      <w:pPr>
        <w:pStyle w:val="PlainText"/>
        <w:jc w:val="both"/>
        <w:rPr>
          <w:rFonts w:ascii="Garamond" w:hAnsi="Garamond"/>
          <w:sz w:val="24"/>
          <w:szCs w:val="24"/>
        </w:rPr>
      </w:pPr>
      <w:r>
        <w:rPr>
          <w:rFonts w:ascii="Garamond" w:hAnsi="Garamond"/>
          <w:sz w:val="24"/>
          <w:szCs w:val="24"/>
        </w:rPr>
        <w:t>“</w:t>
      </w:r>
      <w:r w:rsidR="00AB3DA5" w:rsidRPr="00F30EDE">
        <w:rPr>
          <w:rFonts w:ascii="Garamond" w:hAnsi="Garamond"/>
          <w:sz w:val="24"/>
          <w:szCs w:val="24"/>
        </w:rPr>
        <w:t>Life expectancy at birth is one of the most commonly used measures of the health status of a population and the performance of the healthcare system</w:t>
      </w:r>
      <w:r w:rsidR="00B565FF">
        <w:rPr>
          <w:rFonts w:ascii="Garamond" w:hAnsi="Garamond"/>
          <w:sz w:val="24"/>
          <w:szCs w:val="24"/>
        </w:rPr>
        <w:t>…</w:t>
      </w:r>
      <w:r w:rsidR="00AB3DA5" w:rsidRPr="00F30EDE">
        <w:rPr>
          <w:rFonts w:ascii="Garamond" w:hAnsi="Garamond"/>
          <w:sz w:val="24"/>
          <w:szCs w:val="24"/>
        </w:rPr>
        <w:t>”</w:t>
      </w:r>
    </w:p>
    <w:p w14:paraId="44745A89" w14:textId="77777777" w:rsidR="00AB3DA5" w:rsidRPr="00F30EDE" w:rsidRDefault="00AB3DA5" w:rsidP="00E47648">
      <w:pPr>
        <w:pStyle w:val="PlainText"/>
        <w:jc w:val="both"/>
        <w:rPr>
          <w:rFonts w:ascii="Garamond" w:hAnsi="Garamond"/>
          <w:b/>
          <w:sz w:val="24"/>
          <w:szCs w:val="24"/>
        </w:rPr>
      </w:pPr>
    </w:p>
    <w:p w14:paraId="31AA6BF6" w14:textId="286C32DD"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3.</w:t>
      </w:r>
      <w:r w:rsidRPr="00F30EDE">
        <w:rPr>
          <w:rFonts w:ascii="Garamond" w:hAnsi="Garamond"/>
          <w:b/>
          <w:sz w:val="24"/>
          <w:szCs w:val="24"/>
        </w:rPr>
        <w:tab/>
        <w:t>I suggest that you add a little more explanation to the sentence (page5-6): "We also checked for discontinuities in death counts…"? In Figure 2-4 "ICD7" is missing in the description of categories. I am not sure that I understand how to interpret the graphs.</w:t>
      </w:r>
    </w:p>
    <w:p w14:paraId="59E81CF4" w14:textId="1C53128E" w:rsidR="00D74D50" w:rsidRPr="00F30EDE" w:rsidRDefault="00D74D50" w:rsidP="00E47648">
      <w:pPr>
        <w:pStyle w:val="PlainText"/>
        <w:jc w:val="both"/>
        <w:rPr>
          <w:rFonts w:ascii="Garamond" w:hAnsi="Garamond"/>
          <w:b/>
          <w:sz w:val="24"/>
          <w:szCs w:val="24"/>
        </w:rPr>
      </w:pPr>
    </w:p>
    <w:p w14:paraId="39FB9911" w14:textId="4EEDF179" w:rsidR="00D74D50" w:rsidRPr="00F30EDE" w:rsidRDefault="00D74D50" w:rsidP="00E47648">
      <w:pPr>
        <w:pStyle w:val="PlainText"/>
        <w:jc w:val="both"/>
        <w:rPr>
          <w:rFonts w:ascii="Garamond" w:hAnsi="Garamond"/>
          <w:sz w:val="24"/>
          <w:szCs w:val="24"/>
        </w:rPr>
      </w:pPr>
      <w:r w:rsidRPr="00F30EDE">
        <w:rPr>
          <w:rFonts w:ascii="Garamond" w:hAnsi="Garamond"/>
          <w:sz w:val="24"/>
          <w:szCs w:val="24"/>
        </w:rPr>
        <w:t xml:space="preserve">We gave added further explanation to the sentence, it now reads: </w:t>
      </w:r>
    </w:p>
    <w:p w14:paraId="19559948" w14:textId="77777777" w:rsidR="00F30EDE" w:rsidRPr="00F30EDE" w:rsidRDefault="00F30EDE" w:rsidP="00E47648">
      <w:pPr>
        <w:pStyle w:val="PlainText"/>
        <w:jc w:val="both"/>
        <w:rPr>
          <w:rFonts w:ascii="Garamond" w:hAnsi="Garamond"/>
          <w:sz w:val="24"/>
          <w:szCs w:val="24"/>
        </w:rPr>
      </w:pPr>
    </w:p>
    <w:p w14:paraId="5472ED83" w14:textId="452888DD" w:rsidR="00D74D50" w:rsidRDefault="00D74D50" w:rsidP="00391885">
      <w:pPr>
        <w:pStyle w:val="NoSpacing"/>
        <w:rPr>
          <w:rFonts w:ascii="Garamond" w:hAnsi="Garamond"/>
          <w:szCs w:val="24"/>
        </w:rPr>
      </w:pPr>
      <w:r w:rsidRPr="00F30EDE">
        <w:rPr>
          <w:rFonts w:ascii="Garamond" w:hAnsi="Garamond"/>
          <w:szCs w:val="24"/>
        </w:rPr>
        <w:t>“</w:t>
      </w:r>
      <w:r w:rsidR="00C949B5" w:rsidRPr="00C949B5">
        <w:rPr>
          <w:rFonts w:ascii="Garamond" w:hAnsi="Garamond"/>
          <w:szCs w:val="24"/>
        </w:rPr>
        <w:t>Our groupings over the various ICD revisions were cross-checked to be consistent with other coding practices across ICD versions in the literature.</w:t>
      </w:r>
      <w:r w:rsidR="0063607D">
        <w:rPr>
          <w:rFonts w:ascii="Garamond" w:hAnsi="Garamond"/>
          <w:szCs w:val="24"/>
        </w:rPr>
        <w:t>(29)</w:t>
      </w:r>
      <w:r w:rsidR="00C949B5" w:rsidRPr="00C949B5">
        <w:rPr>
          <w:rFonts w:ascii="Garamond" w:hAnsi="Garamond"/>
          <w:szCs w:val="24"/>
        </w:rPr>
        <w:t xml:space="preserve"> We also checked for discontinuities in death counts for each of the seven cause-of-death  groups over ICD transition years (Supplementary Figure 2). There were no major breaks at years when ICD versions changed, indicating that cause-specific mortality changes were real and not attributable to inco</w:t>
      </w:r>
      <w:r w:rsidR="00391885">
        <w:rPr>
          <w:rFonts w:ascii="Garamond" w:hAnsi="Garamond"/>
          <w:szCs w:val="24"/>
        </w:rPr>
        <w:t>nsistencies in coding practice.</w:t>
      </w:r>
      <w:r w:rsidR="00F30EDE" w:rsidRPr="00F30EDE">
        <w:rPr>
          <w:rFonts w:ascii="Garamond" w:hAnsi="Garamond"/>
          <w:szCs w:val="24"/>
        </w:rPr>
        <w:t>”</w:t>
      </w:r>
    </w:p>
    <w:p w14:paraId="1DE4E26E" w14:textId="17014B1C" w:rsidR="00E47648" w:rsidRDefault="00E47648" w:rsidP="00E47648">
      <w:pPr>
        <w:pStyle w:val="NoSpacing"/>
        <w:jc w:val="both"/>
        <w:rPr>
          <w:rFonts w:ascii="Garamond" w:hAnsi="Garamond"/>
          <w:szCs w:val="24"/>
        </w:rPr>
      </w:pPr>
    </w:p>
    <w:p w14:paraId="29AC2255" w14:textId="48147264" w:rsidR="0085309D" w:rsidRDefault="00E47648" w:rsidP="00E47648">
      <w:pPr>
        <w:pStyle w:val="NoSpacing"/>
        <w:jc w:val="both"/>
        <w:rPr>
          <w:rFonts w:ascii="Garamond" w:hAnsi="Garamond"/>
          <w:szCs w:val="24"/>
        </w:rPr>
      </w:pPr>
      <w:r>
        <w:rPr>
          <w:rFonts w:ascii="Garamond" w:hAnsi="Garamond"/>
          <w:szCs w:val="24"/>
        </w:rPr>
        <w:lastRenderedPageBreak/>
        <w:t>In addition, we have made changes to the g</w:t>
      </w:r>
      <w:r w:rsidR="00B565FF">
        <w:rPr>
          <w:rFonts w:ascii="Garamond" w:hAnsi="Garamond"/>
          <w:szCs w:val="24"/>
        </w:rPr>
        <w:t>raphs in the Supplementary file</w:t>
      </w:r>
      <w:r>
        <w:rPr>
          <w:rFonts w:ascii="Garamond" w:hAnsi="Garamond"/>
          <w:szCs w:val="24"/>
        </w:rPr>
        <w:t>.</w:t>
      </w:r>
      <w:r w:rsidR="00B565FF">
        <w:rPr>
          <w:rFonts w:ascii="Garamond" w:hAnsi="Garamond"/>
          <w:szCs w:val="24"/>
        </w:rPr>
        <w:t xml:space="preserve"> We changed the</w:t>
      </w:r>
      <w:r w:rsidR="0085309D">
        <w:rPr>
          <w:rFonts w:ascii="Garamond" w:hAnsi="Garamond"/>
          <w:szCs w:val="24"/>
        </w:rPr>
        <w:t xml:space="preserve"> caption to</w:t>
      </w:r>
      <w:r w:rsidR="00EE5E0B">
        <w:rPr>
          <w:rFonts w:ascii="Garamond" w:hAnsi="Garamond"/>
          <w:szCs w:val="24"/>
        </w:rPr>
        <w:t xml:space="preserve"> clarify</w:t>
      </w:r>
      <w:r w:rsidR="0085309D">
        <w:rPr>
          <w:rFonts w:ascii="Garamond" w:hAnsi="Garamond"/>
          <w:szCs w:val="24"/>
        </w:rPr>
        <w:t xml:space="preserve"> its interpretation and corrected the labels: </w:t>
      </w:r>
    </w:p>
    <w:p w14:paraId="673C2F80" w14:textId="77777777" w:rsidR="0085309D" w:rsidRDefault="0085309D" w:rsidP="00E47648">
      <w:pPr>
        <w:pStyle w:val="NoSpacing"/>
        <w:jc w:val="both"/>
        <w:rPr>
          <w:rFonts w:ascii="Garamond" w:hAnsi="Garamond"/>
          <w:szCs w:val="24"/>
        </w:rPr>
      </w:pPr>
    </w:p>
    <w:p w14:paraId="42F94ABB" w14:textId="230EBDC5" w:rsidR="0085309D" w:rsidRDefault="0085309D" w:rsidP="00E47648">
      <w:pPr>
        <w:pStyle w:val="NoSpacing"/>
        <w:jc w:val="both"/>
        <w:rPr>
          <w:rFonts w:ascii="Garamond" w:hAnsi="Garamond"/>
          <w:szCs w:val="24"/>
        </w:rPr>
      </w:pPr>
      <w:r>
        <w:rPr>
          <w:rFonts w:ascii="Garamond" w:hAnsi="Garamond"/>
          <w:szCs w:val="24"/>
        </w:rPr>
        <w:t>“</w:t>
      </w:r>
      <w:r>
        <w:rPr>
          <w:rFonts w:ascii="Garamond" w:hAnsi="Garamond" w:cs="Times New Roman"/>
        </w:rPr>
        <w:t>Figures 2. Deaths counts by cause-of-death group for Denmark (panel A) and Sweden (panel B). Colored-vertical lines indicate changes in ICD revisions. For example, in the case of Denmark, the green vertical line indicates the change from ICD 7 to ICD 8, which was on 1969.”</w:t>
      </w:r>
    </w:p>
    <w:p w14:paraId="295395FC" w14:textId="77777777" w:rsidR="0085309D" w:rsidRDefault="0085309D" w:rsidP="00E47648">
      <w:pPr>
        <w:pStyle w:val="NoSpacing"/>
        <w:jc w:val="both"/>
        <w:rPr>
          <w:rFonts w:ascii="Garamond" w:hAnsi="Garamond"/>
          <w:szCs w:val="24"/>
        </w:rPr>
      </w:pPr>
    </w:p>
    <w:p w14:paraId="27AB215A" w14:textId="6A2E1CB3" w:rsidR="00E47648" w:rsidRDefault="00E47648" w:rsidP="00E47648">
      <w:pPr>
        <w:pStyle w:val="NoSpacing"/>
        <w:jc w:val="both"/>
        <w:rPr>
          <w:rFonts w:ascii="Garamond" w:hAnsi="Garamond"/>
          <w:szCs w:val="24"/>
        </w:rPr>
      </w:pPr>
      <w:r>
        <w:rPr>
          <w:rFonts w:ascii="Garamond" w:hAnsi="Garamond"/>
          <w:szCs w:val="24"/>
        </w:rPr>
        <w:t xml:space="preserve">For Denmark, </w:t>
      </w:r>
      <w:r w:rsidR="00EE5E0B">
        <w:rPr>
          <w:rFonts w:ascii="Garamond" w:hAnsi="Garamond"/>
          <w:szCs w:val="24"/>
        </w:rPr>
        <w:t>the figure</w:t>
      </w:r>
      <w:r>
        <w:rPr>
          <w:rFonts w:ascii="Garamond" w:hAnsi="Garamond"/>
          <w:szCs w:val="24"/>
        </w:rPr>
        <w:t xml:space="preserve"> now </w:t>
      </w:r>
      <w:r w:rsidR="00EE5E0B">
        <w:rPr>
          <w:rFonts w:ascii="Garamond" w:hAnsi="Garamond"/>
          <w:szCs w:val="24"/>
        </w:rPr>
        <w:t>shows</w:t>
      </w:r>
      <w:r>
        <w:rPr>
          <w:rFonts w:ascii="Garamond" w:hAnsi="Garamond"/>
          <w:szCs w:val="24"/>
        </w:rPr>
        <w:t>:</w:t>
      </w:r>
    </w:p>
    <w:p w14:paraId="193066EF" w14:textId="5B7FD0EF" w:rsidR="00E47648" w:rsidRDefault="00E47648" w:rsidP="00E47648">
      <w:pPr>
        <w:pStyle w:val="NoSpacing"/>
        <w:jc w:val="both"/>
        <w:rPr>
          <w:rFonts w:ascii="Garamond" w:hAnsi="Garamond"/>
          <w:szCs w:val="24"/>
        </w:rPr>
      </w:pPr>
    </w:p>
    <w:p w14:paraId="517F4E12" w14:textId="4E36CBE1" w:rsidR="00E47648" w:rsidRPr="00F30EDE" w:rsidRDefault="00E47648" w:rsidP="00E47648">
      <w:pPr>
        <w:pStyle w:val="NoSpacing"/>
        <w:jc w:val="both"/>
        <w:rPr>
          <w:rFonts w:ascii="Garamond" w:hAnsi="Garamond"/>
          <w:szCs w:val="24"/>
        </w:rPr>
      </w:pPr>
      <w:r>
        <w:rPr>
          <w:noProof/>
        </w:rPr>
        <w:drawing>
          <wp:anchor distT="0" distB="0" distL="114300" distR="114300" simplePos="0" relativeHeight="251658240" behindDoc="0" locked="0" layoutInCell="1" allowOverlap="1" wp14:anchorId="49181B50" wp14:editId="2456F8B8">
            <wp:simplePos x="0" y="0"/>
            <wp:positionH relativeFrom="margin">
              <wp:align>center</wp:align>
            </wp:positionH>
            <wp:positionV relativeFrom="paragraph">
              <wp:posOffset>0</wp:posOffset>
            </wp:positionV>
            <wp:extent cx="5221605" cy="4897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605" cy="4897120"/>
                    </a:xfrm>
                    <a:prstGeom prst="rect">
                      <a:avLst/>
                    </a:prstGeom>
                  </pic:spPr>
                </pic:pic>
              </a:graphicData>
            </a:graphic>
            <wp14:sizeRelH relativeFrom="page">
              <wp14:pctWidth>0</wp14:pctWidth>
            </wp14:sizeRelH>
            <wp14:sizeRelV relativeFrom="page">
              <wp14:pctHeight>0</wp14:pctHeight>
            </wp14:sizeRelV>
          </wp:anchor>
        </w:drawing>
      </w:r>
    </w:p>
    <w:p w14:paraId="4C7C4956" w14:textId="2B08D22D" w:rsidR="00AB3DA5" w:rsidRPr="00F30EDE" w:rsidRDefault="00AB3DA5" w:rsidP="00E47648">
      <w:pPr>
        <w:pStyle w:val="PlainText"/>
        <w:jc w:val="both"/>
        <w:rPr>
          <w:rFonts w:ascii="Garamond" w:hAnsi="Garamond"/>
          <w:b/>
          <w:sz w:val="24"/>
          <w:szCs w:val="24"/>
        </w:rPr>
      </w:pPr>
    </w:p>
    <w:p w14:paraId="5360A647" w14:textId="77777777" w:rsidR="00AB3DA5" w:rsidRPr="00F30EDE" w:rsidRDefault="00AB3DA5" w:rsidP="00E47648">
      <w:pPr>
        <w:pStyle w:val="PlainText"/>
        <w:jc w:val="both"/>
        <w:rPr>
          <w:rFonts w:ascii="Garamond" w:hAnsi="Garamond"/>
          <w:b/>
          <w:sz w:val="24"/>
          <w:szCs w:val="24"/>
        </w:rPr>
      </w:pPr>
    </w:p>
    <w:p w14:paraId="71FC7742" w14:textId="5FF7366C" w:rsidR="00E412B3" w:rsidRDefault="00E412B3" w:rsidP="00E47648">
      <w:pPr>
        <w:pStyle w:val="PlainText"/>
        <w:jc w:val="both"/>
        <w:rPr>
          <w:rFonts w:ascii="Garamond" w:hAnsi="Garamond"/>
          <w:b/>
          <w:sz w:val="24"/>
          <w:szCs w:val="24"/>
        </w:rPr>
      </w:pPr>
      <w:r w:rsidRPr="00F30EDE">
        <w:rPr>
          <w:rFonts w:ascii="Garamond" w:hAnsi="Garamond"/>
          <w:b/>
          <w:sz w:val="24"/>
          <w:szCs w:val="24"/>
        </w:rPr>
        <w:t>4.</w:t>
      </w:r>
      <w:r w:rsidRPr="00F30EDE">
        <w:rPr>
          <w:rFonts w:ascii="Garamond" w:hAnsi="Garamond"/>
          <w:b/>
          <w:sz w:val="24"/>
          <w:szCs w:val="24"/>
        </w:rPr>
        <w:tab/>
        <w:t>Please, add extra information in the title of Figure 2 (similar to that of Supplementary Figure 1).</w:t>
      </w:r>
    </w:p>
    <w:p w14:paraId="29EFB0F7" w14:textId="1166F035" w:rsidR="00F64E26" w:rsidRDefault="00F64E26" w:rsidP="00E47648">
      <w:pPr>
        <w:pStyle w:val="PlainText"/>
        <w:jc w:val="both"/>
        <w:rPr>
          <w:rFonts w:ascii="Garamond" w:hAnsi="Garamond"/>
          <w:b/>
          <w:sz w:val="24"/>
          <w:szCs w:val="24"/>
        </w:rPr>
      </w:pPr>
    </w:p>
    <w:p w14:paraId="3519CBF7" w14:textId="00939FA0" w:rsidR="00F64E26" w:rsidRDefault="00F64E26" w:rsidP="00E47648">
      <w:pPr>
        <w:pStyle w:val="PlainText"/>
        <w:jc w:val="both"/>
        <w:rPr>
          <w:rFonts w:ascii="Garamond" w:hAnsi="Garamond"/>
          <w:sz w:val="24"/>
          <w:szCs w:val="24"/>
        </w:rPr>
      </w:pPr>
      <w:r w:rsidRPr="00F64E26">
        <w:rPr>
          <w:rFonts w:ascii="Garamond" w:hAnsi="Garamond"/>
          <w:sz w:val="24"/>
          <w:szCs w:val="24"/>
        </w:rPr>
        <w:t xml:space="preserve">We have made both figures consistent. The figure </w:t>
      </w:r>
      <w:r w:rsidR="001E53AB">
        <w:rPr>
          <w:rFonts w:ascii="Garamond" w:hAnsi="Garamond"/>
          <w:sz w:val="24"/>
          <w:szCs w:val="24"/>
        </w:rPr>
        <w:t xml:space="preserve">2 </w:t>
      </w:r>
      <w:r w:rsidRPr="00F64E26">
        <w:rPr>
          <w:rFonts w:ascii="Garamond" w:hAnsi="Garamond"/>
          <w:sz w:val="24"/>
          <w:szCs w:val="24"/>
        </w:rPr>
        <w:t>now looks like:</w:t>
      </w:r>
    </w:p>
    <w:p w14:paraId="3A5F8043" w14:textId="583FC054" w:rsidR="001E53AB" w:rsidRPr="00F64E26" w:rsidRDefault="001E53AB" w:rsidP="00E47648">
      <w:pPr>
        <w:pStyle w:val="PlainText"/>
        <w:jc w:val="both"/>
        <w:rPr>
          <w:rFonts w:ascii="Garamond" w:hAnsi="Garamond"/>
          <w:sz w:val="24"/>
          <w:szCs w:val="24"/>
        </w:rPr>
      </w:pPr>
      <w:r>
        <w:rPr>
          <w:noProof/>
        </w:rPr>
        <w:lastRenderedPageBreak/>
        <w:drawing>
          <wp:inline distT="0" distB="0" distL="0" distR="0" wp14:anchorId="20C22E55" wp14:editId="0E3BAF08">
            <wp:extent cx="5943600" cy="5420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20995"/>
                    </a:xfrm>
                    <a:prstGeom prst="rect">
                      <a:avLst/>
                    </a:prstGeom>
                  </pic:spPr>
                </pic:pic>
              </a:graphicData>
            </a:graphic>
          </wp:inline>
        </w:drawing>
      </w:r>
    </w:p>
    <w:p w14:paraId="5E00597E" w14:textId="77777777" w:rsidR="00B565FF" w:rsidRPr="00F30EDE" w:rsidRDefault="00B565FF" w:rsidP="00E47648">
      <w:pPr>
        <w:pStyle w:val="PlainText"/>
        <w:jc w:val="both"/>
        <w:rPr>
          <w:rFonts w:ascii="Garamond" w:hAnsi="Garamond"/>
          <w:b/>
          <w:sz w:val="24"/>
          <w:szCs w:val="24"/>
        </w:rPr>
      </w:pPr>
    </w:p>
    <w:p w14:paraId="7D781655" w14:textId="4C5A23EC" w:rsidR="00E412B3" w:rsidRDefault="00E412B3" w:rsidP="00E47648">
      <w:pPr>
        <w:pStyle w:val="PlainText"/>
        <w:jc w:val="both"/>
        <w:rPr>
          <w:rFonts w:ascii="Garamond" w:hAnsi="Garamond"/>
          <w:b/>
          <w:sz w:val="24"/>
          <w:szCs w:val="24"/>
        </w:rPr>
      </w:pPr>
      <w:r w:rsidRPr="00F30EDE">
        <w:rPr>
          <w:rFonts w:ascii="Garamond" w:hAnsi="Garamond"/>
          <w:b/>
          <w:sz w:val="24"/>
          <w:szCs w:val="24"/>
        </w:rPr>
        <w:t>5.</w:t>
      </w:r>
      <w:r w:rsidRPr="00F30EDE">
        <w:rPr>
          <w:rFonts w:ascii="Garamond" w:hAnsi="Garamond"/>
          <w:b/>
          <w:sz w:val="24"/>
          <w:szCs w:val="24"/>
        </w:rPr>
        <w:tab/>
        <w:t>In the Supplemental material "2) Brief description of the indicator" this is named CV. Change that to CoV as this is used in the text. Also chance "e0" to "ea"  in the explanatory text to the formula (1).</w:t>
      </w:r>
    </w:p>
    <w:p w14:paraId="3920ED73" w14:textId="4EEA5E0E" w:rsidR="00B565FF" w:rsidRDefault="00B565FF" w:rsidP="00E47648">
      <w:pPr>
        <w:pStyle w:val="PlainText"/>
        <w:jc w:val="both"/>
        <w:rPr>
          <w:rFonts w:ascii="Garamond" w:hAnsi="Garamond"/>
          <w:b/>
          <w:sz w:val="24"/>
          <w:szCs w:val="24"/>
        </w:rPr>
      </w:pPr>
    </w:p>
    <w:p w14:paraId="10270CCA" w14:textId="6D9DE07C" w:rsidR="00B565FF" w:rsidRDefault="00B565FF" w:rsidP="00E47648">
      <w:pPr>
        <w:pStyle w:val="PlainText"/>
        <w:jc w:val="both"/>
        <w:rPr>
          <w:rFonts w:ascii="Garamond" w:hAnsi="Garamond"/>
          <w:sz w:val="24"/>
          <w:szCs w:val="24"/>
        </w:rPr>
      </w:pPr>
      <w:r>
        <w:rPr>
          <w:rFonts w:ascii="Garamond" w:hAnsi="Garamond"/>
          <w:sz w:val="24"/>
          <w:szCs w:val="24"/>
        </w:rPr>
        <w:t>Tha</w:t>
      </w:r>
      <w:r w:rsidRPr="00B565FF">
        <w:rPr>
          <w:rFonts w:ascii="Garamond" w:hAnsi="Garamond"/>
          <w:sz w:val="24"/>
          <w:szCs w:val="24"/>
        </w:rPr>
        <w:t>nks for this observation</w:t>
      </w:r>
      <w:r>
        <w:rPr>
          <w:rFonts w:ascii="Garamond" w:hAnsi="Garamond"/>
          <w:sz w:val="24"/>
          <w:szCs w:val="24"/>
        </w:rPr>
        <w:t>, we have made the corrections accordingly. It now reads:</w:t>
      </w:r>
    </w:p>
    <w:p w14:paraId="11FEB67D" w14:textId="461603DD" w:rsidR="00B565FF" w:rsidRPr="008E1DFC" w:rsidRDefault="003B1EA0" w:rsidP="00B565FF">
      <w:pPr>
        <w:spacing w:line="480" w:lineRule="auto"/>
        <w:ind w:firstLine="720"/>
        <w:jc w:val="both"/>
        <w:rPr>
          <w:rFonts w:ascii="Garamond" w:eastAsiaTheme="minorEastAsia" w:hAnsi="Garamond"/>
          <w:szCs w:val="24"/>
        </w:rPr>
      </w:pPr>
      <m:oMathPara>
        <m:oMath>
          <m:r>
            <w:rPr>
              <w:rFonts w:ascii="Cambria Math" w:hAnsi="Cambria Math"/>
              <w:szCs w:val="24"/>
            </w:rPr>
            <m:t>Co</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rad>
                <m:radPr>
                  <m:degHide m:val="1"/>
                  <m:ctrlPr>
                    <w:rPr>
                      <w:rFonts w:ascii="Cambria Math" w:hAnsi="Cambria Math"/>
                      <w:i/>
                      <w:szCs w:val="24"/>
                    </w:rPr>
                  </m:ctrlPr>
                </m:radPr>
                <m:deg/>
                <m:e>
                  <m:nary>
                    <m:naryPr>
                      <m:limLoc m:val="undOvr"/>
                      <m:ctrlPr>
                        <w:rPr>
                          <w:rFonts w:ascii="Cambria Math" w:hAnsi="Cambria Math"/>
                          <w:i/>
                          <w:szCs w:val="24"/>
                        </w:rPr>
                      </m:ctrlPr>
                    </m:naryPr>
                    <m:sub>
                      <m:r>
                        <w:rPr>
                          <w:rFonts w:ascii="Cambria Math" w:hAnsi="Cambria Math"/>
                          <w:szCs w:val="24"/>
                        </w:rPr>
                        <m:t>a</m:t>
                      </m:r>
                    </m:sub>
                    <m:sup>
                      <m:r>
                        <w:rPr>
                          <w:rFonts w:ascii="Cambria Math" w:hAnsi="Cambria Math"/>
                          <w:szCs w:val="24"/>
                        </w:rPr>
                        <m:t>ω</m:t>
                      </m:r>
                    </m:sup>
                    <m:e>
                      <m:sSup>
                        <m:sSupPr>
                          <m:ctrlPr>
                            <w:rPr>
                              <w:rFonts w:ascii="Cambria Math" w:hAnsi="Cambria Math"/>
                              <w:i/>
                              <w:szCs w:val="24"/>
                            </w:rPr>
                          </m:ctrlPr>
                        </m:sSupPr>
                        <m:e>
                          <m:r>
                            <w:rPr>
                              <w:rFonts w:ascii="Cambria Math" w:hAnsi="Cambria Math"/>
                              <w:szCs w:val="24"/>
                            </w:rPr>
                            <m:t>(x-</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a</m:t>
                              </m:r>
                            </m:sub>
                          </m:sSub>
                          <m:r>
                            <w:rPr>
                              <w:rFonts w:ascii="Cambria Math" w:hAnsi="Cambria Math"/>
                              <w:szCs w:val="24"/>
                            </w:rPr>
                            <m:t>)</m:t>
                          </m:r>
                        </m:e>
                        <m:sup>
                          <m:r>
                            <w:rPr>
                              <w:rFonts w:ascii="Cambria Math" w:hAnsi="Cambria Math"/>
                              <w:szCs w:val="24"/>
                            </w:rPr>
                            <m:t>2</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nor/>
                        </m:rPr>
                        <w:rPr>
                          <w:rFonts w:ascii="Garamond" w:hAnsi="Garamond"/>
                          <w:szCs w:val="24"/>
                        </w:rPr>
                        <m:t>d</m:t>
                      </m:r>
                      <m:r>
                        <w:rPr>
                          <w:rFonts w:ascii="Cambria Math" w:hAnsi="Cambria Math"/>
                          <w:szCs w:val="24"/>
                        </w:rPr>
                        <m:t>x</m:t>
                      </m:r>
                    </m:e>
                  </m:nary>
                </m:e>
              </m:rad>
            </m:num>
            <m:den>
              <m:nary>
                <m:naryPr>
                  <m:limLoc m:val="undOvr"/>
                  <m:ctrlPr>
                    <w:rPr>
                      <w:rFonts w:ascii="Cambria Math" w:hAnsi="Cambria Math"/>
                      <w:i/>
                      <w:szCs w:val="24"/>
                    </w:rPr>
                  </m:ctrlPr>
                </m:naryPr>
                <m:sub>
                  <m:r>
                    <w:rPr>
                      <w:rFonts w:ascii="Cambria Math" w:hAnsi="Cambria Math"/>
                      <w:szCs w:val="24"/>
                    </w:rPr>
                    <m:t>a</m:t>
                  </m:r>
                </m:sub>
                <m:sup>
                  <m:r>
                    <w:rPr>
                      <w:rFonts w:ascii="Cambria Math" w:hAnsi="Cambria Math"/>
                      <w:szCs w:val="24"/>
                    </w:rPr>
                    <m:t>ω</m:t>
                  </m:r>
                </m:sup>
                <m:e>
                  <m:r>
                    <m:rPr>
                      <m:scr m:val="script"/>
                    </m:rPr>
                    <w:rPr>
                      <w:rFonts w:ascii="Cambria Math" w:hAnsi="Cambria Math"/>
                      <w:szCs w:val="24"/>
                    </w:rPr>
                    <m:t>l</m:t>
                  </m:r>
                  <m:d>
                    <m:dPr>
                      <m:ctrlPr>
                        <w:rPr>
                          <w:rFonts w:ascii="Cambria Math" w:hAnsi="Cambria Math"/>
                          <w:i/>
                          <w:szCs w:val="24"/>
                        </w:rPr>
                      </m:ctrlPr>
                    </m:dPr>
                    <m:e>
                      <m:r>
                        <w:rPr>
                          <w:rFonts w:ascii="Cambria Math" w:hAnsi="Cambria Math"/>
                          <w:szCs w:val="24"/>
                        </w:rPr>
                        <m:t>x</m:t>
                      </m:r>
                    </m:e>
                  </m:d>
                  <m:r>
                    <m:rPr>
                      <m:nor/>
                    </m:rPr>
                    <w:rPr>
                      <w:rFonts w:ascii="Garamond" w:hAnsi="Garamond"/>
                      <w:szCs w:val="24"/>
                    </w:rPr>
                    <m:t>d</m:t>
                  </m:r>
                  <m:r>
                    <w:rPr>
                      <w:rFonts w:ascii="Cambria Math" w:hAnsi="Cambria Math"/>
                      <w:szCs w:val="24"/>
                    </w:rPr>
                    <m:t>x</m:t>
                  </m:r>
                </m:e>
              </m:nary>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σ</m:t>
                  </m:r>
                </m:e>
                <m:sub>
                  <m:r>
                    <w:rPr>
                      <w:rFonts w:ascii="Cambria Math" w:hAnsi="Cambria Math"/>
                      <w:szCs w:val="24"/>
                    </w:rPr>
                    <m:t>a</m:t>
                  </m:r>
                </m:sub>
              </m:sSub>
            </m:num>
            <m:den>
              <m:sSub>
                <m:sSubPr>
                  <m:ctrlPr>
                    <w:rPr>
                      <w:rFonts w:ascii="Cambria Math" w:hAnsi="Cambria Math"/>
                      <w:i/>
                      <w:szCs w:val="24"/>
                    </w:rPr>
                  </m:ctrlPr>
                </m:sSubPr>
                <m:e>
                  <m:r>
                    <w:rPr>
                      <w:rFonts w:ascii="Cambria Math" w:hAnsi="Cambria Math"/>
                      <w:szCs w:val="24"/>
                    </w:rPr>
                    <m:t>e</m:t>
                  </m:r>
                </m:e>
                <m:sub>
                  <m:r>
                    <w:rPr>
                      <w:rFonts w:ascii="Cambria Math" w:hAnsi="Cambria Math"/>
                      <w:szCs w:val="24"/>
                    </w:rPr>
                    <m:t>a</m:t>
                  </m:r>
                </m:sub>
              </m:sSub>
            </m:den>
          </m:f>
          <m:r>
            <w:rPr>
              <w:rFonts w:ascii="Cambria Math" w:hAnsi="Cambria Math"/>
              <w:szCs w:val="24"/>
            </w:rPr>
            <m:t xml:space="preserve">.              (1)              </m:t>
          </m:r>
        </m:oMath>
      </m:oMathPara>
    </w:p>
    <w:p w14:paraId="73AB8504" w14:textId="6C18869E" w:rsidR="00B565FF" w:rsidRDefault="00B565FF" w:rsidP="00B565FF">
      <w:pPr>
        <w:rPr>
          <w:rFonts w:ascii="Garamond" w:eastAsiaTheme="minorEastAsia" w:hAnsi="Garamond"/>
          <w:szCs w:val="24"/>
        </w:rPr>
      </w:pPr>
      <w:r w:rsidRPr="008E1DFC">
        <w:rPr>
          <w:rFonts w:ascii="Garamond" w:hAnsi="Garamond"/>
          <w:szCs w:val="24"/>
        </w:rPr>
        <w:t xml:space="preserve">Where </w:t>
      </w:r>
      <m:oMath>
        <m:r>
          <w:rPr>
            <w:rFonts w:ascii="Cambria Math" w:hAnsi="Cambria Math"/>
            <w:szCs w:val="24"/>
          </w:rPr>
          <m:t>a,</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a</m:t>
            </m:r>
          </m:sub>
        </m:sSub>
      </m:oMath>
      <w:r w:rsidRPr="008E1DFC">
        <w:rPr>
          <w:rFonts w:ascii="Garamond" w:eastAsiaTheme="minorEastAsia" w:hAnsi="Garamond"/>
          <w:szCs w:val="24"/>
        </w:rPr>
        <w:t xml:space="preserve"> and </w:t>
      </w:r>
      <m:oMath>
        <m:r>
          <w:rPr>
            <w:rFonts w:ascii="Cambria Math" w:hAnsi="Cambria Math"/>
            <w:szCs w:val="24"/>
          </w:rPr>
          <m:t>ω</m:t>
        </m:r>
      </m:oMath>
      <w:r w:rsidRPr="008E1DFC">
        <w:rPr>
          <w:rFonts w:ascii="Garamond" w:eastAsiaTheme="minorEastAsia" w:hAnsi="Garamond"/>
          <w:szCs w:val="24"/>
        </w:rPr>
        <w:t xml:space="preserve"> denote the </w:t>
      </w:r>
      <w:r w:rsidR="003B1EA0">
        <w:rPr>
          <w:rFonts w:ascii="Garamond" w:eastAsiaTheme="minorEastAsia" w:hAnsi="Garamond"/>
          <w:szCs w:val="24"/>
        </w:rPr>
        <w:t xml:space="preserve">starting </w:t>
      </w:r>
      <w:r w:rsidRPr="008E1DFC">
        <w:rPr>
          <w:rFonts w:ascii="Garamond" w:eastAsiaTheme="minorEastAsia" w:hAnsi="Garamond"/>
          <w:szCs w:val="24"/>
        </w:rPr>
        <w:t>age at death</w:t>
      </w:r>
      <w:r w:rsidR="003B1EA0">
        <w:rPr>
          <w:rFonts w:ascii="Garamond" w:eastAsiaTheme="minorEastAsia" w:hAnsi="Garamond"/>
          <w:szCs w:val="24"/>
        </w:rPr>
        <w:t xml:space="preserve"> of the density function</w:t>
      </w:r>
      <w:r w:rsidRPr="008E1DFC">
        <w:rPr>
          <w:rFonts w:ascii="Garamond" w:eastAsiaTheme="minorEastAsia" w:hAnsi="Garamond"/>
          <w:szCs w:val="24"/>
        </w:rPr>
        <w:t xml:space="preserve">, life expectancy at age </w:t>
      </w:r>
      <m:oMath>
        <m:r>
          <w:rPr>
            <w:rFonts w:ascii="Cambria Math" w:hAnsi="Cambria Math"/>
            <w:szCs w:val="24"/>
          </w:rPr>
          <m:t>a</m:t>
        </m:r>
      </m:oMath>
      <w:r w:rsidRPr="008E1DFC">
        <w:rPr>
          <w:rFonts w:ascii="Garamond" w:eastAsiaTheme="minorEastAsia" w:hAnsi="Garamond"/>
          <w:szCs w:val="24"/>
        </w:rPr>
        <w:t xml:space="preserve">, </w:t>
      </w:r>
      <w:r w:rsidR="003B1EA0">
        <w:rPr>
          <w:rFonts w:ascii="Garamond" w:eastAsiaTheme="minorEastAsia" w:hAnsi="Garamond"/>
          <w:szCs w:val="24"/>
        </w:rPr>
        <w:t>the standard deviation at age</w:t>
      </w:r>
      <m:oMath>
        <m:r>
          <w:rPr>
            <w:rFonts w:ascii="Cambria Math" w:hAnsi="Cambria Math"/>
            <w:szCs w:val="24"/>
          </w:rPr>
          <m:t xml:space="preserve"> a</m:t>
        </m:r>
      </m:oMath>
      <w:r w:rsidR="003B1EA0">
        <w:rPr>
          <w:rFonts w:ascii="Garamond" w:eastAsiaTheme="minorEastAsia" w:hAnsi="Garamond"/>
          <w:szCs w:val="24"/>
        </w:rPr>
        <w:t xml:space="preserve">, </w:t>
      </w:r>
      <w:r w:rsidRPr="008E1DFC">
        <w:rPr>
          <w:rFonts w:ascii="Garamond" w:eastAsiaTheme="minorEastAsia" w:hAnsi="Garamond"/>
          <w:szCs w:val="24"/>
        </w:rPr>
        <w:t>and the open-aged interval (110+ in our case), respectively.</w:t>
      </w:r>
      <w:r w:rsidR="003B1EA0">
        <w:rPr>
          <w:rFonts w:ascii="Garamond" w:eastAsiaTheme="minorEastAsia" w:hAnsi="Garamond"/>
          <w:szCs w:val="24"/>
        </w:rPr>
        <w:t xml:space="preserve"> We study the coefficient of variation from birth, i.e. </w:t>
      </w:r>
      <m:oMath>
        <m:r>
          <w:rPr>
            <w:rFonts w:ascii="Cambria Math" w:hAnsi="Cambria Math"/>
            <w:szCs w:val="24"/>
          </w:rPr>
          <m:t>a=0</m:t>
        </m:r>
      </m:oMath>
      <w:r w:rsidR="003B1EA0">
        <w:rPr>
          <w:rFonts w:ascii="Garamond" w:eastAsiaTheme="minorEastAsia" w:hAnsi="Garamond"/>
          <w:szCs w:val="24"/>
        </w:rPr>
        <w:t>.</w:t>
      </w:r>
    </w:p>
    <w:p w14:paraId="5CB9EE5B" w14:textId="77777777" w:rsidR="00B565FF" w:rsidRPr="00B565FF" w:rsidRDefault="00B565FF" w:rsidP="00E47648">
      <w:pPr>
        <w:pStyle w:val="PlainText"/>
        <w:jc w:val="both"/>
        <w:rPr>
          <w:rFonts w:ascii="Garamond" w:hAnsi="Garamond"/>
          <w:sz w:val="24"/>
          <w:szCs w:val="24"/>
        </w:rPr>
      </w:pPr>
    </w:p>
    <w:p w14:paraId="3AB0CD57" w14:textId="77777777" w:rsidR="00E412B3" w:rsidRPr="00F30EDE" w:rsidRDefault="00E412B3" w:rsidP="00E47648">
      <w:pPr>
        <w:jc w:val="both"/>
        <w:rPr>
          <w:rFonts w:ascii="Garamond" w:eastAsia="Times New Roman" w:hAnsi="Garamond"/>
          <w:szCs w:val="24"/>
        </w:rPr>
      </w:pPr>
      <w:r w:rsidRPr="00F30EDE">
        <w:rPr>
          <w:rFonts w:ascii="Garamond" w:eastAsia="Times New Roman" w:hAnsi="Garamond"/>
          <w:szCs w:val="24"/>
        </w:rPr>
        <w:br w:type="page"/>
      </w:r>
    </w:p>
    <w:p w14:paraId="4F3D5D81" w14:textId="137C32AF"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lastRenderedPageBreak/>
        <w:t>Reviewer: 2</w:t>
      </w:r>
    </w:p>
    <w:p w14:paraId="3ED79C3B" w14:textId="44CEDE92"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Sasson Isaac (Reviewer 2): This is an interesting descriptive paper looking at changes in life expectancy and lifespan inequality in Denmark from 1960 to 2014. The authors hypothesize that (1) Denmark will exhibit greater lifespan inequality relative to its neighboring countries; and (2) Life expectancy and lifespan inequality (variability) will stagnate between 1975 and 1995, primarily among women, due to higher smoking prevalence in the 1919-1939 birth cohorts.</w:t>
      </w:r>
    </w:p>
    <w:p w14:paraId="709158ED" w14:textId="77777777" w:rsidR="00E412B3" w:rsidRPr="00F30EDE" w:rsidRDefault="00E412B3" w:rsidP="00E47648">
      <w:pPr>
        <w:pStyle w:val="PlainText"/>
        <w:jc w:val="both"/>
        <w:rPr>
          <w:rFonts w:ascii="Garamond" w:hAnsi="Garamond"/>
          <w:b/>
          <w:sz w:val="24"/>
          <w:szCs w:val="24"/>
        </w:rPr>
      </w:pPr>
    </w:p>
    <w:p w14:paraId="130D5F9B"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Using HMD mortality data and WHO cause-of-death data, the authors find support for both hypotheses and point to possible health interventions with respect to infant mortality and cancers, which were responsible for the bulk of those patterns/trends (i.e., life expectancy and lifespan inequality improvements over time and relative to similar countries).</w:t>
      </w:r>
    </w:p>
    <w:p w14:paraId="0319792E" w14:textId="77777777" w:rsidR="00E412B3" w:rsidRPr="00F30EDE" w:rsidRDefault="00E412B3" w:rsidP="00E47648">
      <w:pPr>
        <w:pStyle w:val="PlainText"/>
        <w:jc w:val="both"/>
        <w:rPr>
          <w:rFonts w:ascii="Garamond" w:hAnsi="Garamond"/>
          <w:b/>
          <w:sz w:val="24"/>
          <w:szCs w:val="24"/>
        </w:rPr>
      </w:pPr>
    </w:p>
    <w:p w14:paraId="034A9236"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Overall, the paper is well written and the methods are appropriate. To their credit, the authors were mindful of possible limitations (e.g., ICD classification discontinuities, reliability of cause-of-death classification in old age) and addressed them in a satisfactory manner, either in the main analyses or in supplementary sensitivity analyses.</w:t>
      </w:r>
    </w:p>
    <w:p w14:paraId="5ED7D372" w14:textId="77777777" w:rsidR="00E412B3" w:rsidRPr="00F30EDE" w:rsidRDefault="00E412B3" w:rsidP="00E47648">
      <w:pPr>
        <w:pStyle w:val="PlainText"/>
        <w:jc w:val="both"/>
        <w:rPr>
          <w:rFonts w:ascii="Garamond" w:hAnsi="Garamond"/>
          <w:b/>
          <w:sz w:val="24"/>
          <w:szCs w:val="24"/>
        </w:rPr>
      </w:pPr>
    </w:p>
    <w:p w14:paraId="18D7A53D" w14:textId="77777777"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A few remaining suggestions:</w:t>
      </w:r>
    </w:p>
    <w:p w14:paraId="23EAC56B" w14:textId="77777777" w:rsidR="00E412B3" w:rsidRPr="00F30EDE" w:rsidRDefault="00E412B3" w:rsidP="00E47648">
      <w:pPr>
        <w:pStyle w:val="PlainText"/>
        <w:jc w:val="both"/>
        <w:rPr>
          <w:rFonts w:ascii="Garamond" w:hAnsi="Garamond"/>
          <w:b/>
          <w:sz w:val="24"/>
          <w:szCs w:val="24"/>
        </w:rPr>
      </w:pPr>
    </w:p>
    <w:p w14:paraId="00A44C74" w14:textId="5F8F4D55" w:rsidR="00E412B3" w:rsidRDefault="009B0CF5" w:rsidP="00FA065A">
      <w:pPr>
        <w:pStyle w:val="PlainText"/>
        <w:jc w:val="both"/>
        <w:rPr>
          <w:rFonts w:ascii="Garamond" w:hAnsi="Garamond"/>
          <w:b/>
          <w:sz w:val="24"/>
          <w:szCs w:val="24"/>
        </w:rPr>
      </w:pPr>
      <w:r>
        <w:rPr>
          <w:rFonts w:ascii="Garamond" w:hAnsi="Garamond"/>
          <w:b/>
          <w:sz w:val="24"/>
          <w:szCs w:val="24"/>
        </w:rPr>
        <w:t>1</w:t>
      </w:r>
      <w:r w:rsidR="00FA065A">
        <w:rPr>
          <w:rFonts w:ascii="Garamond" w:hAnsi="Garamond"/>
          <w:b/>
          <w:sz w:val="24"/>
          <w:szCs w:val="24"/>
        </w:rPr>
        <w:t>. T</w:t>
      </w:r>
      <w:r w:rsidR="00E412B3" w:rsidRPr="00F30EDE">
        <w:rPr>
          <w:rFonts w:ascii="Garamond" w:hAnsi="Garamond"/>
          <w:b/>
          <w:sz w:val="24"/>
          <w:szCs w:val="24"/>
        </w:rPr>
        <w:t>he comparison with Sweden received substantial exposition (p. 3 second paragraph), as well as subsequent analyses (cause-of-death decomposition in Fig. 3), but not Norway. For example, Fig. 2 shows that Norway experienced similar stagnation in life expectancy and (more so) in lifespan variation from 1975-1995. In other words, Norway was closer to Sweden in levels but more similar to Denmark in trends. However, this similarity is not explored or explained, so I recommend that the authors either bolster the Denmark-Norway comparison or drop this third country altogether.</w:t>
      </w:r>
    </w:p>
    <w:p w14:paraId="6140DCEC" w14:textId="77777777" w:rsidR="0052544D" w:rsidRDefault="0052544D" w:rsidP="006D57A4">
      <w:pPr>
        <w:pStyle w:val="PlainText"/>
        <w:jc w:val="both"/>
        <w:rPr>
          <w:rFonts w:ascii="Garamond" w:hAnsi="Garamond"/>
          <w:b/>
          <w:sz w:val="24"/>
          <w:szCs w:val="24"/>
        </w:rPr>
      </w:pPr>
    </w:p>
    <w:p w14:paraId="428ED349" w14:textId="7038132B" w:rsidR="0052544D" w:rsidRDefault="006D57A4" w:rsidP="006D57A4">
      <w:pPr>
        <w:pStyle w:val="PlainText"/>
        <w:jc w:val="both"/>
        <w:rPr>
          <w:rFonts w:ascii="Garamond" w:hAnsi="Garamond"/>
          <w:sz w:val="24"/>
          <w:szCs w:val="24"/>
        </w:rPr>
      </w:pPr>
      <w:r w:rsidRPr="0052544D">
        <w:rPr>
          <w:rFonts w:ascii="Garamond" w:hAnsi="Garamond"/>
          <w:sz w:val="24"/>
          <w:szCs w:val="24"/>
        </w:rPr>
        <w:t xml:space="preserve">We thank the reviewer for this observation. Given the </w:t>
      </w:r>
      <w:r w:rsidR="0052544D" w:rsidRPr="0052544D">
        <w:rPr>
          <w:rFonts w:ascii="Garamond" w:hAnsi="Garamond"/>
          <w:sz w:val="24"/>
          <w:szCs w:val="24"/>
        </w:rPr>
        <w:t>points raised by the reviewer and our own assessment, we decided to le</w:t>
      </w:r>
      <w:r w:rsidR="00EE5E0B">
        <w:rPr>
          <w:rFonts w:ascii="Garamond" w:hAnsi="Garamond"/>
          <w:sz w:val="24"/>
          <w:szCs w:val="24"/>
        </w:rPr>
        <w:t>ave</w:t>
      </w:r>
      <w:r w:rsidR="0052544D" w:rsidRPr="0052544D">
        <w:rPr>
          <w:rFonts w:ascii="Garamond" w:hAnsi="Garamond"/>
          <w:sz w:val="24"/>
          <w:szCs w:val="24"/>
        </w:rPr>
        <w:t xml:space="preserve"> out</w:t>
      </w:r>
      <w:r w:rsidR="009360E5">
        <w:rPr>
          <w:rFonts w:ascii="Garamond" w:hAnsi="Garamond"/>
          <w:sz w:val="24"/>
          <w:szCs w:val="24"/>
        </w:rPr>
        <w:t xml:space="preserve"> </w:t>
      </w:r>
      <w:r w:rsidR="00FE6FC2">
        <w:rPr>
          <w:rFonts w:ascii="Garamond" w:hAnsi="Garamond"/>
          <w:sz w:val="24"/>
          <w:szCs w:val="24"/>
        </w:rPr>
        <w:t>Norway</w:t>
      </w:r>
      <w:r w:rsidR="00EE5E0B">
        <w:rPr>
          <w:rFonts w:ascii="Garamond" w:hAnsi="Garamond"/>
          <w:sz w:val="24"/>
          <w:szCs w:val="24"/>
        </w:rPr>
        <w:t>.</w:t>
      </w:r>
      <w:r w:rsidR="0052544D" w:rsidRPr="0052544D">
        <w:rPr>
          <w:rFonts w:ascii="Garamond" w:hAnsi="Garamond"/>
          <w:sz w:val="24"/>
          <w:szCs w:val="24"/>
        </w:rPr>
        <w:t xml:space="preserve"> </w:t>
      </w:r>
      <w:r w:rsidR="00EE5E0B">
        <w:rPr>
          <w:rFonts w:ascii="Garamond" w:hAnsi="Garamond"/>
          <w:sz w:val="24"/>
          <w:szCs w:val="24"/>
        </w:rPr>
        <w:t>W</w:t>
      </w:r>
      <w:r w:rsidR="0052544D" w:rsidRPr="0052544D">
        <w:rPr>
          <w:rFonts w:ascii="Garamond" w:hAnsi="Garamond"/>
          <w:sz w:val="24"/>
          <w:szCs w:val="24"/>
        </w:rPr>
        <w:t xml:space="preserve">e </w:t>
      </w:r>
      <w:r w:rsidR="00EE5E0B">
        <w:rPr>
          <w:rFonts w:ascii="Garamond" w:hAnsi="Garamond"/>
          <w:sz w:val="24"/>
          <w:szCs w:val="24"/>
        </w:rPr>
        <w:t>do</w:t>
      </w:r>
      <w:r w:rsidR="0052544D" w:rsidRPr="0052544D">
        <w:rPr>
          <w:rFonts w:ascii="Garamond" w:hAnsi="Garamond"/>
          <w:sz w:val="24"/>
          <w:szCs w:val="24"/>
        </w:rPr>
        <w:t xml:space="preserve"> not lose any substance</w:t>
      </w:r>
      <w:r w:rsidR="00EE5E0B">
        <w:rPr>
          <w:rFonts w:ascii="Garamond" w:hAnsi="Garamond"/>
          <w:sz w:val="24"/>
          <w:szCs w:val="24"/>
        </w:rPr>
        <w:t xml:space="preserve">, </w:t>
      </w:r>
      <w:r w:rsidR="009360E5">
        <w:rPr>
          <w:rFonts w:ascii="Garamond" w:hAnsi="Garamond"/>
          <w:sz w:val="24"/>
          <w:szCs w:val="24"/>
        </w:rPr>
        <w:t xml:space="preserve">and the comparison between Denmark and Sweden is the most </w:t>
      </w:r>
      <w:r w:rsidR="00EE5E0B">
        <w:rPr>
          <w:rFonts w:ascii="Garamond" w:hAnsi="Garamond"/>
          <w:sz w:val="24"/>
          <w:szCs w:val="24"/>
        </w:rPr>
        <w:t xml:space="preserve">instructive </w:t>
      </w:r>
      <w:r w:rsidR="009360E5">
        <w:rPr>
          <w:rFonts w:ascii="Garamond" w:hAnsi="Garamond"/>
          <w:sz w:val="24"/>
          <w:szCs w:val="24"/>
        </w:rPr>
        <w:t>case in the region</w:t>
      </w:r>
      <w:r w:rsidR="0052544D" w:rsidRPr="0052544D">
        <w:rPr>
          <w:rFonts w:ascii="Garamond" w:hAnsi="Garamond"/>
          <w:sz w:val="24"/>
          <w:szCs w:val="24"/>
        </w:rPr>
        <w:t xml:space="preserve">. In addition, </w:t>
      </w:r>
      <w:r w:rsidR="00EE5E0B">
        <w:rPr>
          <w:rFonts w:ascii="Garamond" w:hAnsi="Garamond"/>
          <w:sz w:val="24"/>
          <w:szCs w:val="24"/>
        </w:rPr>
        <w:t>omitting Norway</w:t>
      </w:r>
      <w:r w:rsidR="0052544D" w:rsidRPr="0052544D">
        <w:rPr>
          <w:rFonts w:ascii="Garamond" w:hAnsi="Garamond"/>
          <w:sz w:val="24"/>
          <w:szCs w:val="24"/>
        </w:rPr>
        <w:t xml:space="preserve"> help</w:t>
      </w:r>
      <w:r w:rsidR="00EE5E0B">
        <w:rPr>
          <w:rFonts w:ascii="Garamond" w:hAnsi="Garamond"/>
          <w:sz w:val="24"/>
          <w:szCs w:val="24"/>
        </w:rPr>
        <w:t>s</w:t>
      </w:r>
      <w:r w:rsidR="0052544D" w:rsidRPr="0052544D">
        <w:rPr>
          <w:rFonts w:ascii="Garamond" w:hAnsi="Garamond"/>
          <w:sz w:val="24"/>
          <w:szCs w:val="24"/>
        </w:rPr>
        <w:t xml:space="preserve"> focusing and highlighting </w:t>
      </w:r>
      <w:r w:rsidR="009360E5">
        <w:rPr>
          <w:rFonts w:ascii="Garamond" w:hAnsi="Garamond"/>
          <w:sz w:val="24"/>
          <w:szCs w:val="24"/>
        </w:rPr>
        <w:t>this case.</w:t>
      </w:r>
    </w:p>
    <w:p w14:paraId="6F5094CF" w14:textId="4BDE0E92" w:rsidR="0052544D" w:rsidRDefault="0052544D" w:rsidP="006D57A4">
      <w:pPr>
        <w:pStyle w:val="PlainText"/>
        <w:jc w:val="both"/>
        <w:rPr>
          <w:rFonts w:ascii="Garamond" w:hAnsi="Garamond"/>
          <w:sz w:val="24"/>
          <w:szCs w:val="24"/>
        </w:rPr>
      </w:pPr>
    </w:p>
    <w:p w14:paraId="11D1C3FB" w14:textId="5DE1D299" w:rsidR="0052544D" w:rsidRDefault="0052544D" w:rsidP="006D57A4">
      <w:pPr>
        <w:pStyle w:val="PlainText"/>
        <w:jc w:val="both"/>
        <w:rPr>
          <w:rFonts w:ascii="Garamond" w:hAnsi="Garamond"/>
          <w:sz w:val="24"/>
          <w:szCs w:val="24"/>
        </w:rPr>
      </w:pPr>
      <w:r>
        <w:rPr>
          <w:rFonts w:ascii="Garamond" w:hAnsi="Garamond"/>
          <w:sz w:val="24"/>
          <w:szCs w:val="24"/>
        </w:rPr>
        <w:t>Nevertheless, to address the reviewer’s point, t</w:t>
      </w:r>
      <w:r w:rsidRPr="0052544D">
        <w:rPr>
          <w:rFonts w:ascii="Garamond" w:hAnsi="Garamond"/>
          <w:sz w:val="24"/>
          <w:szCs w:val="24"/>
        </w:rPr>
        <w:t>he reason behind the Norwegian cohort based stagnation most probably has to do with a higher throughout life smoking prevalence for N</w:t>
      </w:r>
      <w:r>
        <w:rPr>
          <w:rFonts w:ascii="Garamond" w:hAnsi="Garamond"/>
          <w:sz w:val="24"/>
          <w:szCs w:val="24"/>
        </w:rPr>
        <w:t xml:space="preserve">orwegian </w:t>
      </w:r>
      <w:r w:rsidRPr="0052544D">
        <w:rPr>
          <w:rFonts w:ascii="Garamond" w:hAnsi="Garamond"/>
          <w:sz w:val="24"/>
          <w:szCs w:val="24"/>
        </w:rPr>
        <w:t xml:space="preserve">females as illustrated in this </w:t>
      </w:r>
      <w:r>
        <w:rPr>
          <w:rFonts w:ascii="Garamond" w:hAnsi="Garamond"/>
          <w:sz w:val="24"/>
          <w:szCs w:val="24"/>
        </w:rPr>
        <w:t>figure (Jacobsen et al 2004):</w:t>
      </w:r>
    </w:p>
    <w:p w14:paraId="13545311" w14:textId="20E1C1D2" w:rsidR="0052544D" w:rsidRPr="0052544D" w:rsidRDefault="0052544D" w:rsidP="006D57A4">
      <w:pPr>
        <w:pStyle w:val="PlainText"/>
        <w:jc w:val="both"/>
        <w:rPr>
          <w:rFonts w:ascii="Garamond" w:hAnsi="Garamond"/>
          <w:sz w:val="24"/>
          <w:szCs w:val="24"/>
        </w:rPr>
      </w:pPr>
      <w:r>
        <w:rPr>
          <w:noProof/>
        </w:rPr>
        <w:lastRenderedPageBreak/>
        <w:drawing>
          <wp:anchor distT="0" distB="0" distL="114300" distR="114300" simplePos="0" relativeHeight="251659264" behindDoc="0" locked="0" layoutInCell="1" allowOverlap="1" wp14:anchorId="54CA2396" wp14:editId="57093794">
            <wp:simplePos x="0" y="0"/>
            <wp:positionH relativeFrom="margin">
              <wp:posOffset>28989</wp:posOffset>
            </wp:positionH>
            <wp:positionV relativeFrom="paragraph">
              <wp:posOffset>260709</wp:posOffset>
            </wp:positionV>
            <wp:extent cx="6146525" cy="2170706"/>
            <wp:effectExtent l="0" t="0" r="6985" b="1270"/>
            <wp:wrapTopAndBottom/>
            <wp:docPr id="4" name="Picture 4" descr="cid:image001.png@01D3FEA5.9D94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cid:image001.png@01D3FEA5.9D9457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146525" cy="21707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15A28E" w14:textId="573720C3" w:rsidR="00E412B3" w:rsidRPr="00E90618" w:rsidRDefault="00E90618" w:rsidP="00E90618">
      <w:pPr>
        <w:pStyle w:val="PlainText"/>
      </w:pPr>
      <w:r>
        <w:t xml:space="preserve">Thus, Norwegian women had higher smoking prevalence then Swedish women but much lower than Danish and may therefore have experienced a similar trend as Danish women but at a later point in time (e.g. 1980 instead of 1975) and to a much lesser extent. </w:t>
      </w:r>
    </w:p>
    <w:p w14:paraId="4511722B" w14:textId="77777777" w:rsidR="00E90618" w:rsidRDefault="00E90618" w:rsidP="00E47648">
      <w:pPr>
        <w:pStyle w:val="PlainText"/>
        <w:jc w:val="both"/>
        <w:rPr>
          <w:rFonts w:ascii="Garamond" w:hAnsi="Garamond"/>
          <w:sz w:val="24"/>
          <w:szCs w:val="24"/>
        </w:rPr>
      </w:pPr>
    </w:p>
    <w:p w14:paraId="1BD3F9DA" w14:textId="081C69BF" w:rsidR="0052544D" w:rsidRPr="0052544D" w:rsidRDefault="0052544D" w:rsidP="00E47648">
      <w:pPr>
        <w:pStyle w:val="PlainText"/>
        <w:jc w:val="both"/>
        <w:rPr>
          <w:rFonts w:ascii="Garamond" w:hAnsi="Garamond"/>
          <w:sz w:val="24"/>
          <w:szCs w:val="24"/>
        </w:rPr>
      </w:pPr>
      <w:r w:rsidRPr="0052544D">
        <w:rPr>
          <w:rFonts w:ascii="Garamond" w:hAnsi="Garamond"/>
          <w:sz w:val="24"/>
          <w:szCs w:val="24"/>
        </w:rPr>
        <w:t>Reference:</w:t>
      </w:r>
    </w:p>
    <w:p w14:paraId="72C267F9" w14:textId="077F4DE9" w:rsidR="0052544D" w:rsidRPr="0052544D" w:rsidRDefault="00243568" w:rsidP="0052544D">
      <w:pPr>
        <w:shd w:val="clear" w:color="auto" w:fill="FFFFFF"/>
        <w:spacing w:line="348" w:lineRule="atLeast"/>
        <w:rPr>
          <w:rFonts w:ascii="Garamond" w:eastAsia="Times New Roman" w:hAnsi="Garamond" w:cs="Times New Roman"/>
          <w:szCs w:val="24"/>
        </w:rPr>
      </w:pPr>
      <w:hyperlink r:id="rId12" w:tooltip="European journal of epidemiology." w:history="1">
        <w:r w:rsidR="0052544D" w:rsidRPr="0052544D">
          <w:rPr>
            <w:rFonts w:ascii="Garamond" w:eastAsia="Times New Roman" w:hAnsi="Garamond" w:cs="Times New Roman"/>
            <w:szCs w:val="24"/>
          </w:rPr>
          <w:t>Eur J Epidemiol.</w:t>
        </w:r>
      </w:hyperlink>
      <w:r w:rsidR="0052544D" w:rsidRPr="0052544D">
        <w:rPr>
          <w:rFonts w:ascii="Garamond" w:eastAsia="Times New Roman" w:hAnsi="Garamond" w:cs="Times New Roman"/>
          <w:szCs w:val="24"/>
        </w:rPr>
        <w:t> 2004;19(2):117-21. Women's death in Scandinavia--what makes Denmark different?</w:t>
      </w:r>
      <w:r w:rsidR="0052544D">
        <w:rPr>
          <w:rFonts w:ascii="Garamond" w:eastAsia="Times New Roman" w:hAnsi="Garamond" w:cs="Times New Roman"/>
          <w:szCs w:val="24"/>
        </w:rPr>
        <w:t xml:space="preserve"> </w:t>
      </w:r>
      <w:hyperlink r:id="rId13" w:history="1">
        <w:r w:rsidR="0052544D" w:rsidRPr="0052544D">
          <w:rPr>
            <w:rFonts w:ascii="Garamond" w:eastAsia="Times New Roman" w:hAnsi="Garamond" w:cs="Times New Roman"/>
            <w:szCs w:val="24"/>
          </w:rPr>
          <w:t>Jacobsen R</w:t>
        </w:r>
      </w:hyperlink>
      <w:r w:rsidR="0052544D" w:rsidRPr="0052544D">
        <w:rPr>
          <w:rFonts w:ascii="Garamond" w:eastAsia="Times New Roman" w:hAnsi="Garamond" w:cs="Times New Roman"/>
          <w:szCs w:val="24"/>
        </w:rPr>
        <w:t>1, </w:t>
      </w:r>
      <w:hyperlink r:id="rId14" w:history="1">
        <w:r w:rsidR="0052544D" w:rsidRPr="0052544D">
          <w:rPr>
            <w:rFonts w:ascii="Garamond" w:eastAsia="Times New Roman" w:hAnsi="Garamond" w:cs="Times New Roman"/>
            <w:szCs w:val="24"/>
          </w:rPr>
          <w:t>Von Euler M</w:t>
        </w:r>
      </w:hyperlink>
      <w:r w:rsidR="0052544D" w:rsidRPr="0052544D">
        <w:rPr>
          <w:rFonts w:ascii="Garamond" w:eastAsia="Times New Roman" w:hAnsi="Garamond" w:cs="Times New Roman"/>
          <w:szCs w:val="24"/>
        </w:rPr>
        <w:t>, </w:t>
      </w:r>
      <w:hyperlink r:id="rId15" w:history="1">
        <w:r w:rsidR="0052544D" w:rsidRPr="0052544D">
          <w:rPr>
            <w:rFonts w:ascii="Garamond" w:eastAsia="Times New Roman" w:hAnsi="Garamond" w:cs="Times New Roman"/>
            <w:szCs w:val="24"/>
          </w:rPr>
          <w:t>Osler M</w:t>
        </w:r>
      </w:hyperlink>
      <w:r w:rsidR="0052544D" w:rsidRPr="0052544D">
        <w:rPr>
          <w:rFonts w:ascii="Garamond" w:eastAsia="Times New Roman" w:hAnsi="Garamond" w:cs="Times New Roman"/>
          <w:szCs w:val="24"/>
        </w:rPr>
        <w:t>, </w:t>
      </w:r>
      <w:hyperlink r:id="rId16" w:history="1">
        <w:r w:rsidR="0052544D" w:rsidRPr="0052544D">
          <w:rPr>
            <w:rFonts w:ascii="Garamond" w:eastAsia="Times New Roman" w:hAnsi="Garamond" w:cs="Times New Roman"/>
            <w:szCs w:val="24"/>
          </w:rPr>
          <w:t>Lynge E</w:t>
        </w:r>
      </w:hyperlink>
      <w:r w:rsidR="0052544D" w:rsidRPr="0052544D">
        <w:rPr>
          <w:rFonts w:ascii="Garamond" w:eastAsia="Times New Roman" w:hAnsi="Garamond" w:cs="Times New Roman"/>
          <w:szCs w:val="24"/>
        </w:rPr>
        <w:t>, </w:t>
      </w:r>
      <w:hyperlink r:id="rId17" w:history="1">
        <w:r w:rsidR="0052544D" w:rsidRPr="0052544D">
          <w:rPr>
            <w:rFonts w:ascii="Garamond" w:eastAsia="Times New Roman" w:hAnsi="Garamond" w:cs="Times New Roman"/>
            <w:szCs w:val="24"/>
          </w:rPr>
          <w:t>Keiding N</w:t>
        </w:r>
      </w:hyperlink>
      <w:r w:rsidR="0052544D" w:rsidRPr="0052544D">
        <w:rPr>
          <w:rFonts w:ascii="Garamond" w:eastAsia="Times New Roman" w:hAnsi="Garamond" w:cs="Times New Roman"/>
          <w:szCs w:val="24"/>
        </w:rPr>
        <w:t>.</w:t>
      </w:r>
    </w:p>
    <w:p w14:paraId="1D800F62" w14:textId="6DB65D99" w:rsidR="0052544D" w:rsidRDefault="0052544D" w:rsidP="00E47648">
      <w:pPr>
        <w:pStyle w:val="PlainText"/>
        <w:jc w:val="both"/>
        <w:rPr>
          <w:rFonts w:ascii="Garamond" w:hAnsi="Garamond"/>
          <w:b/>
          <w:sz w:val="24"/>
          <w:szCs w:val="24"/>
        </w:rPr>
      </w:pPr>
    </w:p>
    <w:p w14:paraId="6B0A0610" w14:textId="40F699F9"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2. The findings suggest that smoking-related cancers and non-infectious respiratory diseases had largely driven the stagnation in life expectancy from 1975-1995. Those same causes were responsible for positive contributions to lifespan inequality below age 70 (among women) and negative contributions in older ages—both of which attributed to rising smoking-related mortality across the board. In other words, the negative contributions from smoking were also undesirable, because they resulted from increasing mortality above the young-old threshold age, which the authors acknowledge in the discussion section (p. 11). I suggest introducing this concept earlier in the paper and plotting the threshold age in Fig 2, Panel B to make this point clearer.</w:t>
      </w:r>
    </w:p>
    <w:p w14:paraId="142F76A3" w14:textId="20C1775F" w:rsidR="000A164B" w:rsidRPr="00F30EDE" w:rsidRDefault="000A164B" w:rsidP="00E47648">
      <w:pPr>
        <w:pStyle w:val="PlainText"/>
        <w:jc w:val="both"/>
        <w:rPr>
          <w:rFonts w:ascii="Garamond" w:hAnsi="Garamond"/>
          <w:sz w:val="24"/>
          <w:szCs w:val="24"/>
        </w:rPr>
      </w:pPr>
    </w:p>
    <w:p w14:paraId="390D3195" w14:textId="309E12F9" w:rsidR="000A164B" w:rsidRDefault="000A164B" w:rsidP="00E47648">
      <w:pPr>
        <w:pStyle w:val="PlainText"/>
        <w:jc w:val="both"/>
        <w:rPr>
          <w:rFonts w:ascii="Garamond" w:hAnsi="Garamond"/>
          <w:sz w:val="24"/>
          <w:szCs w:val="24"/>
        </w:rPr>
      </w:pPr>
      <w:r w:rsidRPr="00F30EDE">
        <w:rPr>
          <w:rFonts w:ascii="Garamond" w:hAnsi="Garamond"/>
          <w:sz w:val="24"/>
          <w:szCs w:val="24"/>
        </w:rPr>
        <w:t>Thank</w:t>
      </w:r>
      <w:r w:rsidR="00EE5E0B">
        <w:rPr>
          <w:rFonts w:ascii="Garamond" w:hAnsi="Garamond"/>
          <w:sz w:val="24"/>
          <w:szCs w:val="24"/>
        </w:rPr>
        <w:t xml:space="preserve"> you</w:t>
      </w:r>
      <w:r w:rsidRPr="00F30EDE">
        <w:rPr>
          <w:rFonts w:ascii="Garamond" w:hAnsi="Garamond"/>
          <w:sz w:val="24"/>
          <w:szCs w:val="24"/>
        </w:rPr>
        <w:t xml:space="preserve"> for the suggestion. We now introduce the concept of the threshold age since the Methods section:</w:t>
      </w:r>
    </w:p>
    <w:p w14:paraId="48BB56FE" w14:textId="05C95FC0" w:rsidR="00633CF0" w:rsidRDefault="00633CF0" w:rsidP="00E47648">
      <w:pPr>
        <w:pStyle w:val="PlainText"/>
        <w:jc w:val="both"/>
        <w:rPr>
          <w:rFonts w:ascii="Garamond" w:hAnsi="Garamond"/>
          <w:sz w:val="24"/>
          <w:szCs w:val="24"/>
        </w:rPr>
      </w:pPr>
    </w:p>
    <w:p w14:paraId="196AECF1" w14:textId="19F9D780" w:rsidR="00633CF0" w:rsidRPr="004A5B83" w:rsidRDefault="00633CF0" w:rsidP="004A5B83">
      <w:pPr>
        <w:pStyle w:val="NoSpacing"/>
        <w:rPr>
          <w:rFonts w:ascii="Garamond" w:eastAsia="Times New Roman" w:hAnsi="Garamond" w:cs="Times New Roman"/>
          <w:szCs w:val="24"/>
        </w:rPr>
      </w:pPr>
      <w:r w:rsidRPr="004A5B83">
        <w:rPr>
          <w:rFonts w:ascii="Garamond" w:eastAsia="Times New Roman" w:hAnsi="Garamond" w:cs="Times New Roman"/>
          <w:szCs w:val="24"/>
        </w:rPr>
        <w:t>“</w:t>
      </w:r>
      <w:r w:rsidR="004A5B83" w:rsidRPr="004A5B83">
        <w:rPr>
          <w:rFonts w:ascii="Garamond" w:eastAsia="Times New Roman" w:hAnsi="Garamond" w:cs="Times New Roman"/>
          <w:szCs w:val="24"/>
        </w:rPr>
        <w:t xml:space="preserve">A </w:t>
      </w:r>
      <w:r w:rsidRPr="004A5B83">
        <w:rPr>
          <w:rFonts w:ascii="Garamond" w:eastAsia="Times New Roman" w:hAnsi="Garamond" w:cs="Times New Roman"/>
          <w:szCs w:val="24"/>
        </w:rPr>
        <w:t>particular attribute of lifespan inequality indicators is the threshold age that separates the ‘young-age component’, also called premature mortality, from the ‘old-age component’</w:t>
      </w:r>
      <w:r w:rsidR="00EE5E0B">
        <w:rPr>
          <w:rFonts w:ascii="Garamond" w:eastAsia="Times New Roman" w:hAnsi="Garamond" w:cs="Times New Roman"/>
          <w:szCs w:val="24"/>
        </w:rPr>
        <w:t>.</w:t>
      </w:r>
      <w:r w:rsidRPr="004A5B83">
        <w:rPr>
          <w:rFonts w:ascii="Garamond" w:eastAsia="Times New Roman" w:hAnsi="Garamond" w:cs="Times New Roman"/>
          <w:szCs w:val="24"/>
        </w:rPr>
        <w:t xml:space="preserve"> </w:t>
      </w:r>
      <w:r w:rsidR="00EE5E0B">
        <w:rPr>
          <w:rFonts w:ascii="Garamond" w:eastAsia="Times New Roman" w:hAnsi="Garamond" w:cs="Times New Roman"/>
          <w:szCs w:val="24"/>
        </w:rPr>
        <w:t>S</w:t>
      </w:r>
      <w:r w:rsidRPr="004A5B83">
        <w:rPr>
          <w:rFonts w:ascii="Garamond" w:eastAsia="Times New Roman" w:hAnsi="Garamond" w:cs="Times New Roman"/>
          <w:szCs w:val="24"/>
        </w:rPr>
        <w:t>aving lives at any age result in increasing life expectancy. For lifespan inequality, improvements below the threshold age decreases inequality, while improvements above increase lifespan inequality.</w:t>
      </w:r>
      <w:r w:rsidR="004A5B83" w:rsidRPr="004A5B83">
        <w:rPr>
          <w:rFonts w:ascii="Garamond" w:eastAsia="Times New Roman" w:hAnsi="Garamond" w:cs="Times New Roman"/>
          <w:szCs w:val="24"/>
        </w:rPr>
        <w:t>”</w:t>
      </w:r>
    </w:p>
    <w:p w14:paraId="1E206793" w14:textId="226C5493" w:rsidR="000A164B" w:rsidRPr="00F30EDE" w:rsidRDefault="000A164B" w:rsidP="00E47648">
      <w:pPr>
        <w:pStyle w:val="PlainText"/>
        <w:jc w:val="both"/>
        <w:rPr>
          <w:rFonts w:ascii="Garamond" w:hAnsi="Garamond"/>
          <w:sz w:val="24"/>
          <w:szCs w:val="24"/>
        </w:rPr>
      </w:pPr>
    </w:p>
    <w:p w14:paraId="30F54C4B" w14:textId="75CD127D" w:rsidR="000A164B" w:rsidRPr="00F30EDE" w:rsidRDefault="000A164B" w:rsidP="00E47648">
      <w:pPr>
        <w:pStyle w:val="PlainText"/>
        <w:jc w:val="both"/>
        <w:rPr>
          <w:rFonts w:ascii="Garamond" w:hAnsi="Garamond"/>
          <w:sz w:val="24"/>
          <w:szCs w:val="24"/>
        </w:rPr>
      </w:pPr>
      <w:r w:rsidRPr="00F30EDE">
        <w:rPr>
          <w:rFonts w:ascii="Garamond" w:hAnsi="Garamond"/>
          <w:sz w:val="24"/>
          <w:szCs w:val="24"/>
        </w:rPr>
        <w:t>The corresponding part of Figure 2 now has the threshold age with a dotted line, it looks like:</w:t>
      </w:r>
    </w:p>
    <w:p w14:paraId="178D232A" w14:textId="29B3F9F1" w:rsidR="000A164B" w:rsidRPr="00F30EDE" w:rsidRDefault="000A164B" w:rsidP="00E47648">
      <w:pPr>
        <w:pStyle w:val="PlainText"/>
        <w:jc w:val="both"/>
        <w:rPr>
          <w:rFonts w:ascii="Garamond" w:hAnsi="Garamond"/>
          <w:sz w:val="24"/>
          <w:szCs w:val="24"/>
        </w:rPr>
      </w:pPr>
    </w:p>
    <w:p w14:paraId="788859CE" w14:textId="1C2DB52B" w:rsidR="000A164B" w:rsidRPr="00F30EDE" w:rsidRDefault="000A164B" w:rsidP="00E47648">
      <w:pPr>
        <w:pStyle w:val="PlainText"/>
        <w:jc w:val="both"/>
        <w:rPr>
          <w:rFonts w:ascii="Garamond" w:hAnsi="Garamond"/>
          <w:b/>
          <w:sz w:val="24"/>
          <w:szCs w:val="24"/>
        </w:rPr>
      </w:pPr>
      <w:r w:rsidRPr="00F30EDE">
        <w:rPr>
          <w:rFonts w:ascii="Garamond" w:hAnsi="Garamond"/>
          <w:noProof/>
          <w:sz w:val="24"/>
          <w:szCs w:val="24"/>
        </w:rPr>
        <w:lastRenderedPageBreak/>
        <w:drawing>
          <wp:inline distT="0" distB="0" distL="0" distR="0" wp14:anchorId="208BF0E4" wp14:editId="5E385D3E">
            <wp:extent cx="5943600" cy="270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07640"/>
                    </a:xfrm>
                    <a:prstGeom prst="rect">
                      <a:avLst/>
                    </a:prstGeom>
                  </pic:spPr>
                </pic:pic>
              </a:graphicData>
            </a:graphic>
          </wp:inline>
        </w:drawing>
      </w:r>
    </w:p>
    <w:p w14:paraId="7A978F5E" w14:textId="77777777" w:rsidR="00E412B3" w:rsidRPr="00F30EDE" w:rsidRDefault="00E412B3" w:rsidP="00E47648">
      <w:pPr>
        <w:pStyle w:val="PlainText"/>
        <w:jc w:val="both"/>
        <w:rPr>
          <w:rFonts w:ascii="Garamond" w:hAnsi="Garamond"/>
          <w:b/>
          <w:sz w:val="24"/>
          <w:szCs w:val="24"/>
        </w:rPr>
      </w:pPr>
    </w:p>
    <w:p w14:paraId="2363F738" w14:textId="72D8DCAE" w:rsidR="00E412B3" w:rsidRDefault="00E412B3" w:rsidP="00E47648">
      <w:pPr>
        <w:pStyle w:val="PlainText"/>
        <w:jc w:val="both"/>
        <w:rPr>
          <w:rFonts w:ascii="Garamond" w:hAnsi="Garamond"/>
          <w:b/>
          <w:sz w:val="24"/>
          <w:szCs w:val="24"/>
        </w:rPr>
      </w:pPr>
      <w:r w:rsidRPr="00F30EDE">
        <w:rPr>
          <w:rFonts w:ascii="Garamond" w:hAnsi="Garamond"/>
          <w:b/>
          <w:sz w:val="24"/>
          <w:szCs w:val="24"/>
        </w:rPr>
        <w:t>3. The authors relied on CoV to measure lifespan inequality. However, because this measure is directly dependent on life expectancy, the interpretation of the findings (particularly comparison with other countries) is not always straightforward. For example, the CoV diverged between Denmark and Sweden in the 1980s, but we cannot tell whether the Swedish CoV declined because of absolute reductions in SD (numerator) or simply increases in life expectancy (denominator). Both effects would reduce the CoV, but each corresponds to a different mortality scenario (compression vs. translation). Therefore, I suggest applying alternative measures of lifespan inequality either in the main analyses or to be included in supporting materials.</w:t>
      </w:r>
    </w:p>
    <w:p w14:paraId="0496E1BF" w14:textId="1F50D7E1" w:rsidR="00AA48F7" w:rsidRDefault="00AA48F7" w:rsidP="00E47648">
      <w:pPr>
        <w:pStyle w:val="PlainText"/>
        <w:jc w:val="both"/>
        <w:rPr>
          <w:rFonts w:ascii="Garamond" w:hAnsi="Garamond"/>
          <w:b/>
          <w:sz w:val="24"/>
          <w:szCs w:val="24"/>
        </w:rPr>
      </w:pPr>
    </w:p>
    <w:p w14:paraId="7B768982" w14:textId="36C25E23" w:rsidR="00AA48F7" w:rsidRDefault="00AA48F7" w:rsidP="00E47648">
      <w:pPr>
        <w:pStyle w:val="PlainText"/>
        <w:jc w:val="both"/>
        <w:rPr>
          <w:rFonts w:ascii="Garamond" w:hAnsi="Garamond"/>
          <w:sz w:val="24"/>
          <w:szCs w:val="24"/>
        </w:rPr>
      </w:pPr>
      <w:r w:rsidRPr="00AA48F7">
        <w:rPr>
          <w:rFonts w:ascii="Garamond" w:hAnsi="Garamond"/>
          <w:sz w:val="24"/>
          <w:szCs w:val="24"/>
        </w:rPr>
        <w:t>We thank th</w:t>
      </w:r>
      <w:r>
        <w:rPr>
          <w:rFonts w:ascii="Garamond" w:hAnsi="Garamond"/>
          <w:sz w:val="24"/>
          <w:szCs w:val="24"/>
        </w:rPr>
        <w:t xml:space="preserve">e reviewer for this observation. It is true that lifespan variation indicators </w:t>
      </w:r>
      <w:r w:rsidR="00966300">
        <w:rPr>
          <w:rFonts w:ascii="Garamond" w:hAnsi="Garamond"/>
          <w:sz w:val="24"/>
          <w:szCs w:val="24"/>
        </w:rPr>
        <w:t>differ in</w:t>
      </w:r>
      <w:r>
        <w:rPr>
          <w:rFonts w:ascii="Garamond" w:hAnsi="Garamond"/>
          <w:sz w:val="24"/>
          <w:szCs w:val="24"/>
        </w:rPr>
        <w:t xml:space="preserve"> their properties and interpretations (van Raalte &amp; Caswell 2013). However, the correlation between them is high, almost always above .9 </w:t>
      </w:r>
      <w:r w:rsidR="00966300">
        <w:rPr>
          <w:rFonts w:ascii="Garamond" w:hAnsi="Garamond"/>
          <w:sz w:val="24"/>
          <w:szCs w:val="24"/>
        </w:rPr>
        <w:t xml:space="preserve">in terms </w:t>
      </w:r>
      <w:r>
        <w:rPr>
          <w:rFonts w:ascii="Garamond" w:hAnsi="Garamond"/>
          <w:sz w:val="24"/>
          <w:szCs w:val="24"/>
        </w:rPr>
        <w:t>of Pearson correlation coefficient (Colchero et al 2016), which suggests that the main results would not differ if we ha</w:t>
      </w:r>
      <w:r w:rsidR="00966300">
        <w:rPr>
          <w:rFonts w:ascii="Garamond" w:hAnsi="Garamond"/>
          <w:sz w:val="24"/>
          <w:szCs w:val="24"/>
        </w:rPr>
        <w:t>d</w:t>
      </w:r>
      <w:r>
        <w:rPr>
          <w:rFonts w:ascii="Garamond" w:hAnsi="Garamond"/>
          <w:sz w:val="24"/>
          <w:szCs w:val="24"/>
        </w:rPr>
        <w:t xml:space="preserve"> chosen a different indicator. We chose the coefficient of variation for three main reasons: 1) It is a standard statistical indicator, 2) it is easy to interpret as the relative deviation from the mean of a distribution, 3) and it is dimensionless. Other indicators of relative inequality exist that have been successfully used and decomposed as we do in our paper, for example the Gini coefficient (Scholnikov et al 2013), or Keyftiz’ entropy (Vaupel &amp; Canudas-Romo). </w:t>
      </w:r>
    </w:p>
    <w:p w14:paraId="22F8497A" w14:textId="195F5A9C" w:rsidR="00AA48F7" w:rsidRDefault="00AA48F7" w:rsidP="00E47648">
      <w:pPr>
        <w:pStyle w:val="PlainText"/>
        <w:jc w:val="both"/>
        <w:rPr>
          <w:rFonts w:ascii="Garamond" w:hAnsi="Garamond"/>
          <w:sz w:val="24"/>
          <w:szCs w:val="24"/>
        </w:rPr>
      </w:pPr>
    </w:p>
    <w:p w14:paraId="7A23E23E" w14:textId="5E66F43E" w:rsidR="00AA48F7" w:rsidRDefault="00AA48F7" w:rsidP="00E47648">
      <w:pPr>
        <w:pStyle w:val="PlainText"/>
        <w:jc w:val="both"/>
        <w:rPr>
          <w:rFonts w:ascii="Garamond" w:hAnsi="Garamond"/>
          <w:sz w:val="24"/>
          <w:szCs w:val="24"/>
        </w:rPr>
      </w:pPr>
      <w:r>
        <w:rPr>
          <w:rFonts w:ascii="Garamond" w:hAnsi="Garamond"/>
          <w:sz w:val="24"/>
          <w:szCs w:val="24"/>
        </w:rPr>
        <w:t>On the other hand, there exist indicators of absolute inequality</w:t>
      </w:r>
      <w:r w:rsidR="00B26910">
        <w:rPr>
          <w:rFonts w:ascii="Garamond" w:hAnsi="Garamond"/>
          <w:sz w:val="24"/>
          <w:szCs w:val="24"/>
        </w:rPr>
        <w:t xml:space="preserve"> </w:t>
      </w:r>
      <w:r>
        <w:rPr>
          <w:rFonts w:ascii="Garamond" w:hAnsi="Garamond"/>
          <w:sz w:val="24"/>
          <w:szCs w:val="24"/>
        </w:rPr>
        <w:t xml:space="preserve">not divided by the mean, that </w:t>
      </w:r>
      <w:r w:rsidR="003C3EA3">
        <w:rPr>
          <w:rFonts w:ascii="Garamond" w:hAnsi="Garamond"/>
          <w:sz w:val="24"/>
          <w:szCs w:val="24"/>
        </w:rPr>
        <w:t xml:space="preserve">have </w:t>
      </w:r>
      <w:r>
        <w:rPr>
          <w:rFonts w:ascii="Garamond" w:hAnsi="Garamond"/>
          <w:sz w:val="24"/>
          <w:szCs w:val="24"/>
        </w:rPr>
        <w:t xml:space="preserve">the advantage of being interpreted in years rather than units. For example, life disparity (Vaupel et al </w:t>
      </w:r>
      <w:r w:rsidR="003C3EA3">
        <w:rPr>
          <w:rFonts w:ascii="Garamond" w:hAnsi="Garamond"/>
          <w:sz w:val="24"/>
          <w:szCs w:val="24"/>
        </w:rPr>
        <w:t>2011), the standard deviation and</w:t>
      </w:r>
      <w:r>
        <w:rPr>
          <w:rFonts w:ascii="Garamond" w:hAnsi="Garamond"/>
          <w:sz w:val="24"/>
          <w:szCs w:val="24"/>
        </w:rPr>
        <w:t xml:space="preserve"> the variance of the age at death distribution (Edwards &amp; Tuljapurkar 2005)</w:t>
      </w:r>
      <w:r w:rsidR="003C3EA3">
        <w:rPr>
          <w:rFonts w:ascii="Garamond" w:hAnsi="Garamond"/>
          <w:sz w:val="24"/>
          <w:szCs w:val="24"/>
        </w:rPr>
        <w:t xml:space="preserve">. In order to test the robustness of our results, we replicated the main figures of our paper using the standard deviation of the age at death distribution, which as you noted, is the numerator of the coefficient of variation. </w:t>
      </w:r>
    </w:p>
    <w:p w14:paraId="32DF564D" w14:textId="6D572008" w:rsidR="003C3EA3" w:rsidRDefault="003C3EA3" w:rsidP="00E47648">
      <w:pPr>
        <w:pStyle w:val="PlainText"/>
        <w:jc w:val="both"/>
        <w:rPr>
          <w:rFonts w:ascii="Garamond" w:hAnsi="Garamond"/>
          <w:sz w:val="24"/>
          <w:szCs w:val="24"/>
        </w:rPr>
      </w:pPr>
    </w:p>
    <w:p w14:paraId="4274CC37" w14:textId="0A67AFD5" w:rsidR="003C3EA3" w:rsidRDefault="008B1196" w:rsidP="00E47648">
      <w:pPr>
        <w:pStyle w:val="PlainText"/>
        <w:jc w:val="both"/>
        <w:rPr>
          <w:rFonts w:ascii="Garamond" w:hAnsi="Garamond"/>
          <w:sz w:val="24"/>
          <w:szCs w:val="24"/>
        </w:rPr>
      </w:pPr>
      <w:r>
        <w:rPr>
          <w:rFonts w:ascii="Garamond" w:hAnsi="Garamond"/>
          <w:sz w:val="24"/>
          <w:szCs w:val="24"/>
        </w:rPr>
        <w:t xml:space="preserve">Figure 1 below shows trends in the standard deviation for Sweden and Denmark. Although the levels differ, the results in trends do not differ as the trends shown in the coefficient of variation. Figure 2 and 3 show the age and cause-decomposition over time of the standard deviation for females and males, respectively. As with the coefficient of variation, infant mortality was the main driver of trends </w:t>
      </w:r>
      <w:r>
        <w:rPr>
          <w:rFonts w:ascii="Garamond" w:hAnsi="Garamond"/>
          <w:sz w:val="24"/>
          <w:szCs w:val="24"/>
        </w:rPr>
        <w:lastRenderedPageBreak/>
        <w:t>in lifespan variation before 1995. In the period of stagnation, the differences are very small compared to the coefficient of variation. Moreover, at ages above 70 the effect of smoking-related mortality is slightly higher for females, but undesirable, as you pointed out in another suggestion. Finally, figure 4 shows the difference between Sweden and Denmark in the standard deviation. Results are very similar indic</w:t>
      </w:r>
      <w:r w:rsidR="00B26910">
        <w:rPr>
          <w:rFonts w:ascii="Garamond" w:hAnsi="Garamond"/>
          <w:sz w:val="24"/>
          <w:szCs w:val="24"/>
        </w:rPr>
        <w:t>a</w:t>
      </w:r>
      <w:r>
        <w:rPr>
          <w:rFonts w:ascii="Garamond" w:hAnsi="Garamond"/>
          <w:sz w:val="24"/>
          <w:szCs w:val="24"/>
        </w:rPr>
        <w:t>ting the clear policy target that we propose in the manuscript: Denmark could reduce inequality of lifespans and increase life expectancy by focusing on reducing infant and cancer mortality.</w:t>
      </w:r>
    </w:p>
    <w:p w14:paraId="68F7BA52" w14:textId="493D2F76" w:rsidR="008B1196" w:rsidRDefault="008B1196" w:rsidP="00E47648">
      <w:pPr>
        <w:pStyle w:val="PlainText"/>
        <w:jc w:val="both"/>
        <w:rPr>
          <w:rFonts w:ascii="Garamond" w:hAnsi="Garamond"/>
          <w:sz w:val="24"/>
          <w:szCs w:val="24"/>
        </w:rPr>
      </w:pPr>
    </w:p>
    <w:p w14:paraId="15D4CBEA" w14:textId="424DC2BF" w:rsidR="003C3EA3" w:rsidRDefault="008B1196" w:rsidP="00E47648">
      <w:pPr>
        <w:pStyle w:val="PlainText"/>
        <w:jc w:val="both"/>
        <w:rPr>
          <w:rFonts w:ascii="Garamond" w:hAnsi="Garamond"/>
          <w:sz w:val="24"/>
          <w:szCs w:val="24"/>
        </w:rPr>
      </w:pPr>
      <w:r>
        <w:rPr>
          <w:rFonts w:ascii="Garamond" w:hAnsi="Garamond"/>
          <w:sz w:val="24"/>
          <w:szCs w:val="24"/>
        </w:rPr>
        <w:t xml:space="preserve">To alleviate any concern to the reader we have included these results in the supplementary material and added a couple of sentences in the methods section regarding the properties of </w:t>
      </w:r>
      <w:r w:rsidR="00551DE7">
        <w:rPr>
          <w:rFonts w:ascii="Garamond" w:hAnsi="Garamond"/>
          <w:sz w:val="24"/>
          <w:szCs w:val="24"/>
        </w:rPr>
        <w:t>lifespan variation indicators. In addition, we acknowledge doing this sensitivity analysis in the discussion section and refer the reader to the supplementary material.</w:t>
      </w:r>
    </w:p>
    <w:p w14:paraId="1B4E51AE" w14:textId="0985A675" w:rsidR="003C3EA3" w:rsidRDefault="003C3EA3" w:rsidP="00E47648">
      <w:pPr>
        <w:pStyle w:val="PlainText"/>
        <w:jc w:val="both"/>
        <w:rPr>
          <w:rFonts w:ascii="Garamond" w:hAnsi="Garamond"/>
          <w:sz w:val="24"/>
          <w:szCs w:val="24"/>
        </w:rPr>
      </w:pPr>
    </w:p>
    <w:p w14:paraId="5321E765" w14:textId="66391901" w:rsidR="003C3EA3" w:rsidRDefault="003C3EA3" w:rsidP="00E47648">
      <w:pPr>
        <w:pStyle w:val="PlainText"/>
        <w:jc w:val="both"/>
        <w:rPr>
          <w:rFonts w:ascii="Garamond" w:hAnsi="Garamond"/>
          <w:sz w:val="24"/>
          <w:szCs w:val="24"/>
        </w:rPr>
      </w:pPr>
    </w:p>
    <w:p w14:paraId="263ED9CE" w14:textId="747EF0F4" w:rsidR="003C3EA3" w:rsidRDefault="003C3EA3" w:rsidP="00E47648">
      <w:pPr>
        <w:pStyle w:val="PlainText"/>
        <w:jc w:val="both"/>
        <w:rPr>
          <w:rFonts w:ascii="Garamond" w:hAnsi="Garamond"/>
          <w:sz w:val="24"/>
          <w:szCs w:val="24"/>
        </w:rPr>
      </w:pPr>
      <w:r>
        <w:rPr>
          <w:rFonts w:ascii="Garamond" w:hAnsi="Garamond"/>
          <w:sz w:val="24"/>
          <w:szCs w:val="24"/>
        </w:rPr>
        <w:t>Figure 1. Trends in the standard deviation for Sweden</w:t>
      </w:r>
      <w:r w:rsidR="00105D49">
        <w:rPr>
          <w:rFonts w:ascii="Garamond" w:hAnsi="Garamond"/>
          <w:sz w:val="24"/>
          <w:szCs w:val="24"/>
        </w:rPr>
        <w:t xml:space="preserve"> (green)</w:t>
      </w:r>
      <w:r>
        <w:rPr>
          <w:rFonts w:ascii="Garamond" w:hAnsi="Garamond"/>
          <w:sz w:val="24"/>
          <w:szCs w:val="24"/>
        </w:rPr>
        <w:t xml:space="preserve"> and Denmark</w:t>
      </w:r>
      <w:r w:rsidR="00105D49">
        <w:rPr>
          <w:rFonts w:ascii="Garamond" w:hAnsi="Garamond"/>
          <w:sz w:val="24"/>
          <w:szCs w:val="24"/>
        </w:rPr>
        <w:t xml:space="preserve"> (red)</w:t>
      </w:r>
      <w:r>
        <w:rPr>
          <w:rFonts w:ascii="Garamond" w:hAnsi="Garamond"/>
          <w:sz w:val="24"/>
          <w:szCs w:val="24"/>
        </w:rPr>
        <w:t>.</w:t>
      </w:r>
    </w:p>
    <w:p w14:paraId="3781399F" w14:textId="5F6901E4" w:rsidR="003C3EA3" w:rsidRDefault="003C3EA3" w:rsidP="00E47648">
      <w:pPr>
        <w:pStyle w:val="PlainText"/>
        <w:jc w:val="both"/>
        <w:rPr>
          <w:rFonts w:ascii="Garamond" w:hAnsi="Garamond"/>
          <w:sz w:val="24"/>
          <w:szCs w:val="24"/>
        </w:rPr>
      </w:pPr>
      <w:r>
        <w:rPr>
          <w:noProof/>
        </w:rPr>
        <w:drawing>
          <wp:inline distT="0" distB="0" distL="0" distR="0" wp14:anchorId="4AE771DB" wp14:editId="6B20A39E">
            <wp:extent cx="5943600" cy="3293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93110"/>
                    </a:xfrm>
                    <a:prstGeom prst="rect">
                      <a:avLst/>
                    </a:prstGeom>
                  </pic:spPr>
                </pic:pic>
              </a:graphicData>
            </a:graphic>
          </wp:inline>
        </w:drawing>
      </w:r>
    </w:p>
    <w:p w14:paraId="5A7A8016" w14:textId="31445C41" w:rsidR="003C3EA3" w:rsidRDefault="003C3EA3" w:rsidP="00E47648">
      <w:pPr>
        <w:pStyle w:val="PlainText"/>
        <w:jc w:val="both"/>
        <w:rPr>
          <w:rFonts w:ascii="Garamond" w:hAnsi="Garamond"/>
          <w:sz w:val="24"/>
          <w:szCs w:val="24"/>
        </w:rPr>
      </w:pPr>
    </w:p>
    <w:p w14:paraId="2693FE0F" w14:textId="79609735" w:rsidR="003C3EA3" w:rsidRDefault="003C3EA3" w:rsidP="00E47648">
      <w:pPr>
        <w:pStyle w:val="PlainText"/>
        <w:jc w:val="both"/>
        <w:rPr>
          <w:rFonts w:ascii="Garamond" w:hAnsi="Garamond"/>
          <w:sz w:val="24"/>
          <w:szCs w:val="24"/>
        </w:rPr>
      </w:pPr>
    </w:p>
    <w:p w14:paraId="5FD6B91F" w14:textId="77777777" w:rsidR="00551DE7" w:rsidRDefault="00551DE7">
      <w:pPr>
        <w:rPr>
          <w:rFonts w:ascii="Garamond" w:eastAsia="Times New Roman" w:hAnsi="Garamond" w:cs="Times New Roman"/>
          <w:szCs w:val="24"/>
        </w:rPr>
      </w:pPr>
      <w:r>
        <w:rPr>
          <w:rFonts w:ascii="Garamond" w:hAnsi="Garamond"/>
          <w:szCs w:val="24"/>
        </w:rPr>
        <w:br w:type="page"/>
      </w:r>
    </w:p>
    <w:p w14:paraId="0995B648" w14:textId="0782E9B3" w:rsidR="003C3EA3" w:rsidRDefault="001F5284" w:rsidP="00E47648">
      <w:pPr>
        <w:pStyle w:val="PlainText"/>
        <w:jc w:val="both"/>
        <w:rPr>
          <w:rFonts w:ascii="Garamond" w:hAnsi="Garamond"/>
          <w:sz w:val="24"/>
          <w:szCs w:val="24"/>
        </w:rPr>
      </w:pPr>
      <w:r>
        <w:rPr>
          <w:rFonts w:ascii="Garamond" w:hAnsi="Garamond"/>
          <w:sz w:val="24"/>
          <w:szCs w:val="24"/>
        </w:rPr>
        <w:lastRenderedPageBreak/>
        <w:t>Figure 2. Age and cause-decomposition of the</w:t>
      </w:r>
      <w:r w:rsidR="00105D49">
        <w:rPr>
          <w:rFonts w:ascii="Garamond" w:hAnsi="Garamond"/>
          <w:sz w:val="24"/>
          <w:szCs w:val="24"/>
        </w:rPr>
        <w:t xml:space="preserve"> changes in the</w:t>
      </w:r>
      <w:r>
        <w:rPr>
          <w:rFonts w:ascii="Garamond" w:hAnsi="Garamond"/>
          <w:sz w:val="24"/>
          <w:szCs w:val="24"/>
        </w:rPr>
        <w:t xml:space="preserve"> standard deviation for Danish females. Note: the age zero is truncated for visualization purposes.</w:t>
      </w:r>
    </w:p>
    <w:p w14:paraId="00770A12" w14:textId="7F30E64B" w:rsidR="003C3EA3" w:rsidRDefault="003C3EA3" w:rsidP="00E47648">
      <w:pPr>
        <w:pStyle w:val="PlainText"/>
        <w:jc w:val="both"/>
        <w:rPr>
          <w:rFonts w:ascii="Garamond" w:hAnsi="Garamond"/>
          <w:sz w:val="24"/>
          <w:szCs w:val="24"/>
        </w:rPr>
      </w:pPr>
      <w:r>
        <w:rPr>
          <w:noProof/>
        </w:rPr>
        <w:drawing>
          <wp:inline distT="0" distB="0" distL="0" distR="0" wp14:anchorId="11FFCDED" wp14:editId="516A5510">
            <wp:extent cx="5943600" cy="2650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0490"/>
                    </a:xfrm>
                    <a:prstGeom prst="rect">
                      <a:avLst/>
                    </a:prstGeom>
                  </pic:spPr>
                </pic:pic>
              </a:graphicData>
            </a:graphic>
          </wp:inline>
        </w:drawing>
      </w:r>
    </w:p>
    <w:p w14:paraId="352A3DC2" w14:textId="192AEB38" w:rsidR="003C3EA3" w:rsidRDefault="003C3EA3" w:rsidP="00E47648">
      <w:pPr>
        <w:pStyle w:val="PlainText"/>
        <w:jc w:val="both"/>
        <w:rPr>
          <w:rFonts w:ascii="Garamond" w:hAnsi="Garamond"/>
          <w:sz w:val="24"/>
          <w:szCs w:val="24"/>
        </w:rPr>
      </w:pPr>
    </w:p>
    <w:p w14:paraId="1E8E7121" w14:textId="01E2A501" w:rsidR="003C3EA3" w:rsidRDefault="003C3EA3" w:rsidP="00E47648">
      <w:pPr>
        <w:pStyle w:val="PlainText"/>
        <w:jc w:val="both"/>
        <w:rPr>
          <w:rFonts w:ascii="Garamond" w:hAnsi="Garamond"/>
          <w:sz w:val="24"/>
          <w:szCs w:val="24"/>
        </w:rPr>
      </w:pPr>
    </w:p>
    <w:p w14:paraId="6EE0C597" w14:textId="6CB37F70" w:rsidR="001F5284" w:rsidRDefault="001F5284" w:rsidP="00E47648">
      <w:pPr>
        <w:pStyle w:val="PlainText"/>
        <w:jc w:val="both"/>
        <w:rPr>
          <w:rFonts w:ascii="Garamond" w:hAnsi="Garamond"/>
          <w:sz w:val="24"/>
          <w:szCs w:val="24"/>
        </w:rPr>
      </w:pPr>
    </w:p>
    <w:p w14:paraId="3D2CD2A4" w14:textId="1E27C1E7" w:rsidR="001F5284" w:rsidRDefault="001F5284" w:rsidP="00E47648">
      <w:pPr>
        <w:pStyle w:val="PlainText"/>
        <w:jc w:val="both"/>
        <w:rPr>
          <w:rFonts w:ascii="Garamond" w:hAnsi="Garamond"/>
          <w:sz w:val="24"/>
          <w:szCs w:val="24"/>
        </w:rPr>
      </w:pPr>
    </w:p>
    <w:p w14:paraId="76468252" w14:textId="77CE1457" w:rsidR="001F5284" w:rsidRDefault="001F5284" w:rsidP="00E47648">
      <w:pPr>
        <w:pStyle w:val="PlainText"/>
        <w:jc w:val="both"/>
        <w:rPr>
          <w:rFonts w:ascii="Garamond" w:hAnsi="Garamond"/>
          <w:sz w:val="24"/>
          <w:szCs w:val="24"/>
        </w:rPr>
      </w:pPr>
    </w:p>
    <w:p w14:paraId="37EF3D19" w14:textId="50BF7FEB" w:rsidR="001F5284" w:rsidRDefault="001F5284" w:rsidP="00E47648">
      <w:pPr>
        <w:pStyle w:val="PlainText"/>
        <w:jc w:val="both"/>
        <w:rPr>
          <w:rFonts w:ascii="Garamond" w:hAnsi="Garamond"/>
          <w:sz w:val="24"/>
          <w:szCs w:val="24"/>
        </w:rPr>
      </w:pPr>
      <w:r>
        <w:rPr>
          <w:rFonts w:ascii="Garamond" w:hAnsi="Garamond"/>
          <w:sz w:val="24"/>
          <w:szCs w:val="24"/>
        </w:rPr>
        <w:t xml:space="preserve">Figure 3. Age and cause-decomposition of the </w:t>
      </w:r>
      <w:r w:rsidR="00105D49">
        <w:rPr>
          <w:rFonts w:ascii="Garamond" w:hAnsi="Garamond"/>
          <w:sz w:val="24"/>
          <w:szCs w:val="24"/>
        </w:rPr>
        <w:t xml:space="preserve">changes in the </w:t>
      </w:r>
      <w:r>
        <w:rPr>
          <w:rFonts w:ascii="Garamond" w:hAnsi="Garamond"/>
          <w:sz w:val="24"/>
          <w:szCs w:val="24"/>
        </w:rPr>
        <w:t>standard deviation for Danish males. Note: the age zero is truncated for visualization purposes.</w:t>
      </w:r>
    </w:p>
    <w:p w14:paraId="274CF081" w14:textId="7642797E" w:rsidR="003C3EA3" w:rsidRDefault="003C3EA3" w:rsidP="00E47648">
      <w:pPr>
        <w:pStyle w:val="PlainText"/>
        <w:jc w:val="both"/>
        <w:rPr>
          <w:rFonts w:ascii="Garamond" w:hAnsi="Garamond"/>
          <w:sz w:val="24"/>
          <w:szCs w:val="24"/>
        </w:rPr>
      </w:pPr>
      <w:r>
        <w:rPr>
          <w:noProof/>
        </w:rPr>
        <w:drawing>
          <wp:inline distT="0" distB="0" distL="0" distR="0" wp14:anchorId="476799C5" wp14:editId="543D4E18">
            <wp:extent cx="59436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76525"/>
                    </a:xfrm>
                    <a:prstGeom prst="rect">
                      <a:avLst/>
                    </a:prstGeom>
                  </pic:spPr>
                </pic:pic>
              </a:graphicData>
            </a:graphic>
          </wp:inline>
        </w:drawing>
      </w:r>
    </w:p>
    <w:p w14:paraId="67F5CEDB" w14:textId="77777777" w:rsidR="001F5284" w:rsidRDefault="001F5284" w:rsidP="00E47648">
      <w:pPr>
        <w:pStyle w:val="PlainText"/>
        <w:jc w:val="both"/>
        <w:rPr>
          <w:rFonts w:ascii="Garamond" w:hAnsi="Garamond"/>
          <w:sz w:val="24"/>
          <w:szCs w:val="24"/>
        </w:rPr>
      </w:pPr>
    </w:p>
    <w:p w14:paraId="7C5C9239" w14:textId="77777777" w:rsidR="001F5284" w:rsidRDefault="001F5284" w:rsidP="00E47648">
      <w:pPr>
        <w:pStyle w:val="PlainText"/>
        <w:jc w:val="both"/>
        <w:rPr>
          <w:rFonts w:ascii="Garamond" w:hAnsi="Garamond"/>
          <w:sz w:val="24"/>
          <w:szCs w:val="24"/>
        </w:rPr>
      </w:pPr>
    </w:p>
    <w:p w14:paraId="28C519A8" w14:textId="77777777" w:rsidR="00551DE7" w:rsidRDefault="00551DE7">
      <w:pPr>
        <w:rPr>
          <w:rFonts w:ascii="Garamond" w:eastAsia="Times New Roman" w:hAnsi="Garamond" w:cs="Times New Roman"/>
          <w:szCs w:val="24"/>
        </w:rPr>
      </w:pPr>
      <w:r>
        <w:rPr>
          <w:rFonts w:ascii="Garamond" w:hAnsi="Garamond"/>
          <w:szCs w:val="24"/>
        </w:rPr>
        <w:br w:type="page"/>
      </w:r>
    </w:p>
    <w:p w14:paraId="6D0EC466" w14:textId="1F529372" w:rsidR="003C3EA3" w:rsidRPr="00AA48F7" w:rsidRDefault="00C96318" w:rsidP="00E47648">
      <w:pPr>
        <w:pStyle w:val="PlainText"/>
        <w:jc w:val="both"/>
        <w:rPr>
          <w:rFonts w:ascii="Garamond" w:hAnsi="Garamond"/>
          <w:sz w:val="24"/>
          <w:szCs w:val="24"/>
        </w:rPr>
      </w:pPr>
      <w:r>
        <w:rPr>
          <w:rFonts w:ascii="Garamond" w:hAnsi="Garamond"/>
          <w:sz w:val="24"/>
          <w:szCs w:val="24"/>
        </w:rPr>
        <w:lastRenderedPageBreak/>
        <w:t>Figure 4</w:t>
      </w:r>
      <w:r w:rsidR="001F5284">
        <w:rPr>
          <w:rFonts w:ascii="Garamond" w:hAnsi="Garamond"/>
          <w:sz w:val="24"/>
          <w:szCs w:val="24"/>
        </w:rPr>
        <w:t>. Age and cause-decomposition of the difference in the standard deviation between Denmark and Sweden 2014.</w:t>
      </w:r>
    </w:p>
    <w:p w14:paraId="4D0FF2BD" w14:textId="34789699" w:rsidR="00E412B3" w:rsidRPr="00F30EDE" w:rsidRDefault="003C3EA3" w:rsidP="00E47648">
      <w:pPr>
        <w:pStyle w:val="PlainText"/>
        <w:jc w:val="both"/>
        <w:rPr>
          <w:rFonts w:ascii="Garamond" w:hAnsi="Garamond"/>
          <w:b/>
          <w:sz w:val="24"/>
          <w:szCs w:val="24"/>
        </w:rPr>
      </w:pPr>
      <w:r>
        <w:rPr>
          <w:noProof/>
        </w:rPr>
        <w:drawing>
          <wp:inline distT="0" distB="0" distL="0" distR="0" wp14:anchorId="113647BF" wp14:editId="548B844F">
            <wp:extent cx="5943600" cy="293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38145"/>
                    </a:xfrm>
                    <a:prstGeom prst="rect">
                      <a:avLst/>
                    </a:prstGeom>
                  </pic:spPr>
                </pic:pic>
              </a:graphicData>
            </a:graphic>
          </wp:inline>
        </w:drawing>
      </w:r>
    </w:p>
    <w:p w14:paraId="0DD886F4" w14:textId="77777777" w:rsidR="001F5284" w:rsidRDefault="001F5284" w:rsidP="00E47648">
      <w:pPr>
        <w:pStyle w:val="PlainText"/>
        <w:jc w:val="both"/>
        <w:rPr>
          <w:rFonts w:ascii="Garamond" w:hAnsi="Garamond"/>
          <w:b/>
          <w:sz w:val="24"/>
          <w:szCs w:val="24"/>
        </w:rPr>
      </w:pPr>
    </w:p>
    <w:p w14:paraId="77E01CDD" w14:textId="33060AB3" w:rsidR="00E412B3" w:rsidRDefault="00E412B3" w:rsidP="00E47648">
      <w:pPr>
        <w:pStyle w:val="PlainText"/>
        <w:jc w:val="both"/>
        <w:rPr>
          <w:rFonts w:ascii="Garamond" w:hAnsi="Garamond"/>
          <w:b/>
          <w:sz w:val="24"/>
          <w:szCs w:val="24"/>
        </w:rPr>
      </w:pPr>
      <w:r w:rsidRPr="00F30EDE">
        <w:rPr>
          <w:rFonts w:ascii="Garamond" w:hAnsi="Garamond"/>
          <w:b/>
          <w:sz w:val="24"/>
          <w:szCs w:val="24"/>
        </w:rPr>
        <w:t>4. It appears that non-smoking cancers also contributed to reductions in life expectancy and increases in lifespan inequality during the 1975-1995 period. Can the authors explore this further? Is this because their definition of smoking-related cancers was conservative, as explained in the Supplementary Materials, so some of the effect of smoking is captured in the remaining cancers? Or was there an overall cancer crisis (e.g., diagnosis, treatment) going on in Denmark? This is relevant to the interventions discussed at the end of the paper.</w:t>
      </w:r>
    </w:p>
    <w:p w14:paraId="09D53C70" w14:textId="6E79FD32" w:rsidR="00F1203F" w:rsidRDefault="00F1203F" w:rsidP="00E47648">
      <w:pPr>
        <w:pStyle w:val="PlainText"/>
        <w:jc w:val="both"/>
        <w:rPr>
          <w:rFonts w:ascii="Garamond" w:hAnsi="Garamond"/>
          <w:b/>
          <w:sz w:val="24"/>
          <w:szCs w:val="24"/>
        </w:rPr>
      </w:pPr>
    </w:p>
    <w:p w14:paraId="30FFBE92" w14:textId="22273A05" w:rsidR="00785F17" w:rsidRDefault="00785F17" w:rsidP="00785F17">
      <w:pPr>
        <w:pStyle w:val="PlainText"/>
        <w:rPr>
          <w:rFonts w:ascii="Garamond" w:hAnsi="Garamond"/>
          <w:sz w:val="24"/>
          <w:szCs w:val="24"/>
        </w:rPr>
      </w:pPr>
      <w:r w:rsidRPr="00BE0F3F">
        <w:rPr>
          <w:rFonts w:ascii="Garamond" w:hAnsi="Garamond"/>
          <w:sz w:val="24"/>
          <w:szCs w:val="24"/>
        </w:rPr>
        <w:t>This is a</w:t>
      </w:r>
      <w:r w:rsidR="006C05B2" w:rsidRPr="00BE0F3F">
        <w:rPr>
          <w:rFonts w:ascii="Garamond" w:hAnsi="Garamond"/>
          <w:sz w:val="24"/>
          <w:szCs w:val="24"/>
        </w:rPr>
        <w:t xml:space="preserve"> challenging</w:t>
      </w:r>
      <w:r w:rsidRPr="00BE0F3F">
        <w:rPr>
          <w:rFonts w:ascii="Garamond" w:hAnsi="Garamond"/>
          <w:sz w:val="24"/>
          <w:szCs w:val="24"/>
        </w:rPr>
        <w:t xml:space="preserve"> question</w:t>
      </w:r>
      <w:r w:rsidR="006C05B2" w:rsidRPr="00BE0F3F">
        <w:rPr>
          <w:rFonts w:ascii="Garamond" w:hAnsi="Garamond"/>
          <w:sz w:val="24"/>
          <w:szCs w:val="24"/>
        </w:rPr>
        <w:t xml:space="preserve"> with various potential explanations, some of which were already given by the reviewer. </w:t>
      </w:r>
      <w:r w:rsidRPr="00BE0F3F">
        <w:rPr>
          <w:rFonts w:ascii="Garamond" w:hAnsi="Garamond"/>
          <w:sz w:val="24"/>
          <w:szCs w:val="24"/>
        </w:rPr>
        <w:t>The conservative definition of smoking-related cancers</w:t>
      </w:r>
      <w:r w:rsidR="006C05B2" w:rsidRPr="00BE0F3F">
        <w:rPr>
          <w:rFonts w:ascii="Garamond" w:hAnsi="Garamond"/>
          <w:sz w:val="24"/>
          <w:szCs w:val="24"/>
        </w:rPr>
        <w:t xml:space="preserve"> is one of them</w:t>
      </w:r>
      <w:r w:rsidRPr="00BE0F3F">
        <w:rPr>
          <w:rFonts w:ascii="Garamond" w:hAnsi="Garamond"/>
          <w:sz w:val="24"/>
          <w:szCs w:val="24"/>
        </w:rPr>
        <w:t>.</w:t>
      </w:r>
      <w:r w:rsidR="006C05B2" w:rsidRPr="00BE0F3F">
        <w:rPr>
          <w:rFonts w:ascii="Garamond" w:hAnsi="Garamond"/>
          <w:sz w:val="24"/>
          <w:szCs w:val="24"/>
        </w:rPr>
        <w:t xml:space="preserve"> Competing risks is another: people who </w:t>
      </w:r>
      <w:r w:rsidR="00BE0F3F" w:rsidRPr="00BE0F3F">
        <w:rPr>
          <w:rFonts w:ascii="Garamond" w:hAnsi="Garamond"/>
          <w:sz w:val="24"/>
          <w:szCs w:val="24"/>
        </w:rPr>
        <w:t>previously</w:t>
      </w:r>
      <w:r w:rsidR="006C05B2" w:rsidRPr="00BE0F3F">
        <w:rPr>
          <w:rFonts w:ascii="Garamond" w:hAnsi="Garamond"/>
          <w:sz w:val="24"/>
          <w:szCs w:val="24"/>
        </w:rPr>
        <w:t xml:space="preserve"> die</w:t>
      </w:r>
      <w:r w:rsidR="00BE0F3F" w:rsidRPr="00BE0F3F">
        <w:rPr>
          <w:rFonts w:ascii="Garamond" w:hAnsi="Garamond"/>
          <w:sz w:val="24"/>
          <w:szCs w:val="24"/>
        </w:rPr>
        <w:t>d</w:t>
      </w:r>
      <w:r w:rsidR="006C05B2" w:rsidRPr="00BE0F3F">
        <w:rPr>
          <w:rFonts w:ascii="Garamond" w:hAnsi="Garamond"/>
          <w:sz w:val="24"/>
          <w:szCs w:val="24"/>
        </w:rPr>
        <w:t xml:space="preserve"> of other causes now die of cancer, and these increased cancer rates would show up as holding back life expectancy. In this respect, we note that non-smoking related cancer was on the rise also in Sweden</w:t>
      </w:r>
      <w:r w:rsidR="00BE0F3F" w:rsidRPr="00BE0F3F">
        <w:rPr>
          <w:rFonts w:ascii="Garamond" w:hAnsi="Garamond"/>
          <w:sz w:val="24"/>
          <w:szCs w:val="24"/>
        </w:rPr>
        <w:t>, so it is likely not a phenomenon specific to Denmark</w:t>
      </w:r>
      <w:r w:rsidR="00BE0F3F">
        <w:rPr>
          <w:rFonts w:ascii="Garamond" w:hAnsi="Garamond"/>
          <w:sz w:val="24"/>
          <w:szCs w:val="24"/>
        </w:rPr>
        <w:t xml:space="preserve">. Specifically </w:t>
      </w:r>
      <w:r w:rsidR="00BE0F3F" w:rsidRPr="00BE0F3F">
        <w:rPr>
          <w:rFonts w:ascii="Garamond" w:hAnsi="Garamond"/>
          <w:sz w:val="24"/>
          <w:szCs w:val="24"/>
        </w:rPr>
        <w:t>for Danish females</w:t>
      </w:r>
      <w:r w:rsidR="00BE0F3F">
        <w:rPr>
          <w:rFonts w:ascii="Garamond" w:hAnsi="Garamond"/>
          <w:sz w:val="24"/>
          <w:szCs w:val="24"/>
        </w:rPr>
        <w:t>,</w:t>
      </w:r>
      <w:r w:rsidR="006C05B2" w:rsidRPr="00BE0F3F">
        <w:rPr>
          <w:rFonts w:ascii="Garamond" w:hAnsi="Garamond"/>
          <w:sz w:val="24"/>
          <w:szCs w:val="24"/>
        </w:rPr>
        <w:t xml:space="preserve"> o</w:t>
      </w:r>
      <w:r w:rsidRPr="00BE0F3F">
        <w:rPr>
          <w:rFonts w:ascii="Garamond" w:hAnsi="Garamond"/>
          <w:sz w:val="24"/>
          <w:szCs w:val="24"/>
        </w:rPr>
        <w:t>ther risk-taking behavior may have led to increased cancer rates</w:t>
      </w:r>
      <w:r w:rsidR="006C05B2" w:rsidRPr="00BE0F3F">
        <w:rPr>
          <w:rFonts w:ascii="Garamond" w:hAnsi="Garamond"/>
          <w:sz w:val="24"/>
          <w:szCs w:val="24"/>
        </w:rPr>
        <w:t xml:space="preserve"> in general</w:t>
      </w:r>
      <w:r w:rsidRPr="00BE0F3F">
        <w:rPr>
          <w:rFonts w:ascii="Garamond" w:hAnsi="Garamond"/>
          <w:sz w:val="24"/>
          <w:szCs w:val="24"/>
        </w:rPr>
        <w:t>.</w:t>
      </w:r>
      <w:r w:rsidR="00BE0F3F" w:rsidRPr="00BE0F3F">
        <w:rPr>
          <w:rFonts w:ascii="Garamond" w:hAnsi="Garamond"/>
          <w:sz w:val="24"/>
          <w:szCs w:val="24"/>
        </w:rPr>
        <w:t xml:space="preserve"> </w:t>
      </w:r>
      <w:r w:rsidR="006C05B2" w:rsidRPr="00BE0F3F">
        <w:rPr>
          <w:rFonts w:ascii="Garamond" w:hAnsi="Garamond"/>
          <w:sz w:val="24"/>
          <w:szCs w:val="24"/>
        </w:rPr>
        <w:t>I</w:t>
      </w:r>
      <w:r w:rsidRPr="00BE0F3F">
        <w:rPr>
          <w:rFonts w:ascii="Garamond" w:hAnsi="Garamond"/>
          <w:sz w:val="24"/>
          <w:szCs w:val="24"/>
        </w:rPr>
        <w:t>t is well-known (in Denmark) that Denmark was a laggard in terms of cancer mortality, leading to various cancer plans from 1990 onwards</w:t>
      </w:r>
      <w:r w:rsidR="00BE0F3F">
        <w:rPr>
          <w:rFonts w:ascii="Garamond" w:hAnsi="Garamond"/>
          <w:sz w:val="24"/>
          <w:szCs w:val="24"/>
        </w:rPr>
        <w:t>.</w:t>
      </w:r>
    </w:p>
    <w:p w14:paraId="55E9A74F" w14:textId="5C0A80DA" w:rsidR="00C44CCD" w:rsidRDefault="00C44CCD" w:rsidP="00785F17">
      <w:pPr>
        <w:pStyle w:val="PlainText"/>
        <w:rPr>
          <w:rFonts w:ascii="Garamond" w:hAnsi="Garamond"/>
          <w:sz w:val="24"/>
          <w:szCs w:val="24"/>
        </w:rPr>
      </w:pPr>
    </w:p>
    <w:p w14:paraId="19FE12E6" w14:textId="0C370EAF" w:rsidR="00C44CCD" w:rsidRDefault="00C44CCD" w:rsidP="00785F17">
      <w:pPr>
        <w:pStyle w:val="PlainText"/>
        <w:rPr>
          <w:rFonts w:ascii="Garamond" w:hAnsi="Garamond"/>
          <w:sz w:val="24"/>
          <w:szCs w:val="24"/>
        </w:rPr>
      </w:pPr>
      <w:r>
        <w:rPr>
          <w:rFonts w:ascii="Garamond" w:hAnsi="Garamond"/>
          <w:sz w:val="24"/>
          <w:szCs w:val="24"/>
        </w:rPr>
        <w:t>We added the next paragraph in the discussion:</w:t>
      </w:r>
    </w:p>
    <w:p w14:paraId="373B0B71" w14:textId="12F218BD" w:rsidR="00C44CCD" w:rsidRPr="00BE0F3F" w:rsidRDefault="00C44CCD" w:rsidP="00785F17">
      <w:pPr>
        <w:pStyle w:val="PlainText"/>
        <w:rPr>
          <w:rFonts w:ascii="Garamond" w:hAnsi="Garamond"/>
          <w:b/>
          <w:i/>
          <w:sz w:val="24"/>
          <w:szCs w:val="24"/>
        </w:rPr>
      </w:pPr>
      <w:r>
        <w:rPr>
          <w:rFonts w:ascii="Garamond" w:hAnsi="Garamond"/>
          <w:sz w:val="26"/>
          <w:szCs w:val="26"/>
        </w:rPr>
        <w:t xml:space="preserve">“In the 1975-1995 period, </w:t>
      </w:r>
      <w:r w:rsidRPr="00FE47C6">
        <w:rPr>
          <w:rFonts w:ascii="Garamond" w:hAnsi="Garamond"/>
          <w:sz w:val="26"/>
          <w:szCs w:val="26"/>
        </w:rPr>
        <w:t>non-smoking cancers also contributed</w:t>
      </w:r>
      <w:r>
        <w:rPr>
          <w:rFonts w:ascii="Garamond" w:hAnsi="Garamond"/>
          <w:sz w:val="26"/>
          <w:szCs w:val="26"/>
        </w:rPr>
        <w:t xml:space="preserve"> (albeit to a small extent)</w:t>
      </w:r>
      <w:r w:rsidRPr="00FE47C6">
        <w:rPr>
          <w:rFonts w:ascii="Garamond" w:hAnsi="Garamond"/>
          <w:sz w:val="26"/>
          <w:szCs w:val="26"/>
        </w:rPr>
        <w:t xml:space="preserve"> to reductions in life expectancy and increases in lifespan inequality</w:t>
      </w:r>
      <w:r>
        <w:rPr>
          <w:rFonts w:ascii="Garamond" w:hAnsi="Garamond"/>
          <w:sz w:val="26"/>
          <w:szCs w:val="26"/>
        </w:rPr>
        <w:t xml:space="preserve">. </w:t>
      </w:r>
      <w:r w:rsidRPr="00BE0F3F">
        <w:rPr>
          <w:rFonts w:ascii="Garamond" w:hAnsi="Garamond"/>
          <w:sz w:val="24"/>
          <w:szCs w:val="24"/>
        </w:rPr>
        <w:t>The conservative definition of smoking-related cancers</w:t>
      </w:r>
      <w:r>
        <w:rPr>
          <w:rFonts w:ascii="Garamond" w:hAnsi="Garamond"/>
          <w:sz w:val="24"/>
          <w:szCs w:val="24"/>
        </w:rPr>
        <w:t xml:space="preserve"> in this paper</w:t>
      </w:r>
      <w:r w:rsidRPr="00BE0F3F">
        <w:rPr>
          <w:rFonts w:ascii="Garamond" w:hAnsi="Garamond"/>
          <w:sz w:val="24"/>
          <w:szCs w:val="24"/>
        </w:rPr>
        <w:t xml:space="preserve"> is one </w:t>
      </w:r>
      <w:r>
        <w:rPr>
          <w:rFonts w:ascii="Garamond" w:hAnsi="Garamond"/>
          <w:sz w:val="24"/>
          <w:szCs w:val="24"/>
        </w:rPr>
        <w:t>explanation for this phenomenon.</w:t>
      </w:r>
      <w:r w:rsidRPr="00BE0F3F">
        <w:rPr>
          <w:rFonts w:ascii="Garamond" w:hAnsi="Garamond"/>
          <w:sz w:val="24"/>
          <w:szCs w:val="24"/>
        </w:rPr>
        <w:t xml:space="preserve"> Competing risks is another: people who previously died of other causes</w:t>
      </w:r>
      <w:r>
        <w:rPr>
          <w:rFonts w:ascii="Garamond" w:hAnsi="Garamond"/>
          <w:sz w:val="24"/>
          <w:szCs w:val="24"/>
        </w:rPr>
        <w:t xml:space="preserve"> could</w:t>
      </w:r>
      <w:r w:rsidRPr="00BE0F3F">
        <w:rPr>
          <w:rFonts w:ascii="Garamond" w:hAnsi="Garamond"/>
          <w:sz w:val="24"/>
          <w:szCs w:val="24"/>
        </w:rPr>
        <w:t xml:space="preserve"> die of cancer, and these increased cancer rates would show up as holding back life expectancy. In this respect, we note that non-smoking related cancer was on the rise also in Sweden, so it is likely not a phenomenon specific to Denmark</w:t>
      </w:r>
      <w:r>
        <w:rPr>
          <w:rFonts w:ascii="Garamond" w:hAnsi="Garamond"/>
          <w:sz w:val="24"/>
          <w:szCs w:val="24"/>
        </w:rPr>
        <w:t xml:space="preserve">. Specifically </w:t>
      </w:r>
      <w:r w:rsidRPr="00BE0F3F">
        <w:rPr>
          <w:rFonts w:ascii="Garamond" w:hAnsi="Garamond"/>
          <w:sz w:val="24"/>
          <w:szCs w:val="24"/>
        </w:rPr>
        <w:t>for Danish females</w:t>
      </w:r>
      <w:r>
        <w:rPr>
          <w:rFonts w:ascii="Garamond" w:hAnsi="Garamond"/>
          <w:sz w:val="24"/>
          <w:szCs w:val="24"/>
        </w:rPr>
        <w:t>,</w:t>
      </w:r>
      <w:r w:rsidRPr="00BE0F3F">
        <w:rPr>
          <w:rFonts w:ascii="Garamond" w:hAnsi="Garamond"/>
          <w:sz w:val="24"/>
          <w:szCs w:val="24"/>
        </w:rPr>
        <w:t xml:space="preserve"> other risk-taking behavior may have led to increased cancer rates in general.</w:t>
      </w:r>
      <w:r>
        <w:rPr>
          <w:rFonts w:ascii="Garamond" w:hAnsi="Garamond"/>
          <w:sz w:val="24"/>
          <w:szCs w:val="24"/>
        </w:rPr>
        <w:t>(13,14)”</w:t>
      </w:r>
    </w:p>
    <w:p w14:paraId="7B9DD02B" w14:textId="379CC8CA" w:rsidR="00785F17" w:rsidRPr="00785F17" w:rsidRDefault="00785F17" w:rsidP="00785F17">
      <w:pPr>
        <w:rPr>
          <w:rFonts w:ascii="Garamond" w:eastAsia="Times New Roman" w:hAnsi="Garamond" w:cs="Times New Roman"/>
          <w:szCs w:val="24"/>
        </w:rPr>
      </w:pPr>
    </w:p>
    <w:p w14:paraId="58F35C80" w14:textId="77777777" w:rsidR="00F1203F" w:rsidRPr="00F30EDE" w:rsidRDefault="00F1203F" w:rsidP="00E47648">
      <w:pPr>
        <w:pStyle w:val="PlainText"/>
        <w:jc w:val="both"/>
        <w:rPr>
          <w:rFonts w:ascii="Garamond" w:hAnsi="Garamond"/>
          <w:b/>
          <w:sz w:val="24"/>
          <w:szCs w:val="24"/>
        </w:rPr>
      </w:pPr>
    </w:p>
    <w:p w14:paraId="6BC0532D" w14:textId="77777777" w:rsidR="00E412B3" w:rsidRPr="00F30EDE" w:rsidRDefault="00E412B3" w:rsidP="00E47648">
      <w:pPr>
        <w:pStyle w:val="PlainText"/>
        <w:jc w:val="both"/>
        <w:rPr>
          <w:rFonts w:ascii="Garamond" w:hAnsi="Garamond"/>
          <w:b/>
          <w:sz w:val="24"/>
          <w:szCs w:val="24"/>
        </w:rPr>
      </w:pPr>
    </w:p>
    <w:p w14:paraId="4C43E028" w14:textId="11FA2D48" w:rsidR="00E412B3" w:rsidRPr="00F30EDE" w:rsidRDefault="00E412B3" w:rsidP="00E47648">
      <w:pPr>
        <w:pStyle w:val="PlainText"/>
        <w:jc w:val="both"/>
        <w:rPr>
          <w:rFonts w:ascii="Garamond" w:hAnsi="Garamond"/>
          <w:b/>
          <w:sz w:val="24"/>
          <w:szCs w:val="24"/>
        </w:rPr>
      </w:pPr>
      <w:r w:rsidRPr="00F30EDE">
        <w:rPr>
          <w:rFonts w:ascii="Garamond" w:hAnsi="Garamond"/>
          <w:b/>
          <w:sz w:val="24"/>
          <w:szCs w:val="24"/>
        </w:rPr>
        <w:t>5. Phrasing: p. 11, first paragraph: "Therefore, the causes that extend lifespan and the causes that reduce inequality are not necessarily the same." I recommend changing "lifespan" to "average lifespan" or "life expectancy" so there is no confusion with "maximal lifespan."</w:t>
      </w:r>
    </w:p>
    <w:p w14:paraId="45A7D1D6" w14:textId="5A4E23F7" w:rsidR="00067075" w:rsidRPr="00F30EDE" w:rsidRDefault="00067075" w:rsidP="00E47648">
      <w:pPr>
        <w:pStyle w:val="PlainText"/>
        <w:jc w:val="both"/>
        <w:rPr>
          <w:rFonts w:ascii="Garamond" w:hAnsi="Garamond"/>
          <w:b/>
          <w:sz w:val="24"/>
          <w:szCs w:val="24"/>
        </w:rPr>
      </w:pPr>
    </w:p>
    <w:p w14:paraId="02C6ACDA" w14:textId="7BA6B460" w:rsidR="00067075" w:rsidRPr="00F30EDE" w:rsidRDefault="00067075" w:rsidP="00E47648">
      <w:pPr>
        <w:pStyle w:val="PlainText"/>
        <w:jc w:val="both"/>
        <w:rPr>
          <w:rFonts w:ascii="Garamond" w:hAnsi="Garamond"/>
          <w:sz w:val="24"/>
          <w:szCs w:val="24"/>
        </w:rPr>
      </w:pPr>
      <w:r w:rsidRPr="00F30EDE">
        <w:rPr>
          <w:rFonts w:ascii="Garamond" w:hAnsi="Garamond"/>
          <w:sz w:val="24"/>
          <w:szCs w:val="24"/>
        </w:rPr>
        <w:t>Thank</w:t>
      </w:r>
      <w:r w:rsidR="00966300">
        <w:rPr>
          <w:rFonts w:ascii="Garamond" w:hAnsi="Garamond"/>
          <w:sz w:val="24"/>
          <w:szCs w:val="24"/>
        </w:rPr>
        <w:t xml:space="preserve"> you</w:t>
      </w:r>
      <w:r w:rsidRPr="00F30EDE">
        <w:rPr>
          <w:rFonts w:ascii="Garamond" w:hAnsi="Garamond"/>
          <w:sz w:val="24"/>
          <w:szCs w:val="24"/>
        </w:rPr>
        <w:t>, we agree with this suggestion and have changed ‘Lifespan’ to average lifespan or life expectancy throughout the manuscript.</w:t>
      </w:r>
    </w:p>
    <w:p w14:paraId="1A75C398" w14:textId="6EF5590F" w:rsidR="00067075" w:rsidRPr="00F30EDE" w:rsidRDefault="00067075" w:rsidP="00E47648">
      <w:pPr>
        <w:jc w:val="both"/>
        <w:rPr>
          <w:rFonts w:ascii="Garamond" w:eastAsia="Times New Roman" w:hAnsi="Garamond"/>
          <w:szCs w:val="24"/>
        </w:rPr>
      </w:pPr>
      <w:bookmarkStart w:id="0" w:name="_GoBack"/>
      <w:bookmarkEnd w:id="0"/>
    </w:p>
    <w:sectPr w:rsidR="00067075" w:rsidRPr="00F30EDE" w:rsidSect="00BD3FF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87489" w14:textId="77777777" w:rsidR="00243568" w:rsidRDefault="00243568" w:rsidP="00111E2D">
      <w:r>
        <w:separator/>
      </w:r>
    </w:p>
  </w:endnote>
  <w:endnote w:type="continuationSeparator" w:id="0">
    <w:p w14:paraId="6DE65F21" w14:textId="77777777" w:rsidR="00243568" w:rsidRDefault="00243568"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5EB58AA6" w:rsidR="00FD693E" w:rsidRDefault="00FD693E">
        <w:pPr>
          <w:pStyle w:val="Footer"/>
          <w:jc w:val="right"/>
        </w:pPr>
        <w:r>
          <w:fldChar w:fldCharType="begin"/>
        </w:r>
        <w:r>
          <w:instrText xml:space="preserve"> PAGE   \* MERGEFORMAT </w:instrText>
        </w:r>
        <w:r>
          <w:fldChar w:fldCharType="separate"/>
        </w:r>
        <w:r w:rsidR="00DB6FA2">
          <w:rPr>
            <w:noProof/>
          </w:rPr>
          <w:t>11</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17734" w14:textId="77777777" w:rsidR="00243568" w:rsidRDefault="00243568" w:rsidP="00111E2D">
      <w:r>
        <w:separator/>
      </w:r>
    </w:p>
  </w:footnote>
  <w:footnote w:type="continuationSeparator" w:id="0">
    <w:p w14:paraId="1A3BAACA" w14:textId="77777777" w:rsidR="00243568" w:rsidRDefault="00243568"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947C40"/>
    <w:multiLevelType w:val="hybridMultilevel"/>
    <w:tmpl w:val="ABE27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20CA4"/>
    <w:multiLevelType w:val="hybridMultilevel"/>
    <w:tmpl w:val="B332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70A37"/>
    <w:multiLevelType w:val="hybridMultilevel"/>
    <w:tmpl w:val="D852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D2601"/>
    <w:multiLevelType w:val="hybridMultilevel"/>
    <w:tmpl w:val="4C94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A016E"/>
    <w:multiLevelType w:val="hybridMultilevel"/>
    <w:tmpl w:val="6270C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D67FA"/>
    <w:multiLevelType w:val="hybridMultilevel"/>
    <w:tmpl w:val="0218C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3392E"/>
    <w:multiLevelType w:val="hybridMultilevel"/>
    <w:tmpl w:val="2A4E72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D0422"/>
    <w:multiLevelType w:val="hybridMultilevel"/>
    <w:tmpl w:val="E0BE5F1E"/>
    <w:lvl w:ilvl="0" w:tplc="68CE4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E17CC"/>
    <w:multiLevelType w:val="hybridMultilevel"/>
    <w:tmpl w:val="21263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94BDC"/>
    <w:multiLevelType w:val="hybridMultilevel"/>
    <w:tmpl w:val="44E6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9"/>
  </w:num>
  <w:num w:numId="5">
    <w:abstractNumId w:val="14"/>
  </w:num>
  <w:num w:numId="6">
    <w:abstractNumId w:val="6"/>
  </w:num>
  <w:num w:numId="7">
    <w:abstractNumId w:val="2"/>
  </w:num>
  <w:num w:numId="8">
    <w:abstractNumId w:val="15"/>
  </w:num>
  <w:num w:numId="9">
    <w:abstractNumId w:val="3"/>
  </w:num>
  <w:num w:numId="10">
    <w:abstractNumId w:val="5"/>
  </w:num>
  <w:num w:numId="11">
    <w:abstractNumId w:val="12"/>
  </w:num>
  <w:num w:numId="12">
    <w:abstractNumId w:val="10"/>
  </w:num>
  <w:num w:numId="13">
    <w:abstractNumId w:val="1"/>
  </w:num>
  <w:num w:numId="14">
    <w:abstractNumId w:val="7"/>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21&lt;/item&gt;&lt;/record-ids&gt;&lt;/item&gt;&lt;/Libraries&gt;"/>
  </w:docVars>
  <w:rsids>
    <w:rsidRoot w:val="00012759"/>
    <w:rsid w:val="00000839"/>
    <w:rsid w:val="0000216D"/>
    <w:rsid w:val="00003AD7"/>
    <w:rsid w:val="00010A79"/>
    <w:rsid w:val="00011C47"/>
    <w:rsid w:val="00012759"/>
    <w:rsid w:val="000139CC"/>
    <w:rsid w:val="00020304"/>
    <w:rsid w:val="000212D5"/>
    <w:rsid w:val="00023A65"/>
    <w:rsid w:val="000250FC"/>
    <w:rsid w:val="00031891"/>
    <w:rsid w:val="000326DE"/>
    <w:rsid w:val="00032E21"/>
    <w:rsid w:val="00033919"/>
    <w:rsid w:val="00033A2E"/>
    <w:rsid w:val="00034CD9"/>
    <w:rsid w:val="000352B2"/>
    <w:rsid w:val="00035F84"/>
    <w:rsid w:val="00036FA8"/>
    <w:rsid w:val="000378EE"/>
    <w:rsid w:val="00040AC9"/>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67075"/>
    <w:rsid w:val="000728D0"/>
    <w:rsid w:val="00073C55"/>
    <w:rsid w:val="00076165"/>
    <w:rsid w:val="00084FDF"/>
    <w:rsid w:val="00086932"/>
    <w:rsid w:val="00087166"/>
    <w:rsid w:val="000913A9"/>
    <w:rsid w:val="00094A34"/>
    <w:rsid w:val="00095E10"/>
    <w:rsid w:val="000A0030"/>
    <w:rsid w:val="000A164B"/>
    <w:rsid w:val="000A4540"/>
    <w:rsid w:val="000A4BF1"/>
    <w:rsid w:val="000B09BB"/>
    <w:rsid w:val="000B09DB"/>
    <w:rsid w:val="000B1195"/>
    <w:rsid w:val="000B124A"/>
    <w:rsid w:val="000B3837"/>
    <w:rsid w:val="000B52B7"/>
    <w:rsid w:val="000C48B4"/>
    <w:rsid w:val="000C5953"/>
    <w:rsid w:val="000C7AC4"/>
    <w:rsid w:val="000D2831"/>
    <w:rsid w:val="000E0909"/>
    <w:rsid w:val="000E1A4C"/>
    <w:rsid w:val="000E38CD"/>
    <w:rsid w:val="000E4DC3"/>
    <w:rsid w:val="000E5CC6"/>
    <w:rsid w:val="000E5E52"/>
    <w:rsid w:val="000E622E"/>
    <w:rsid w:val="000F0BE9"/>
    <w:rsid w:val="000F1BD4"/>
    <w:rsid w:val="000F1CDD"/>
    <w:rsid w:val="000F3040"/>
    <w:rsid w:val="000F3999"/>
    <w:rsid w:val="000F3D91"/>
    <w:rsid w:val="000F482F"/>
    <w:rsid w:val="0010022C"/>
    <w:rsid w:val="00101B2C"/>
    <w:rsid w:val="00103DA3"/>
    <w:rsid w:val="00105B5E"/>
    <w:rsid w:val="00105D49"/>
    <w:rsid w:val="00107161"/>
    <w:rsid w:val="00107767"/>
    <w:rsid w:val="00111BEE"/>
    <w:rsid w:val="00111E2D"/>
    <w:rsid w:val="00112EBD"/>
    <w:rsid w:val="001137B8"/>
    <w:rsid w:val="00114AA2"/>
    <w:rsid w:val="001170B6"/>
    <w:rsid w:val="00122D6F"/>
    <w:rsid w:val="00125A2E"/>
    <w:rsid w:val="00125AD4"/>
    <w:rsid w:val="0013085F"/>
    <w:rsid w:val="001312FA"/>
    <w:rsid w:val="00132232"/>
    <w:rsid w:val="00136050"/>
    <w:rsid w:val="00136163"/>
    <w:rsid w:val="00136B62"/>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D762D"/>
    <w:rsid w:val="001E40D0"/>
    <w:rsid w:val="001E4D5C"/>
    <w:rsid w:val="001E53AB"/>
    <w:rsid w:val="001E5F1D"/>
    <w:rsid w:val="001E62FD"/>
    <w:rsid w:val="001F142D"/>
    <w:rsid w:val="001F1887"/>
    <w:rsid w:val="001F4444"/>
    <w:rsid w:val="001F5284"/>
    <w:rsid w:val="001F79E5"/>
    <w:rsid w:val="00200DA9"/>
    <w:rsid w:val="00201071"/>
    <w:rsid w:val="002010C1"/>
    <w:rsid w:val="0020160C"/>
    <w:rsid w:val="002043D9"/>
    <w:rsid w:val="0020664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0EAE"/>
    <w:rsid w:val="00241FF9"/>
    <w:rsid w:val="00243568"/>
    <w:rsid w:val="00246314"/>
    <w:rsid w:val="002471C7"/>
    <w:rsid w:val="00247FD3"/>
    <w:rsid w:val="002514AC"/>
    <w:rsid w:val="00252356"/>
    <w:rsid w:val="0025242E"/>
    <w:rsid w:val="002562FA"/>
    <w:rsid w:val="00256790"/>
    <w:rsid w:val="00257A24"/>
    <w:rsid w:val="00262879"/>
    <w:rsid w:val="00262D78"/>
    <w:rsid w:val="00273CC9"/>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3F3F"/>
    <w:rsid w:val="00314027"/>
    <w:rsid w:val="0031445F"/>
    <w:rsid w:val="00315ADC"/>
    <w:rsid w:val="00316FCE"/>
    <w:rsid w:val="00320978"/>
    <w:rsid w:val="0032147D"/>
    <w:rsid w:val="0032214D"/>
    <w:rsid w:val="003244F4"/>
    <w:rsid w:val="003256DE"/>
    <w:rsid w:val="00326457"/>
    <w:rsid w:val="003276E2"/>
    <w:rsid w:val="00332447"/>
    <w:rsid w:val="00333607"/>
    <w:rsid w:val="00335498"/>
    <w:rsid w:val="00335F4A"/>
    <w:rsid w:val="00336286"/>
    <w:rsid w:val="003405DE"/>
    <w:rsid w:val="003413DE"/>
    <w:rsid w:val="00341683"/>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794"/>
    <w:rsid w:val="003755B0"/>
    <w:rsid w:val="00376A00"/>
    <w:rsid w:val="00382300"/>
    <w:rsid w:val="003826E5"/>
    <w:rsid w:val="00383475"/>
    <w:rsid w:val="00384ACE"/>
    <w:rsid w:val="00385E3A"/>
    <w:rsid w:val="00387A58"/>
    <w:rsid w:val="00390FD7"/>
    <w:rsid w:val="00391885"/>
    <w:rsid w:val="00392BF2"/>
    <w:rsid w:val="00392CED"/>
    <w:rsid w:val="00393E25"/>
    <w:rsid w:val="0039750F"/>
    <w:rsid w:val="00397B9A"/>
    <w:rsid w:val="003A445F"/>
    <w:rsid w:val="003A684F"/>
    <w:rsid w:val="003A7DD7"/>
    <w:rsid w:val="003B13ED"/>
    <w:rsid w:val="003B1EA0"/>
    <w:rsid w:val="003B63F2"/>
    <w:rsid w:val="003C1312"/>
    <w:rsid w:val="003C32E0"/>
    <w:rsid w:val="003C3EA3"/>
    <w:rsid w:val="003C4037"/>
    <w:rsid w:val="003C461F"/>
    <w:rsid w:val="003C4C88"/>
    <w:rsid w:val="003C566A"/>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359E6"/>
    <w:rsid w:val="0044264F"/>
    <w:rsid w:val="00442C2A"/>
    <w:rsid w:val="00443D53"/>
    <w:rsid w:val="0044730B"/>
    <w:rsid w:val="0045118A"/>
    <w:rsid w:val="00452E05"/>
    <w:rsid w:val="00453053"/>
    <w:rsid w:val="00453E47"/>
    <w:rsid w:val="00463763"/>
    <w:rsid w:val="004641A8"/>
    <w:rsid w:val="004660E6"/>
    <w:rsid w:val="00466637"/>
    <w:rsid w:val="00467608"/>
    <w:rsid w:val="00471201"/>
    <w:rsid w:val="004712B6"/>
    <w:rsid w:val="0047499B"/>
    <w:rsid w:val="0047635A"/>
    <w:rsid w:val="00482126"/>
    <w:rsid w:val="00482BF1"/>
    <w:rsid w:val="00483D92"/>
    <w:rsid w:val="004841DF"/>
    <w:rsid w:val="00486CC5"/>
    <w:rsid w:val="00493777"/>
    <w:rsid w:val="00494FFF"/>
    <w:rsid w:val="004971B4"/>
    <w:rsid w:val="00497205"/>
    <w:rsid w:val="004A3893"/>
    <w:rsid w:val="004A472E"/>
    <w:rsid w:val="004A5B83"/>
    <w:rsid w:val="004A7EA8"/>
    <w:rsid w:val="004B0A50"/>
    <w:rsid w:val="004B13C7"/>
    <w:rsid w:val="004B3248"/>
    <w:rsid w:val="004B3D23"/>
    <w:rsid w:val="004B50C8"/>
    <w:rsid w:val="004C25F7"/>
    <w:rsid w:val="004C5C15"/>
    <w:rsid w:val="004D05B7"/>
    <w:rsid w:val="004D2A10"/>
    <w:rsid w:val="004D4184"/>
    <w:rsid w:val="004D71BA"/>
    <w:rsid w:val="004D7A8A"/>
    <w:rsid w:val="004E0DD1"/>
    <w:rsid w:val="004E1410"/>
    <w:rsid w:val="004E3309"/>
    <w:rsid w:val="004E3D11"/>
    <w:rsid w:val="004E5491"/>
    <w:rsid w:val="004F1A4A"/>
    <w:rsid w:val="004F345F"/>
    <w:rsid w:val="004F3C4E"/>
    <w:rsid w:val="005127AD"/>
    <w:rsid w:val="00512EE4"/>
    <w:rsid w:val="00513258"/>
    <w:rsid w:val="0051350D"/>
    <w:rsid w:val="00513915"/>
    <w:rsid w:val="00513A1B"/>
    <w:rsid w:val="00514186"/>
    <w:rsid w:val="0051598C"/>
    <w:rsid w:val="00521F34"/>
    <w:rsid w:val="005248B6"/>
    <w:rsid w:val="0052544D"/>
    <w:rsid w:val="00530F2C"/>
    <w:rsid w:val="00533F29"/>
    <w:rsid w:val="0053412B"/>
    <w:rsid w:val="005346FA"/>
    <w:rsid w:val="0053754D"/>
    <w:rsid w:val="00542006"/>
    <w:rsid w:val="0054788E"/>
    <w:rsid w:val="005506CB"/>
    <w:rsid w:val="00551DE7"/>
    <w:rsid w:val="005537C3"/>
    <w:rsid w:val="00553F00"/>
    <w:rsid w:val="005606AC"/>
    <w:rsid w:val="00562EB5"/>
    <w:rsid w:val="00565FE0"/>
    <w:rsid w:val="005660F8"/>
    <w:rsid w:val="0057022D"/>
    <w:rsid w:val="0057185F"/>
    <w:rsid w:val="00582250"/>
    <w:rsid w:val="005825D4"/>
    <w:rsid w:val="00583C0A"/>
    <w:rsid w:val="00586ECB"/>
    <w:rsid w:val="0058704A"/>
    <w:rsid w:val="005930AD"/>
    <w:rsid w:val="005943A1"/>
    <w:rsid w:val="00594C00"/>
    <w:rsid w:val="005959D8"/>
    <w:rsid w:val="00597B92"/>
    <w:rsid w:val="005A00A8"/>
    <w:rsid w:val="005A2211"/>
    <w:rsid w:val="005A4D21"/>
    <w:rsid w:val="005A5C67"/>
    <w:rsid w:val="005A7EAF"/>
    <w:rsid w:val="005B0BC0"/>
    <w:rsid w:val="005B19C7"/>
    <w:rsid w:val="005B1D74"/>
    <w:rsid w:val="005B647C"/>
    <w:rsid w:val="005B7582"/>
    <w:rsid w:val="005B7DE7"/>
    <w:rsid w:val="005C1E07"/>
    <w:rsid w:val="005C4F15"/>
    <w:rsid w:val="005D1388"/>
    <w:rsid w:val="005D24E0"/>
    <w:rsid w:val="005D2898"/>
    <w:rsid w:val="005D4160"/>
    <w:rsid w:val="005E6B81"/>
    <w:rsid w:val="005F2437"/>
    <w:rsid w:val="005F3B12"/>
    <w:rsid w:val="005F50FB"/>
    <w:rsid w:val="005F5EA7"/>
    <w:rsid w:val="005F6A12"/>
    <w:rsid w:val="005F7FFD"/>
    <w:rsid w:val="006001F1"/>
    <w:rsid w:val="00601943"/>
    <w:rsid w:val="00602F01"/>
    <w:rsid w:val="00604E27"/>
    <w:rsid w:val="0060724F"/>
    <w:rsid w:val="00612340"/>
    <w:rsid w:val="0061677F"/>
    <w:rsid w:val="006205B0"/>
    <w:rsid w:val="00621165"/>
    <w:rsid w:val="00622313"/>
    <w:rsid w:val="006254AA"/>
    <w:rsid w:val="00630C47"/>
    <w:rsid w:val="0063262B"/>
    <w:rsid w:val="00633CF0"/>
    <w:rsid w:val="00635107"/>
    <w:rsid w:val="006351F2"/>
    <w:rsid w:val="0063607D"/>
    <w:rsid w:val="0064006D"/>
    <w:rsid w:val="00641A6E"/>
    <w:rsid w:val="00644C74"/>
    <w:rsid w:val="0064676F"/>
    <w:rsid w:val="0064685C"/>
    <w:rsid w:val="006476E3"/>
    <w:rsid w:val="00653B4A"/>
    <w:rsid w:val="00655753"/>
    <w:rsid w:val="006557A5"/>
    <w:rsid w:val="006577E7"/>
    <w:rsid w:val="00670BBA"/>
    <w:rsid w:val="006717FB"/>
    <w:rsid w:val="00672231"/>
    <w:rsid w:val="00674EC3"/>
    <w:rsid w:val="006759F7"/>
    <w:rsid w:val="00675C33"/>
    <w:rsid w:val="006767EF"/>
    <w:rsid w:val="00677FA2"/>
    <w:rsid w:val="00681D8C"/>
    <w:rsid w:val="006845DB"/>
    <w:rsid w:val="00690DD0"/>
    <w:rsid w:val="00693DB7"/>
    <w:rsid w:val="006958C4"/>
    <w:rsid w:val="00695A68"/>
    <w:rsid w:val="006A100D"/>
    <w:rsid w:val="006A715D"/>
    <w:rsid w:val="006B028C"/>
    <w:rsid w:val="006B0774"/>
    <w:rsid w:val="006B10D2"/>
    <w:rsid w:val="006B1B78"/>
    <w:rsid w:val="006B26F0"/>
    <w:rsid w:val="006B29CC"/>
    <w:rsid w:val="006B6AE6"/>
    <w:rsid w:val="006C05B2"/>
    <w:rsid w:val="006C06DB"/>
    <w:rsid w:val="006C08CB"/>
    <w:rsid w:val="006C3BE9"/>
    <w:rsid w:val="006C429B"/>
    <w:rsid w:val="006C6B99"/>
    <w:rsid w:val="006D1AC0"/>
    <w:rsid w:val="006D1B46"/>
    <w:rsid w:val="006D2284"/>
    <w:rsid w:val="006D2F44"/>
    <w:rsid w:val="006D42BD"/>
    <w:rsid w:val="006D43BA"/>
    <w:rsid w:val="006D57A4"/>
    <w:rsid w:val="006D5B56"/>
    <w:rsid w:val="006D672E"/>
    <w:rsid w:val="006D7C1F"/>
    <w:rsid w:val="006E4616"/>
    <w:rsid w:val="006E7A37"/>
    <w:rsid w:val="006F07A0"/>
    <w:rsid w:val="006F1F66"/>
    <w:rsid w:val="006F71D8"/>
    <w:rsid w:val="006F738A"/>
    <w:rsid w:val="00703DBD"/>
    <w:rsid w:val="00703E13"/>
    <w:rsid w:val="00703FC9"/>
    <w:rsid w:val="007058E1"/>
    <w:rsid w:val="0070659B"/>
    <w:rsid w:val="007108B6"/>
    <w:rsid w:val="00711CE1"/>
    <w:rsid w:val="0071272B"/>
    <w:rsid w:val="007133E2"/>
    <w:rsid w:val="00714B0B"/>
    <w:rsid w:val="007157AD"/>
    <w:rsid w:val="007176F0"/>
    <w:rsid w:val="007224C2"/>
    <w:rsid w:val="00722998"/>
    <w:rsid w:val="0072373B"/>
    <w:rsid w:val="007243E8"/>
    <w:rsid w:val="00726A04"/>
    <w:rsid w:val="007332AD"/>
    <w:rsid w:val="00733415"/>
    <w:rsid w:val="00733702"/>
    <w:rsid w:val="00735FD4"/>
    <w:rsid w:val="00737190"/>
    <w:rsid w:val="00737C05"/>
    <w:rsid w:val="007400D9"/>
    <w:rsid w:val="00740649"/>
    <w:rsid w:val="00740FFE"/>
    <w:rsid w:val="007413F3"/>
    <w:rsid w:val="0074201B"/>
    <w:rsid w:val="00750868"/>
    <w:rsid w:val="00750EED"/>
    <w:rsid w:val="00754C49"/>
    <w:rsid w:val="00754D29"/>
    <w:rsid w:val="0075576F"/>
    <w:rsid w:val="007646B4"/>
    <w:rsid w:val="007703E9"/>
    <w:rsid w:val="00772B3D"/>
    <w:rsid w:val="0077374E"/>
    <w:rsid w:val="007745F4"/>
    <w:rsid w:val="007750CE"/>
    <w:rsid w:val="00780E4C"/>
    <w:rsid w:val="00781DE5"/>
    <w:rsid w:val="00784E1B"/>
    <w:rsid w:val="0078559E"/>
    <w:rsid w:val="00785F17"/>
    <w:rsid w:val="00787802"/>
    <w:rsid w:val="00787EE1"/>
    <w:rsid w:val="00790A78"/>
    <w:rsid w:val="00792E58"/>
    <w:rsid w:val="007932EE"/>
    <w:rsid w:val="00793312"/>
    <w:rsid w:val="007936C9"/>
    <w:rsid w:val="00794E06"/>
    <w:rsid w:val="007A205A"/>
    <w:rsid w:val="007A3790"/>
    <w:rsid w:val="007A5C8C"/>
    <w:rsid w:val="007B392A"/>
    <w:rsid w:val="007B3AF3"/>
    <w:rsid w:val="007B4E5E"/>
    <w:rsid w:val="007B55AD"/>
    <w:rsid w:val="007B6A50"/>
    <w:rsid w:val="007B6C6E"/>
    <w:rsid w:val="007C0AD4"/>
    <w:rsid w:val="007C2806"/>
    <w:rsid w:val="007D2FCA"/>
    <w:rsid w:val="007D4FB2"/>
    <w:rsid w:val="007D611C"/>
    <w:rsid w:val="007D7943"/>
    <w:rsid w:val="007E108B"/>
    <w:rsid w:val="007E13B7"/>
    <w:rsid w:val="007E4275"/>
    <w:rsid w:val="007E573E"/>
    <w:rsid w:val="007E580E"/>
    <w:rsid w:val="007E7040"/>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5688"/>
    <w:rsid w:val="00815E58"/>
    <w:rsid w:val="00817F61"/>
    <w:rsid w:val="00820288"/>
    <w:rsid w:val="00822706"/>
    <w:rsid w:val="008230A4"/>
    <w:rsid w:val="00824D1B"/>
    <w:rsid w:val="00826967"/>
    <w:rsid w:val="00840D6B"/>
    <w:rsid w:val="00842B6D"/>
    <w:rsid w:val="00844C49"/>
    <w:rsid w:val="00847CAD"/>
    <w:rsid w:val="0085083D"/>
    <w:rsid w:val="008528A0"/>
    <w:rsid w:val="0085309D"/>
    <w:rsid w:val="0085651B"/>
    <w:rsid w:val="008576D9"/>
    <w:rsid w:val="0085782A"/>
    <w:rsid w:val="00861FF9"/>
    <w:rsid w:val="00863CC0"/>
    <w:rsid w:val="008648C5"/>
    <w:rsid w:val="00864F44"/>
    <w:rsid w:val="00867D6B"/>
    <w:rsid w:val="00871BAA"/>
    <w:rsid w:val="00873FC0"/>
    <w:rsid w:val="00880086"/>
    <w:rsid w:val="00880E3A"/>
    <w:rsid w:val="0088332B"/>
    <w:rsid w:val="00884192"/>
    <w:rsid w:val="008859B4"/>
    <w:rsid w:val="00891E89"/>
    <w:rsid w:val="008922EA"/>
    <w:rsid w:val="008926BE"/>
    <w:rsid w:val="00892726"/>
    <w:rsid w:val="00893DB6"/>
    <w:rsid w:val="008945CF"/>
    <w:rsid w:val="00894CE8"/>
    <w:rsid w:val="008A02DB"/>
    <w:rsid w:val="008A0B25"/>
    <w:rsid w:val="008A320F"/>
    <w:rsid w:val="008A3A71"/>
    <w:rsid w:val="008B0894"/>
    <w:rsid w:val="008B1196"/>
    <w:rsid w:val="008B4FED"/>
    <w:rsid w:val="008B5374"/>
    <w:rsid w:val="008B73FF"/>
    <w:rsid w:val="008B74CF"/>
    <w:rsid w:val="008B7FCF"/>
    <w:rsid w:val="008C0DDF"/>
    <w:rsid w:val="008C153B"/>
    <w:rsid w:val="008C1A6D"/>
    <w:rsid w:val="008C3687"/>
    <w:rsid w:val="008C6146"/>
    <w:rsid w:val="008C66B0"/>
    <w:rsid w:val="008D0BB4"/>
    <w:rsid w:val="008D0E08"/>
    <w:rsid w:val="008D0E30"/>
    <w:rsid w:val="008D2903"/>
    <w:rsid w:val="008D31E8"/>
    <w:rsid w:val="008D528C"/>
    <w:rsid w:val="008E075C"/>
    <w:rsid w:val="008E077F"/>
    <w:rsid w:val="008E1A0B"/>
    <w:rsid w:val="008E653E"/>
    <w:rsid w:val="008F05CA"/>
    <w:rsid w:val="008F1988"/>
    <w:rsid w:val="008F577C"/>
    <w:rsid w:val="008F685E"/>
    <w:rsid w:val="008F75ED"/>
    <w:rsid w:val="009001BE"/>
    <w:rsid w:val="00901125"/>
    <w:rsid w:val="00901BB2"/>
    <w:rsid w:val="00901FBE"/>
    <w:rsid w:val="00911ABB"/>
    <w:rsid w:val="00911D8D"/>
    <w:rsid w:val="0091252E"/>
    <w:rsid w:val="009214E8"/>
    <w:rsid w:val="0092417F"/>
    <w:rsid w:val="00924AFA"/>
    <w:rsid w:val="00927265"/>
    <w:rsid w:val="00927B23"/>
    <w:rsid w:val="00930747"/>
    <w:rsid w:val="00931BDE"/>
    <w:rsid w:val="00931BE6"/>
    <w:rsid w:val="00932041"/>
    <w:rsid w:val="00933E94"/>
    <w:rsid w:val="0093509C"/>
    <w:rsid w:val="009360E5"/>
    <w:rsid w:val="00942229"/>
    <w:rsid w:val="00943ADC"/>
    <w:rsid w:val="00945A0A"/>
    <w:rsid w:val="0094643D"/>
    <w:rsid w:val="009515AD"/>
    <w:rsid w:val="009529E6"/>
    <w:rsid w:val="00955DBF"/>
    <w:rsid w:val="0095610F"/>
    <w:rsid w:val="00957A96"/>
    <w:rsid w:val="00957D97"/>
    <w:rsid w:val="00963BE4"/>
    <w:rsid w:val="00964D3B"/>
    <w:rsid w:val="00966300"/>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6928"/>
    <w:rsid w:val="009978F2"/>
    <w:rsid w:val="009979FC"/>
    <w:rsid w:val="00997A12"/>
    <w:rsid w:val="00997E8C"/>
    <w:rsid w:val="009A55F0"/>
    <w:rsid w:val="009A712C"/>
    <w:rsid w:val="009B0608"/>
    <w:rsid w:val="009B0CF5"/>
    <w:rsid w:val="009B32FD"/>
    <w:rsid w:val="009B4DB4"/>
    <w:rsid w:val="009B4E26"/>
    <w:rsid w:val="009C4F0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5A51"/>
    <w:rsid w:val="00A1665B"/>
    <w:rsid w:val="00A16D08"/>
    <w:rsid w:val="00A21FDB"/>
    <w:rsid w:val="00A26D5E"/>
    <w:rsid w:val="00A27608"/>
    <w:rsid w:val="00A278D0"/>
    <w:rsid w:val="00A30F1E"/>
    <w:rsid w:val="00A33431"/>
    <w:rsid w:val="00A34D9F"/>
    <w:rsid w:val="00A34E31"/>
    <w:rsid w:val="00A369AA"/>
    <w:rsid w:val="00A36D6D"/>
    <w:rsid w:val="00A37C12"/>
    <w:rsid w:val="00A44C68"/>
    <w:rsid w:val="00A4606F"/>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05E"/>
    <w:rsid w:val="00A934A2"/>
    <w:rsid w:val="00A95349"/>
    <w:rsid w:val="00A97029"/>
    <w:rsid w:val="00AA0177"/>
    <w:rsid w:val="00AA05EB"/>
    <w:rsid w:val="00AA0D76"/>
    <w:rsid w:val="00AA2040"/>
    <w:rsid w:val="00AA48F7"/>
    <w:rsid w:val="00AA5C09"/>
    <w:rsid w:val="00AB0EF4"/>
    <w:rsid w:val="00AB1D32"/>
    <w:rsid w:val="00AB3041"/>
    <w:rsid w:val="00AB3DA5"/>
    <w:rsid w:val="00AB53BD"/>
    <w:rsid w:val="00AB6679"/>
    <w:rsid w:val="00AC209E"/>
    <w:rsid w:val="00AC5383"/>
    <w:rsid w:val="00AC6114"/>
    <w:rsid w:val="00AD06DA"/>
    <w:rsid w:val="00AD0CA3"/>
    <w:rsid w:val="00AD0F06"/>
    <w:rsid w:val="00AD293F"/>
    <w:rsid w:val="00AD3456"/>
    <w:rsid w:val="00AD3FD7"/>
    <w:rsid w:val="00AE4A91"/>
    <w:rsid w:val="00AE7FAE"/>
    <w:rsid w:val="00AF05F4"/>
    <w:rsid w:val="00AF10E8"/>
    <w:rsid w:val="00AF189B"/>
    <w:rsid w:val="00AF61AF"/>
    <w:rsid w:val="00AF6226"/>
    <w:rsid w:val="00AF6CC2"/>
    <w:rsid w:val="00B03834"/>
    <w:rsid w:val="00B03CD6"/>
    <w:rsid w:val="00B05F49"/>
    <w:rsid w:val="00B06BDA"/>
    <w:rsid w:val="00B07CB5"/>
    <w:rsid w:val="00B10706"/>
    <w:rsid w:val="00B154C1"/>
    <w:rsid w:val="00B20B9D"/>
    <w:rsid w:val="00B23690"/>
    <w:rsid w:val="00B2595A"/>
    <w:rsid w:val="00B26910"/>
    <w:rsid w:val="00B27097"/>
    <w:rsid w:val="00B30398"/>
    <w:rsid w:val="00B31A3D"/>
    <w:rsid w:val="00B32578"/>
    <w:rsid w:val="00B3388D"/>
    <w:rsid w:val="00B341DA"/>
    <w:rsid w:val="00B34A02"/>
    <w:rsid w:val="00B34E79"/>
    <w:rsid w:val="00B40C0A"/>
    <w:rsid w:val="00B40E2C"/>
    <w:rsid w:val="00B4160E"/>
    <w:rsid w:val="00B4247F"/>
    <w:rsid w:val="00B44770"/>
    <w:rsid w:val="00B44F39"/>
    <w:rsid w:val="00B462CA"/>
    <w:rsid w:val="00B46FCA"/>
    <w:rsid w:val="00B47293"/>
    <w:rsid w:val="00B514E2"/>
    <w:rsid w:val="00B5210A"/>
    <w:rsid w:val="00B54E51"/>
    <w:rsid w:val="00B54E98"/>
    <w:rsid w:val="00B55478"/>
    <w:rsid w:val="00B557A1"/>
    <w:rsid w:val="00B560D1"/>
    <w:rsid w:val="00B5648F"/>
    <w:rsid w:val="00B565FF"/>
    <w:rsid w:val="00B575D7"/>
    <w:rsid w:val="00B617BD"/>
    <w:rsid w:val="00B6596F"/>
    <w:rsid w:val="00B66992"/>
    <w:rsid w:val="00B66AAD"/>
    <w:rsid w:val="00B82B1E"/>
    <w:rsid w:val="00B82DF6"/>
    <w:rsid w:val="00B85B7A"/>
    <w:rsid w:val="00B8687D"/>
    <w:rsid w:val="00B92185"/>
    <w:rsid w:val="00B932BB"/>
    <w:rsid w:val="00B938E8"/>
    <w:rsid w:val="00B93B69"/>
    <w:rsid w:val="00B93C45"/>
    <w:rsid w:val="00B95A80"/>
    <w:rsid w:val="00B95C0E"/>
    <w:rsid w:val="00BA145E"/>
    <w:rsid w:val="00BA7D6A"/>
    <w:rsid w:val="00BB2DC2"/>
    <w:rsid w:val="00BB5F16"/>
    <w:rsid w:val="00BC2C03"/>
    <w:rsid w:val="00BC5077"/>
    <w:rsid w:val="00BC6EAC"/>
    <w:rsid w:val="00BC7E72"/>
    <w:rsid w:val="00BD13B8"/>
    <w:rsid w:val="00BD2346"/>
    <w:rsid w:val="00BD3349"/>
    <w:rsid w:val="00BD34F0"/>
    <w:rsid w:val="00BD3FF6"/>
    <w:rsid w:val="00BD56DF"/>
    <w:rsid w:val="00BD7B91"/>
    <w:rsid w:val="00BE0F3F"/>
    <w:rsid w:val="00BE25E6"/>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16129"/>
    <w:rsid w:val="00C22E5F"/>
    <w:rsid w:val="00C231BD"/>
    <w:rsid w:val="00C23C8D"/>
    <w:rsid w:val="00C24238"/>
    <w:rsid w:val="00C2458F"/>
    <w:rsid w:val="00C258B6"/>
    <w:rsid w:val="00C278C7"/>
    <w:rsid w:val="00C312E0"/>
    <w:rsid w:val="00C342E7"/>
    <w:rsid w:val="00C37D66"/>
    <w:rsid w:val="00C438AA"/>
    <w:rsid w:val="00C438DE"/>
    <w:rsid w:val="00C44CCD"/>
    <w:rsid w:val="00C44EBA"/>
    <w:rsid w:val="00C46A93"/>
    <w:rsid w:val="00C477B5"/>
    <w:rsid w:val="00C5288F"/>
    <w:rsid w:val="00C556C2"/>
    <w:rsid w:val="00C55847"/>
    <w:rsid w:val="00C56541"/>
    <w:rsid w:val="00C56B9B"/>
    <w:rsid w:val="00C60FB3"/>
    <w:rsid w:val="00C6214F"/>
    <w:rsid w:val="00C630C3"/>
    <w:rsid w:val="00C659CF"/>
    <w:rsid w:val="00C704E7"/>
    <w:rsid w:val="00C74FF6"/>
    <w:rsid w:val="00C75100"/>
    <w:rsid w:val="00C83017"/>
    <w:rsid w:val="00C86997"/>
    <w:rsid w:val="00C943E0"/>
    <w:rsid w:val="00C9481C"/>
    <w:rsid w:val="00C949B5"/>
    <w:rsid w:val="00C94A27"/>
    <w:rsid w:val="00C94DB1"/>
    <w:rsid w:val="00C96318"/>
    <w:rsid w:val="00CA1366"/>
    <w:rsid w:val="00CA22A3"/>
    <w:rsid w:val="00CA23F5"/>
    <w:rsid w:val="00CA4F98"/>
    <w:rsid w:val="00CA72A6"/>
    <w:rsid w:val="00CB0221"/>
    <w:rsid w:val="00CB0F59"/>
    <w:rsid w:val="00CB3AF7"/>
    <w:rsid w:val="00CB457A"/>
    <w:rsid w:val="00CB6D03"/>
    <w:rsid w:val="00CB7727"/>
    <w:rsid w:val="00CC3617"/>
    <w:rsid w:val="00CC4F68"/>
    <w:rsid w:val="00CC5E86"/>
    <w:rsid w:val="00CC6DDC"/>
    <w:rsid w:val="00CD043A"/>
    <w:rsid w:val="00CD04E9"/>
    <w:rsid w:val="00CD2BCA"/>
    <w:rsid w:val="00CD5713"/>
    <w:rsid w:val="00CD6D39"/>
    <w:rsid w:val="00CE0A2F"/>
    <w:rsid w:val="00CE0A94"/>
    <w:rsid w:val="00CF09A5"/>
    <w:rsid w:val="00CF394C"/>
    <w:rsid w:val="00CF58C3"/>
    <w:rsid w:val="00D023E6"/>
    <w:rsid w:val="00D04395"/>
    <w:rsid w:val="00D06432"/>
    <w:rsid w:val="00D06E95"/>
    <w:rsid w:val="00D0700D"/>
    <w:rsid w:val="00D103E7"/>
    <w:rsid w:val="00D10AED"/>
    <w:rsid w:val="00D15FDC"/>
    <w:rsid w:val="00D1763B"/>
    <w:rsid w:val="00D178E8"/>
    <w:rsid w:val="00D229F9"/>
    <w:rsid w:val="00D25BD8"/>
    <w:rsid w:val="00D30D95"/>
    <w:rsid w:val="00D322A1"/>
    <w:rsid w:val="00D34239"/>
    <w:rsid w:val="00D3475A"/>
    <w:rsid w:val="00D34ADF"/>
    <w:rsid w:val="00D34DC8"/>
    <w:rsid w:val="00D35D2B"/>
    <w:rsid w:val="00D379F2"/>
    <w:rsid w:val="00D4009E"/>
    <w:rsid w:val="00D4099B"/>
    <w:rsid w:val="00D445A8"/>
    <w:rsid w:val="00D556EC"/>
    <w:rsid w:val="00D559A3"/>
    <w:rsid w:val="00D55B0E"/>
    <w:rsid w:val="00D6487D"/>
    <w:rsid w:val="00D660E7"/>
    <w:rsid w:val="00D66905"/>
    <w:rsid w:val="00D7094D"/>
    <w:rsid w:val="00D70F84"/>
    <w:rsid w:val="00D7305E"/>
    <w:rsid w:val="00D733E9"/>
    <w:rsid w:val="00D74D50"/>
    <w:rsid w:val="00D74E9C"/>
    <w:rsid w:val="00D75204"/>
    <w:rsid w:val="00D752C7"/>
    <w:rsid w:val="00D756AE"/>
    <w:rsid w:val="00D76CE6"/>
    <w:rsid w:val="00D81AC5"/>
    <w:rsid w:val="00D85BEC"/>
    <w:rsid w:val="00D9096A"/>
    <w:rsid w:val="00D92B1B"/>
    <w:rsid w:val="00D934AB"/>
    <w:rsid w:val="00D93F2F"/>
    <w:rsid w:val="00D94D87"/>
    <w:rsid w:val="00D971D9"/>
    <w:rsid w:val="00D97A60"/>
    <w:rsid w:val="00DA03B8"/>
    <w:rsid w:val="00DA07C9"/>
    <w:rsid w:val="00DA1CC7"/>
    <w:rsid w:val="00DA23FC"/>
    <w:rsid w:val="00DA483B"/>
    <w:rsid w:val="00DA4F4D"/>
    <w:rsid w:val="00DA627C"/>
    <w:rsid w:val="00DB1D66"/>
    <w:rsid w:val="00DB1FB1"/>
    <w:rsid w:val="00DB239E"/>
    <w:rsid w:val="00DB3F2F"/>
    <w:rsid w:val="00DB41CE"/>
    <w:rsid w:val="00DB4D5E"/>
    <w:rsid w:val="00DB5A7B"/>
    <w:rsid w:val="00DB5C79"/>
    <w:rsid w:val="00DB6FA2"/>
    <w:rsid w:val="00DC0CBE"/>
    <w:rsid w:val="00DC0EC5"/>
    <w:rsid w:val="00DC12A8"/>
    <w:rsid w:val="00DC23C5"/>
    <w:rsid w:val="00DC378F"/>
    <w:rsid w:val="00DC467C"/>
    <w:rsid w:val="00DC71D5"/>
    <w:rsid w:val="00DD3EDC"/>
    <w:rsid w:val="00DD51B8"/>
    <w:rsid w:val="00DD6E9E"/>
    <w:rsid w:val="00DD7440"/>
    <w:rsid w:val="00DE135B"/>
    <w:rsid w:val="00DE448D"/>
    <w:rsid w:val="00DE712A"/>
    <w:rsid w:val="00DF151C"/>
    <w:rsid w:val="00DF2FEE"/>
    <w:rsid w:val="00E009D7"/>
    <w:rsid w:val="00E11594"/>
    <w:rsid w:val="00E21DCA"/>
    <w:rsid w:val="00E23071"/>
    <w:rsid w:val="00E2428D"/>
    <w:rsid w:val="00E248AE"/>
    <w:rsid w:val="00E25744"/>
    <w:rsid w:val="00E271AA"/>
    <w:rsid w:val="00E271C4"/>
    <w:rsid w:val="00E274BD"/>
    <w:rsid w:val="00E3029F"/>
    <w:rsid w:val="00E363A2"/>
    <w:rsid w:val="00E412B3"/>
    <w:rsid w:val="00E44E39"/>
    <w:rsid w:val="00E45D94"/>
    <w:rsid w:val="00E4758E"/>
    <w:rsid w:val="00E47648"/>
    <w:rsid w:val="00E47CCB"/>
    <w:rsid w:val="00E5567B"/>
    <w:rsid w:val="00E61FF8"/>
    <w:rsid w:val="00E64E9F"/>
    <w:rsid w:val="00E71D3B"/>
    <w:rsid w:val="00E755DB"/>
    <w:rsid w:val="00E75EF0"/>
    <w:rsid w:val="00E774A8"/>
    <w:rsid w:val="00E812AC"/>
    <w:rsid w:val="00E81404"/>
    <w:rsid w:val="00E830DA"/>
    <w:rsid w:val="00E84619"/>
    <w:rsid w:val="00E85281"/>
    <w:rsid w:val="00E90618"/>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5E0B"/>
    <w:rsid w:val="00EE6952"/>
    <w:rsid w:val="00EE6C3C"/>
    <w:rsid w:val="00EF001F"/>
    <w:rsid w:val="00EF146F"/>
    <w:rsid w:val="00EF1FFE"/>
    <w:rsid w:val="00EF3130"/>
    <w:rsid w:val="00EF7FEA"/>
    <w:rsid w:val="00F0014B"/>
    <w:rsid w:val="00F1203F"/>
    <w:rsid w:val="00F1216E"/>
    <w:rsid w:val="00F121AB"/>
    <w:rsid w:val="00F16598"/>
    <w:rsid w:val="00F21A6D"/>
    <w:rsid w:val="00F21D19"/>
    <w:rsid w:val="00F2224F"/>
    <w:rsid w:val="00F230AC"/>
    <w:rsid w:val="00F27036"/>
    <w:rsid w:val="00F308DA"/>
    <w:rsid w:val="00F30A06"/>
    <w:rsid w:val="00F30EDE"/>
    <w:rsid w:val="00F43A47"/>
    <w:rsid w:val="00F44372"/>
    <w:rsid w:val="00F4467F"/>
    <w:rsid w:val="00F44E3D"/>
    <w:rsid w:val="00F457D6"/>
    <w:rsid w:val="00F52BFE"/>
    <w:rsid w:val="00F53D38"/>
    <w:rsid w:val="00F55F4F"/>
    <w:rsid w:val="00F56A25"/>
    <w:rsid w:val="00F60E3D"/>
    <w:rsid w:val="00F6138D"/>
    <w:rsid w:val="00F61E9B"/>
    <w:rsid w:val="00F62C1B"/>
    <w:rsid w:val="00F636B9"/>
    <w:rsid w:val="00F64E26"/>
    <w:rsid w:val="00F74AC4"/>
    <w:rsid w:val="00F76D5E"/>
    <w:rsid w:val="00F860E0"/>
    <w:rsid w:val="00F8644E"/>
    <w:rsid w:val="00F8728A"/>
    <w:rsid w:val="00F87FFB"/>
    <w:rsid w:val="00F91BCA"/>
    <w:rsid w:val="00F93762"/>
    <w:rsid w:val="00F96192"/>
    <w:rsid w:val="00F97085"/>
    <w:rsid w:val="00FA065A"/>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E6FC2"/>
    <w:rsid w:val="00FF05DF"/>
    <w:rsid w:val="00FF0615"/>
    <w:rsid w:val="00FF0AB7"/>
    <w:rsid w:val="00FF2B8F"/>
    <w:rsid w:val="00FF304E"/>
    <w:rsid w:val="00FF39BB"/>
    <w:rsid w:val="00FF658A"/>
    <w:rsid w:val="00FF6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CB34F40E-6B0D-49D0-A6BA-27BD4FAD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unhideWhenUsed/>
    <w:rsid w:val="006845DB"/>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rsid w:val="006845DB"/>
    <w:rPr>
      <w:rFonts w:ascii="Calibri" w:eastAsia="Times New Roman" w:hAnsi="Calibri" w:cs="Times New Roman"/>
      <w:sz w:val="22"/>
      <w:szCs w:val="21"/>
    </w:rPr>
  </w:style>
  <w:style w:type="paragraph" w:customStyle="1" w:styleId="EndNoteBibliography">
    <w:name w:val="EndNote Bibliography"/>
    <w:basedOn w:val="Normal"/>
    <w:link w:val="EndNoteBibliographyChar"/>
    <w:rsid w:val="00035F84"/>
    <w:rPr>
      <w:rFonts w:cs="Times New Roman"/>
      <w:noProof/>
    </w:rPr>
  </w:style>
  <w:style w:type="character" w:customStyle="1" w:styleId="EndNoteBibliographyChar">
    <w:name w:val="EndNote Bibliography Char"/>
    <w:basedOn w:val="DefaultParagraphFont"/>
    <w:link w:val="EndNoteBibliography"/>
    <w:rsid w:val="00035F84"/>
    <w:rPr>
      <w:rFonts w:cs="Times New Roman"/>
      <w:noProof/>
    </w:rPr>
  </w:style>
  <w:style w:type="character" w:customStyle="1" w:styleId="Mention3">
    <w:name w:val="Mention3"/>
    <w:basedOn w:val="DefaultParagraphFont"/>
    <w:uiPriority w:val="99"/>
    <w:semiHidden/>
    <w:unhideWhenUsed/>
    <w:rsid w:val="00136B62"/>
    <w:rPr>
      <w:color w:val="2B579A"/>
      <w:shd w:val="clear" w:color="auto" w:fill="E6E6E6"/>
    </w:rPr>
  </w:style>
  <w:style w:type="character" w:styleId="Mention">
    <w:name w:val="Mention"/>
    <w:basedOn w:val="DefaultParagraphFont"/>
    <w:uiPriority w:val="99"/>
    <w:semiHidden/>
    <w:unhideWhenUsed/>
    <w:rsid w:val="00911D8D"/>
    <w:rPr>
      <w:color w:val="2B579A"/>
      <w:shd w:val="clear" w:color="auto" w:fill="E6E6E6"/>
    </w:rPr>
  </w:style>
  <w:style w:type="paragraph" w:customStyle="1" w:styleId="EndNoteBibliographyTitle">
    <w:name w:val="EndNote Bibliography Title"/>
    <w:basedOn w:val="Normal"/>
    <w:link w:val="EndNoteBibliographyTitleChar"/>
    <w:rsid w:val="009978F2"/>
    <w:pPr>
      <w:jc w:val="center"/>
    </w:pPr>
    <w:rPr>
      <w:rFonts w:cs="Times New Roman"/>
      <w:noProof/>
    </w:rPr>
  </w:style>
  <w:style w:type="character" w:customStyle="1" w:styleId="EndNoteBibliographyTitleChar">
    <w:name w:val="EndNote Bibliography Title Char"/>
    <w:basedOn w:val="PlainTextChar"/>
    <w:link w:val="EndNoteBibliographyTitle"/>
    <w:rsid w:val="009978F2"/>
    <w:rPr>
      <w:rFonts w:ascii="Calibri" w:eastAsia="Times New Roman" w:hAnsi="Calibri" w:cs="Times New Roman"/>
      <w:noProof/>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56591091">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464216">
      <w:bodyDiv w:val="1"/>
      <w:marLeft w:val="0"/>
      <w:marRight w:val="0"/>
      <w:marTop w:val="0"/>
      <w:marBottom w:val="0"/>
      <w:divBdr>
        <w:top w:val="none" w:sz="0" w:space="0" w:color="auto"/>
        <w:left w:val="none" w:sz="0" w:space="0" w:color="auto"/>
        <w:bottom w:val="none" w:sz="0" w:space="0" w:color="auto"/>
        <w:right w:val="none" w:sz="0" w:space="0" w:color="auto"/>
      </w:divBdr>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5988024">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255704">
      <w:bodyDiv w:val="1"/>
      <w:marLeft w:val="0"/>
      <w:marRight w:val="0"/>
      <w:marTop w:val="0"/>
      <w:marBottom w:val="0"/>
      <w:divBdr>
        <w:top w:val="none" w:sz="0" w:space="0" w:color="auto"/>
        <w:left w:val="none" w:sz="0" w:space="0" w:color="auto"/>
        <w:bottom w:val="none" w:sz="0" w:space="0" w:color="auto"/>
        <w:right w:val="none" w:sz="0" w:space="0" w:color="auto"/>
      </w:divBdr>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680159640">
      <w:bodyDiv w:val="1"/>
      <w:marLeft w:val="0"/>
      <w:marRight w:val="0"/>
      <w:marTop w:val="0"/>
      <w:marBottom w:val="0"/>
      <w:divBdr>
        <w:top w:val="none" w:sz="0" w:space="0" w:color="auto"/>
        <w:left w:val="none" w:sz="0" w:space="0" w:color="auto"/>
        <w:bottom w:val="none" w:sz="0" w:space="0" w:color="auto"/>
        <w:right w:val="none" w:sz="0" w:space="0" w:color="auto"/>
      </w:divBdr>
    </w:div>
    <w:div w:id="684550634">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29233219">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929199436">
      <w:bodyDiv w:val="1"/>
      <w:marLeft w:val="0"/>
      <w:marRight w:val="0"/>
      <w:marTop w:val="0"/>
      <w:marBottom w:val="0"/>
      <w:divBdr>
        <w:top w:val="none" w:sz="0" w:space="0" w:color="auto"/>
        <w:left w:val="none" w:sz="0" w:space="0" w:color="auto"/>
        <w:bottom w:val="none" w:sz="0" w:space="0" w:color="auto"/>
        <w:right w:val="none" w:sz="0" w:space="0" w:color="auto"/>
      </w:divBdr>
      <w:divsChild>
        <w:div w:id="276452149">
          <w:marLeft w:val="0"/>
          <w:marRight w:val="0"/>
          <w:marTop w:val="0"/>
          <w:marBottom w:val="0"/>
          <w:divBdr>
            <w:top w:val="none" w:sz="0" w:space="0" w:color="auto"/>
            <w:left w:val="none" w:sz="0" w:space="0" w:color="auto"/>
            <w:bottom w:val="none" w:sz="0" w:space="0" w:color="auto"/>
            <w:right w:val="none" w:sz="0" w:space="0" w:color="auto"/>
          </w:divBdr>
        </w:div>
      </w:divsChild>
    </w:div>
    <w:div w:id="957417670">
      <w:bodyDiv w:val="1"/>
      <w:marLeft w:val="0"/>
      <w:marRight w:val="0"/>
      <w:marTop w:val="0"/>
      <w:marBottom w:val="0"/>
      <w:divBdr>
        <w:top w:val="none" w:sz="0" w:space="0" w:color="auto"/>
        <w:left w:val="none" w:sz="0" w:space="0" w:color="auto"/>
        <w:bottom w:val="none" w:sz="0" w:space="0" w:color="auto"/>
        <w:right w:val="none" w:sz="0" w:space="0" w:color="auto"/>
      </w:divBdr>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17548491">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914416">
      <w:bodyDiv w:val="1"/>
      <w:marLeft w:val="0"/>
      <w:marRight w:val="0"/>
      <w:marTop w:val="0"/>
      <w:marBottom w:val="0"/>
      <w:divBdr>
        <w:top w:val="none" w:sz="0" w:space="0" w:color="auto"/>
        <w:left w:val="none" w:sz="0" w:space="0" w:color="auto"/>
        <w:bottom w:val="none" w:sz="0" w:space="0" w:color="auto"/>
        <w:right w:val="none" w:sz="0" w:space="0" w:color="auto"/>
      </w:divBdr>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57798332">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69583">
      <w:bodyDiv w:val="1"/>
      <w:marLeft w:val="0"/>
      <w:marRight w:val="0"/>
      <w:marTop w:val="0"/>
      <w:marBottom w:val="0"/>
      <w:divBdr>
        <w:top w:val="none" w:sz="0" w:space="0" w:color="auto"/>
        <w:left w:val="none" w:sz="0" w:space="0" w:color="auto"/>
        <w:bottom w:val="none" w:sz="0" w:space="0" w:color="auto"/>
        <w:right w:val="none" w:sz="0" w:space="0" w:color="auto"/>
      </w:divBdr>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ubmed/?term=Jacobsen%20R%5BAuthor%5D&amp;cauthor=true&amp;cauthor_uid=15074566"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ncbi.nlm.nih.gov/pubmed/15074566" TargetMode="External"/><Relationship Id="rId17" Type="http://schemas.openxmlformats.org/officeDocument/2006/relationships/hyperlink" Target="https://www.ncbi.nlm.nih.gov/pubmed/?term=Keiding%20N%5BAuthor%5D&amp;cauthor=true&amp;cauthor_uid=1507456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ubmed/?term=Lynge%20E%5BAuthor%5D&amp;cauthor=true&amp;cauthor_uid=15074566"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3FEA5.9D9457C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ubmed/?term=Osler%20M%5BAuthor%5D&amp;cauthor=true&amp;cauthor_uid=15074566"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ubmed/?term=Von%20Euler%20M%5BAuthor%5D&amp;cauthor=true&amp;cauthor_uid=15074566"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2C75A-0716-45A6-81F9-F68323A51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2380</Words>
  <Characters>14119</Characters>
  <Application>Microsoft Office Word</Application>
  <DocSecurity>0</DocSecurity>
  <Lines>470</Lines>
  <Paragraphs>229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José Manuel Aburto</cp:lastModifiedBy>
  <cp:revision>4</cp:revision>
  <dcterms:created xsi:type="dcterms:W3CDTF">2018-06-12T11:37:00Z</dcterms:created>
  <dcterms:modified xsi:type="dcterms:W3CDTF">2018-06-16T14:04:00Z</dcterms:modified>
</cp:coreProperties>
</file>