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83BC9DA"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125AC042"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w:t>
      </w:r>
      <w:r w:rsidR="008A2FE9">
        <w:rPr>
          <w:rFonts w:ascii="Garamond" w:hAnsi="Garamond" w:cs="Times New Roman"/>
          <w:sz w:val="26"/>
          <w:szCs w:val="26"/>
        </w:rPr>
        <w:t xml:space="preserve"> equally</w:t>
      </w:r>
      <w:r w:rsidR="00121A51" w:rsidRPr="00B2566E">
        <w:rPr>
          <w:rFonts w:ascii="Garamond" w:hAnsi="Garamond" w:cs="Times New Roman"/>
          <w:sz w:val="26"/>
          <w:szCs w:val="26"/>
        </w:rPr>
        <w:t xml:space="preserve"> important</w:t>
      </w:r>
      <w:r w:rsidR="00D70E80" w:rsidRPr="00B2566E">
        <w:rPr>
          <w:rFonts w:ascii="Garamond" w:hAnsi="Garamond" w:cs="Times New Roman"/>
          <w:sz w:val="26"/>
          <w:szCs w:val="26"/>
        </w:rPr>
        <w:t xml:space="preserve"> policy goals. 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2F35BD" w:rsidRPr="00B2566E">
        <w:rPr>
          <w:rFonts w:ascii="Garamond" w:hAnsi="Garamond" w:cs="Times New Roman"/>
          <w:sz w:val="26"/>
          <w:szCs w:val="26"/>
        </w:rPr>
        <w:t>which causes of death</w:t>
      </w:r>
      <w:r w:rsidR="002F35BD">
        <w:rPr>
          <w:rFonts w:ascii="Garamond" w:hAnsi="Garamond" w:cs="Times New Roman"/>
          <w:sz w:val="26"/>
          <w:szCs w:val="26"/>
        </w:rPr>
        <w:t xml:space="preserve"> drove any changes in</w:t>
      </w:r>
      <w:r w:rsidR="00F270D4" w:rsidRPr="00B2566E">
        <w:rPr>
          <w:rFonts w:ascii="Garamond" w:hAnsi="Garamond" w:cs="Times New Roman"/>
          <w:sz w:val="26"/>
          <w:szCs w:val="26"/>
        </w:rPr>
        <w:t xml:space="preserve"> 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087F5A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We made cause-by-age decompositions of</w:t>
      </w:r>
      <w:r w:rsidR="007E26E6" w:rsidRPr="00B2566E">
        <w:rPr>
          <w:rFonts w:ascii="Garamond" w:hAnsi="Garamond" w:cs="Times New Roman"/>
          <w:sz w:val="26"/>
          <w:szCs w:val="26"/>
        </w:rPr>
        <w:t xml:space="preserve"> the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D0AB4EF"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6960DE">
        <w:rPr>
          <w:rFonts w:ascii="Garamond" w:hAnsi="Garamond" w:cs="Times New Roman"/>
          <w:sz w:val="26"/>
          <w:szCs w:val="26"/>
        </w:rPr>
        <w:t xml:space="preserve"> Improvements after 1995 have reduced inequality in lockstep with the rise in life expectancy. However, they still lag those of Sweden. </w:t>
      </w:r>
      <w:r w:rsidR="00FD61FC" w:rsidRPr="00B2566E">
        <w:rPr>
          <w:rFonts w:ascii="Garamond" w:hAnsi="Garamond" w:cs="Times New Roman"/>
          <w:sz w:val="26"/>
          <w:szCs w:val="26"/>
        </w:rPr>
        <w:t>Denmark</w:t>
      </w:r>
      <w:r w:rsidR="00135C42" w:rsidRPr="00B2566E">
        <w:rPr>
          <w:rFonts w:ascii="Garamond" w:hAnsi="Garamond" w:cs="Times New Roman"/>
          <w:sz w:val="26"/>
          <w:szCs w:val="26"/>
        </w:rPr>
        <w:t xml:space="preserve">’s </w:t>
      </w:r>
      <w:r w:rsidR="00E17A85">
        <w:rPr>
          <w:rFonts w:ascii="Garamond" w:hAnsi="Garamond" w:cs="Times New Roman"/>
          <w:sz w:val="26"/>
          <w:szCs w:val="26"/>
        </w:rPr>
        <w:t xml:space="preserve">current </w:t>
      </w:r>
      <w:r w:rsidR="00135C42" w:rsidRPr="00B2566E">
        <w:rPr>
          <w:rFonts w:ascii="Garamond" w:hAnsi="Garamond" w:cs="Times New Roman"/>
          <w:sz w:val="26"/>
          <w:szCs w:val="26"/>
        </w:rPr>
        <w:t>gap</w:t>
      </w:r>
      <w:r w:rsidR="00C7114C">
        <w:rPr>
          <w:rFonts w:ascii="Garamond" w:hAnsi="Garamond" w:cs="Times New Roman"/>
          <w:sz w:val="26"/>
          <w:szCs w:val="26"/>
        </w:rPr>
        <w:t>s</w:t>
      </w:r>
      <w:r w:rsidR="00135C42" w:rsidRPr="00B2566E">
        <w:rPr>
          <w:rFonts w:ascii="Garamond" w:hAnsi="Garamond" w:cs="Times New Roman"/>
          <w:sz w:val="26"/>
          <w:szCs w:val="26"/>
        </w:rPr>
        <w:t xml:space="preserve"> with </w:t>
      </w:r>
      <w:r w:rsidR="00FD61FC" w:rsidRPr="00B2566E">
        <w:rPr>
          <w:rFonts w:ascii="Garamond" w:hAnsi="Garamond" w:cs="Times New Roman"/>
          <w:sz w:val="26"/>
          <w:szCs w:val="26"/>
        </w:rPr>
        <w:t>Sweden</w:t>
      </w:r>
      <w:r w:rsidR="00E17A85">
        <w:rPr>
          <w:rFonts w:ascii="Garamond" w:hAnsi="Garamond" w:cs="Times New Roman"/>
          <w:sz w:val="26"/>
          <w:szCs w:val="26"/>
        </w:rPr>
        <w:t xml:space="preserve"> </w:t>
      </w:r>
      <w:r w:rsidR="00FD61FC" w:rsidRPr="00B2566E">
        <w:rPr>
          <w:rFonts w:ascii="Garamond" w:hAnsi="Garamond" w:cs="Times New Roman"/>
          <w:sz w:val="26"/>
          <w:szCs w:val="26"/>
        </w:rPr>
        <w:t xml:space="preserve">in terms of </w:t>
      </w:r>
      <w:r w:rsidR="00135C42" w:rsidRPr="00B2566E">
        <w:rPr>
          <w:rFonts w:ascii="Garamond" w:hAnsi="Garamond" w:cs="Times New Roman"/>
          <w:sz w:val="26"/>
          <w:szCs w:val="26"/>
        </w:rPr>
        <w:t xml:space="preserve">life expectancy and </w:t>
      </w:r>
      <w:r w:rsidR="006960DE">
        <w:rPr>
          <w:rFonts w:ascii="Garamond" w:hAnsi="Garamond" w:cs="Times New Roman"/>
          <w:sz w:val="26"/>
          <w:szCs w:val="26"/>
        </w:rPr>
        <w:t>in</w:t>
      </w:r>
      <w:r w:rsidR="00135C42" w:rsidRPr="00B2566E">
        <w:rPr>
          <w:rFonts w:ascii="Garamond" w:hAnsi="Garamond" w:cs="Times New Roman"/>
          <w:sz w:val="26"/>
          <w:szCs w:val="26"/>
        </w:rPr>
        <w:t xml:space="preserve">equality is </w:t>
      </w:r>
      <w:r w:rsidR="00C7114C">
        <w:rPr>
          <w:rFonts w:ascii="Garamond" w:hAnsi="Garamond" w:cs="Times New Roman"/>
          <w:sz w:val="26"/>
          <w:szCs w:val="26"/>
        </w:rPr>
        <w:t xml:space="preserve">due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456D5280" w14:textId="58504D22"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24788D0A"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retire.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AF58C8" w:rsidRPr="00B2566E">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some, perhaps</w:t>
      </w:r>
      <w:r w:rsidR="00D47F8A" w:rsidRPr="00B2566E">
        <w:rPr>
          <w:rFonts w:ascii="Garamond" w:hAnsi="Garamond" w:cs="Times New Roman"/>
          <w:sz w:val="26"/>
          <w:szCs w:val="26"/>
        </w:rPr>
        <w:t xml:space="preserve"> 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Also</w:t>
      </w:r>
      <w:r w:rsidR="00314A20" w:rsidRPr="00B2566E">
        <w:rPr>
          <w:rFonts w:ascii="Garamond" w:hAnsi="Garamond" w:cs="Times New Roman"/>
          <w:sz w:val="26"/>
          <w:szCs w:val="26"/>
        </w:rPr>
        <w:t xml:space="preserve">, </w:t>
      </w:r>
      <w:r w:rsidR="004B34C9" w:rsidRPr="00B2566E">
        <w:rPr>
          <w:rFonts w:ascii="Garamond" w:hAnsi="Garamond" w:cs="Times New Roman"/>
          <w:sz w:val="26"/>
          <w:szCs w:val="26"/>
        </w:rPr>
        <w:t xml:space="preserve">individuals </w:t>
      </w:r>
      <w:r w:rsidR="009722D2" w:rsidRPr="00B2566E">
        <w:rPr>
          <w:rFonts w:ascii="Garamond" w:hAnsi="Garamond" w:cs="Times New Roman"/>
          <w:sz w:val="26"/>
          <w:szCs w:val="26"/>
        </w:rPr>
        <w:t>may decide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the uncertainty surrounding their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p>
    <w:p w14:paraId="498F006E" w14:textId="78E3D632" w:rsidR="0022126B" w:rsidRDefault="0022126B" w:rsidP="00861A87">
      <w:pPr>
        <w:spacing w:line="360" w:lineRule="auto"/>
        <w:ind w:firstLine="720"/>
        <w:jc w:val="both"/>
        <w:rPr>
          <w:rFonts w:ascii="Garamond" w:hAnsi="Garamond" w:cs="Times New Roman"/>
          <w:sz w:val="26"/>
          <w:szCs w:val="26"/>
        </w:rPr>
      </w:pPr>
      <w:r>
        <w:rPr>
          <w:rFonts w:ascii="Garamond" w:hAnsi="Garamond" w:cs="Times New Roman"/>
          <w:sz w:val="26"/>
          <w:szCs w:val="26"/>
        </w:rPr>
        <w:t xml:space="preserve">Life expectancy is lower in Denmark than in Norway and Sweden.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 between the mid-1970s and mid-1990s, to improve thereafter, remaining lower than in Sweden and Norway. The stagnation in life expectancy resulted mainly from increased mortality of those born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 throughout life smoking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r w:rsidR="00FB71BE" w:rsidRPr="00B2566E">
        <w:rPr>
          <w:rFonts w:ascii="Garamond" w:hAnsi="Garamond" w:cs="Times New Roman"/>
          <w:sz w:val="26"/>
          <w:szCs w:val="26"/>
        </w:rPr>
        <w:t>It is unknown how lifespan inequality developed since 1960 and which causes of death drove those changes.</w:t>
      </w:r>
    </w:p>
    <w:p w14:paraId="393EAD64" w14:textId="544273E1" w:rsidR="00B64AD0" w:rsidRPr="00B2566E" w:rsidRDefault="004C7C15"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Here we test the hypotheses that 1) Denmark has higher life</w:t>
      </w:r>
      <w:r w:rsidR="00864E50" w:rsidRPr="00B2566E">
        <w:rPr>
          <w:rFonts w:ascii="Garamond" w:hAnsi="Garamond" w:cs="Times New Roman"/>
          <w:sz w:val="26"/>
          <w:szCs w:val="26"/>
        </w:rPr>
        <w:t>span</w:t>
      </w:r>
      <w:r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961525" w:rsidRPr="00B2566E">
        <w:rPr>
          <w:rFonts w:ascii="Garamond" w:hAnsi="Garamond" w:cs="Times New Roman"/>
          <w:sz w:val="26"/>
          <w:szCs w:val="26"/>
        </w:rPr>
        <w:t xml:space="preserve"> 2)</w:t>
      </w:r>
      <w:r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 and 3)</w:t>
      </w:r>
      <w:r w:rsidR="00AF58C8" w:rsidRPr="00B2566E">
        <w:rPr>
          <w:rFonts w:ascii="Garamond" w:hAnsi="Garamond" w:cs="Times New Roman"/>
          <w:sz w:val="26"/>
          <w:szCs w:val="26"/>
        </w:rPr>
        <w:t xml:space="preserve"> this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we answer the question: What should Denmark do now to reduce lifespan inequality</w:t>
      </w:r>
      <w:r w:rsidR="0022126B">
        <w:rPr>
          <w:rFonts w:ascii="Garamond" w:hAnsi="Garamond" w:cs="Times New Roman"/>
          <w:sz w:val="26"/>
          <w:szCs w:val="26"/>
        </w:rPr>
        <w:t xml:space="preserve">, and what </w:t>
      </w:r>
      <w:r w:rsidR="00FB71BE" w:rsidRPr="00B2566E">
        <w:rPr>
          <w:rFonts w:ascii="Garamond" w:hAnsi="Garamond" w:cs="Times New Roman"/>
          <w:sz w:val="26"/>
          <w:szCs w:val="26"/>
        </w:rPr>
        <w:t>to increase life expectancy</w:t>
      </w:r>
      <w:r w:rsidR="00417B15">
        <w:rPr>
          <w:rFonts w:ascii="Garamond" w:hAnsi="Garamond" w:cs="Times New Roman"/>
          <w:sz w:val="26"/>
          <w:szCs w:val="26"/>
        </w:rPr>
        <w:t xml:space="preserve"> towards Swedish levels</w:t>
      </w:r>
      <w:r w:rsidR="00FB71BE" w:rsidRPr="00B2566E">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56B96BD2"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w:t>
      </w:r>
      <w:r w:rsidRPr="00B2566E">
        <w:rPr>
          <w:rFonts w:ascii="Garamond" w:hAnsi="Garamond" w:cs="Times New Roman"/>
          <w:sz w:val="26"/>
          <w:szCs w:val="26"/>
        </w:rPr>
        <w:t xml:space="preserve"> </w:t>
      </w:r>
      <w:r w:rsidR="00981D30" w:rsidRPr="00B2566E">
        <w:rPr>
          <w:rFonts w:ascii="Garamond" w:hAnsi="Garamond" w:cs="Times New Roman"/>
          <w:sz w:val="26"/>
          <w:szCs w:val="26"/>
        </w:rPr>
        <w:t>tables</w:t>
      </w:r>
      <w:r w:rsidRPr="00B2566E">
        <w:rPr>
          <w:rFonts w:ascii="Garamond" w:hAnsi="Garamond" w:cs="Times New Roman"/>
          <w:sz w:val="26"/>
          <w:szCs w:val="26"/>
        </w:rPr>
        <w:t xml:space="preserve"> with one 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lifetable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function and </w:t>
      </w:r>
      <w:r w:rsidR="00981D30" w:rsidRPr="00B2566E">
        <w:rPr>
          <w:rFonts w:ascii="Garamond" w:hAnsi="Garamond" w:cs="Times New Roman"/>
          <w:sz w:val="26"/>
          <w:szCs w:val="26"/>
        </w:rPr>
        <w:lastRenderedPageBreak/>
        <w:t xml:space="preserve">life expectancy, by age and sex. </w:t>
      </w:r>
      <w:r w:rsidR="003F6ED2" w:rsidRPr="00B2566E">
        <w:rPr>
          <w:rFonts w:ascii="Garamond" w:hAnsi="Garamond" w:cs="Times New Roman"/>
          <w:sz w:val="26"/>
          <w:szCs w:val="26"/>
        </w:rPr>
        <w:t>We use</w:t>
      </w:r>
      <w:r w:rsidRPr="00B2566E">
        <w:rPr>
          <w:rFonts w:ascii="Garamond" w:hAnsi="Garamond" w:cs="Times New Roman"/>
          <w:sz w:val="26"/>
          <w:szCs w:val="26"/>
        </w:rPr>
        <w:t>d</w:t>
      </w:r>
      <w:r w:rsidR="003F6ED2" w:rsidRPr="00B2566E">
        <w:rPr>
          <w:rFonts w:ascii="Garamond" w:hAnsi="Garamond" w:cs="Times New Roman"/>
          <w:sz w:val="26"/>
          <w:szCs w:val="26"/>
        </w:rPr>
        <w:t xml:space="preserve"> </w:t>
      </w:r>
      <w:r w:rsidR="004F43FB" w:rsidRPr="00B2566E">
        <w:rPr>
          <w:rFonts w:ascii="Garamond" w:hAnsi="Garamond" w:cs="Times New Roman"/>
          <w:sz w:val="26"/>
          <w:szCs w:val="26"/>
        </w:rPr>
        <w:t>cause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for the same period</w:t>
      </w:r>
      <w:r w:rsidR="004166F4"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17B15">
        <w:rPr>
          <w:rFonts w:ascii="Garamond" w:hAnsi="Garamond" w:cs="Times New Roman"/>
          <w:noProof/>
          <w:sz w:val="26"/>
          <w:szCs w:val="26"/>
        </w:rPr>
        <w:t>(14)</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Pr="00B2566E">
        <w:rPr>
          <w:rFonts w:ascii="Garamond" w:hAnsi="Garamond" w:cs="Times New Roman"/>
          <w:sz w:val="26"/>
          <w:szCs w:val="26"/>
        </w:rPr>
        <w:t xml:space="preserve">Causes of death data from the WHO mortality database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period categories.</w:t>
      </w:r>
      <w:r w:rsidR="00C31007" w:rsidRPr="00B2566E">
        <w:rPr>
          <w:rFonts w:ascii="Garamond" w:hAnsi="Garamond" w:cs="Times New Roman"/>
          <w:sz w:val="26"/>
          <w:szCs w:val="26"/>
        </w:rPr>
        <w:t xml:space="preserve"> Ungrouping into 1-year groups based on these 5-years groupings has previous been shown useful for the </w:t>
      </w:r>
      <w:r w:rsidR="003D4697" w:rsidRPr="00B2566E">
        <w:rPr>
          <w:rFonts w:ascii="Garamond" w:hAnsi="Garamond" w:cs="Times New Roman"/>
          <w:sz w:val="26"/>
          <w:szCs w:val="26"/>
        </w:rPr>
        <w:t xml:space="preserve">accuracy </w:t>
      </w:r>
      <w:r w:rsidR="00C31007" w:rsidRPr="00B2566E">
        <w:rPr>
          <w:rFonts w:ascii="Garamond" w:hAnsi="Garamond" w:cs="Times New Roman"/>
          <w:sz w:val="26"/>
          <w:szCs w:val="26"/>
        </w:rPr>
        <w:t xml:space="preserve">of the resulting </w:t>
      </w:r>
      <w:r w:rsidR="00981EEE">
        <w:rPr>
          <w:rFonts w:ascii="Garamond" w:hAnsi="Garamond" w:cs="Times New Roman"/>
          <w:sz w:val="26"/>
          <w:szCs w:val="26"/>
        </w:rPr>
        <w:t xml:space="preserve">estimates </w:t>
      </w:r>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r w:rsidR="00C31007" w:rsidRPr="00B2566E">
        <w:rPr>
          <w:rFonts w:ascii="Garamond" w:hAnsi="Garamond" w:cs="Times New Roman"/>
          <w:sz w:val="26"/>
          <w:szCs w:val="26"/>
        </w:rPr>
        <w:t>. Thus, we</w:t>
      </w:r>
      <w:r w:rsidR="003D4697" w:rsidRPr="00B2566E">
        <w:rPr>
          <w:rFonts w:ascii="Garamond" w:hAnsi="Garamond" w:cs="Times New Roman"/>
          <w:sz w:val="26"/>
          <w:szCs w:val="26"/>
        </w:rPr>
        <w:t xml:space="preserve"> ungrouped the cause-of-death data into single year ages using efficient estimation of smooth distributions</w:t>
      </w:r>
      <w:r w:rsidR="00080867" w:rsidRPr="00B2566E">
        <w:rPr>
          <w:rFonts w:ascii="Garamond" w:hAnsi="Garamond" w:cs="Times New Roman"/>
          <w:sz w:val="26"/>
          <w:szCs w:val="26"/>
        </w:rPr>
        <w:t xml:space="preserve"> and </w:t>
      </w:r>
      <w:r w:rsidR="00A226A3">
        <w:rPr>
          <w:rFonts w:ascii="Garamond" w:hAnsi="Garamond" w:cs="Times New Roman"/>
          <w:sz w:val="26"/>
          <w:szCs w:val="26"/>
        </w:rPr>
        <w:t>apply</w:t>
      </w:r>
      <w:r w:rsidR="00080867" w:rsidRPr="00B2566E">
        <w:rPr>
          <w:rFonts w:ascii="Garamond" w:hAnsi="Garamond" w:cs="Times New Roman"/>
          <w:sz w:val="26"/>
          <w:szCs w:val="26"/>
        </w:rPr>
        <w:t xml:space="preserve"> 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C4BE46E" w:rsidR="002E495E" w:rsidRDefault="002E4A25"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sidRPr="00B2566E">
        <w:rPr>
          <w:rFonts w:ascii="Garamond" w:hAnsi="Garamond" w:cs="Times New Roman"/>
          <w:sz w:val="26"/>
          <w:szCs w:val="26"/>
        </w:rPr>
        <w:t xml:space="preserve">Data on causes of death was classified using </w:t>
      </w:r>
      <w:r w:rsidR="003E5DBA" w:rsidRPr="00B2566E">
        <w:rPr>
          <w:rFonts w:ascii="Garamond" w:hAnsi="Garamond" w:cs="Times New Roman"/>
          <w:sz w:val="26"/>
          <w:szCs w:val="26"/>
        </w:rPr>
        <w:t>the seventh</w:t>
      </w:r>
      <w:r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Pr="00B2566E">
        <w:rPr>
          <w:rFonts w:ascii="Garamond" w:hAnsi="Garamond" w:cs="Times New Roman"/>
          <w:sz w:val="26"/>
          <w:szCs w:val="26"/>
        </w:rPr>
        <w:t xml:space="preserve"> during the period studied</w:t>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We considered that smoking was prevalent among women (and still remains a problem) in Denmark; that the cardiovascular revolution took place in the studied period</w:t>
      </w:r>
      <w:r w:rsidR="0042548B">
        <w:rPr>
          <w:rFonts w:ascii="Garamond" w:hAnsi="Garamond" w:cs="Times New Roman"/>
          <w:sz w:val="26"/>
          <w:szCs w:val="26"/>
        </w:rPr>
        <w:t>; and that the management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4) Infectious respiratory diseases, 5</w:t>
      </w:r>
      <w:r w:rsidR="00864E50" w:rsidRPr="00B2566E">
        <w:rPr>
          <w:rFonts w:ascii="Garamond" w:hAnsi="Garamond" w:cs="Times New Roman"/>
          <w:sz w:val="26"/>
          <w:szCs w:val="26"/>
        </w:rPr>
        <w:t xml:space="preserve">) </w:t>
      </w:r>
      <w:r w:rsidR="00C0305A" w:rsidRPr="00B2566E">
        <w:rPr>
          <w:rFonts w:ascii="Garamond" w:hAnsi="Garamond" w:cs="Times New Roman"/>
          <w:sz w:val="26"/>
          <w:szCs w:val="26"/>
        </w:rPr>
        <w:t>Non-infectious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bridge </w:t>
      </w:r>
      <w:r w:rsidR="006E1248" w:rsidRPr="00B2566E">
        <w:rPr>
          <w:rFonts w:ascii="Garamond" w:hAnsi="Garamond" w:cs="Times New Roman"/>
          <w:sz w:val="26"/>
          <w:szCs w:val="26"/>
        </w:rPr>
        <w:t>coding</w:t>
      </w:r>
      <w:r w:rsidR="00C0305A" w:rsidRPr="00B2566E">
        <w:rPr>
          <w:rFonts w:ascii="Garamond" w:hAnsi="Garamond" w:cs="Times New Roman"/>
          <w:sz w:val="26"/>
          <w:szCs w:val="26"/>
        </w:rPr>
        <w:t xml:space="preserve"> across ICD versions used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(see SI)</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3BC72222" w:rsidR="00C068A9" w:rsidRPr="00B2566E" w:rsidRDefault="00AD66A7" w:rsidP="00861A87">
      <w:pPr>
        <w:autoSpaceDE w:val="0"/>
        <w:autoSpaceDN w:val="0"/>
        <w:adjustRightInd w:val="0"/>
        <w:spacing w:after="100" w:afterAutospacing="1" w:line="360" w:lineRule="auto"/>
        <w:ind w:firstLine="720"/>
        <w:jc w:val="both"/>
        <w:rPr>
          <w:rFonts w:ascii="Garamond" w:eastAsiaTheme="minorEastAsia" w:hAnsi="Garamond"/>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SI 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t>
      </w:r>
      <w:r w:rsidR="00C068A9" w:rsidRPr="00B2566E">
        <w:rPr>
          <w:rFonts w:ascii="Garamond" w:eastAsiaTheme="minorEastAsia" w:hAnsi="Garamond"/>
          <w:sz w:val="26"/>
          <w:szCs w:val="26"/>
        </w:rPr>
        <w:lastRenderedPageBreak/>
        <w:t xml:space="preserve">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 </w:instrText>
      </w:r>
      <w:r w:rsidR="006E1248">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EN.CITE.DATA </w:instrText>
      </w:r>
      <w:r w:rsidR="006E1248">
        <w:rPr>
          <w:rFonts w:ascii="Garamond" w:eastAsiaTheme="minorEastAsia" w:hAnsi="Garamond"/>
          <w:sz w:val="26"/>
          <w:szCs w:val="26"/>
        </w:rPr>
      </w:r>
      <w:r w:rsidR="006E1248">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(18, 20, 21)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Lifespan and life disparity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D48DD37"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s in life expectancy and life disparity</w:t>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199570D3"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 disparity (Figure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421315">
        <w:rPr>
          <w:rFonts w:ascii="Garamond" w:hAnsi="Garamond" w:cs="Times New Roman"/>
          <w:sz w:val="26"/>
          <w:szCs w:val="26"/>
        </w:rPr>
        <w:t>monotonous</w:t>
      </w:r>
      <w:r w:rsidR="00905C39" w:rsidRPr="00B2566E">
        <w:rPr>
          <w:rFonts w:ascii="Garamond" w:hAnsi="Garamond" w:cs="Times New Roman"/>
          <w:sz w:val="26"/>
          <w:szCs w:val="26"/>
        </w:rPr>
        <w:t xml:space="preserve"> 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8CF8320" w14:textId="04BAF560" w:rsidR="000F32E7" w:rsidRPr="000F32E7" w:rsidRDefault="000F32E7" w:rsidP="00861A87">
      <w:pPr>
        <w:spacing w:line="360" w:lineRule="auto"/>
        <w:jc w:val="both"/>
        <w:rPr>
          <w:rFonts w:ascii="Garamond" w:hAnsi="Garamond" w:cs="Times New Roman"/>
          <w:sz w:val="26"/>
          <w:szCs w:val="26"/>
        </w:rPr>
      </w:pPr>
      <w:r w:rsidRPr="000F32E7">
        <w:rPr>
          <w:rFonts w:ascii="Garamond" w:hAnsi="Garamond" w:cs="Times New Roman"/>
          <w:sz w:val="26"/>
          <w:szCs w:val="26"/>
        </w:rPr>
        <w:t>Figure 2 shows the age-by-cause decomposition of life expectancy (panel A) and lifespan inequality (Panel B) for three periods 1960-1975, 1975-1995, 1995-2014.</w:t>
      </w:r>
    </w:p>
    <w:p w14:paraId="6BF0C9F0" w14:textId="58A7AF45"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2A945A42" w14:textId="621329C9"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Between 1975 and 1995, Danish female life expectancy stagnated</w:t>
      </w:r>
      <w:r w:rsidR="000F32E7">
        <w:rPr>
          <w:rFonts w:ascii="Garamond" w:hAnsi="Garamond" w:cs="Times New Roman"/>
          <w:sz w:val="26"/>
          <w:szCs w:val="26"/>
        </w:rPr>
        <w:t xml:space="preserve"> (~77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cancer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 Also, between ages 55 and 75 improvement in cardiovascular mortality seemed suppressed</w:t>
      </w:r>
      <w:r w:rsidR="00DB41D2">
        <w:rPr>
          <w:rFonts w:ascii="Garamond" w:hAnsi="Garamond" w:cs="Times New Roman"/>
          <w:sz w:val="26"/>
          <w:szCs w:val="26"/>
        </w:rPr>
        <w:t xml:space="preserve"> in females</w:t>
      </w:r>
      <w:r w:rsidR="00AE13B3" w:rsidRPr="00B2566E">
        <w:rPr>
          <w:rFonts w:ascii="Garamond" w:hAnsi="Garamond" w:cs="Times New Roman"/>
          <w:sz w:val="26"/>
          <w:szCs w:val="26"/>
        </w:rPr>
        <w:t xml:space="preserve"> relative to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8"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DB41D2">
        <w:rPr>
          <w:rFonts w:ascii="Garamond" w:hAnsi="Garamond" w:cs="Times New Roman"/>
          <w:sz w:val="26"/>
          <w:szCs w:val="26"/>
        </w:rPr>
        <w:t>S</w:t>
      </w:r>
      <w:r w:rsidR="00AE13B3" w:rsidRPr="00B2566E">
        <w:rPr>
          <w:rFonts w:ascii="Garamond" w:hAnsi="Garamond" w:cs="Times New Roman"/>
          <w:sz w:val="26"/>
          <w:szCs w:val="26"/>
        </w:rPr>
        <w:t>moking related cancers contributed positively to lifespan changes in that period for males, whereas for females the contribution was negative. Non-smoking related cancer contributed negatively to lifespan for both females and males, which was the main offsetting cause of death for males, that otherwise experienced increases in lifespan due to a reduction in infant mortality and mid- and high-age cardiovascular mortality.</w:t>
      </w:r>
    </w:p>
    <w:p w14:paraId="70F122F2" w14:textId="47D6BF4E" w:rsidR="00BB4DF3" w:rsidRPr="00B2566E" w:rsidRDefault="0085603A" w:rsidP="00861A87">
      <w:pPr>
        <w:spacing w:line="360" w:lineRule="auto"/>
        <w:ind w:firstLine="720"/>
        <w:jc w:val="both"/>
        <w:rPr>
          <w:rFonts w:ascii="Garamond" w:hAnsi="Garamond" w:cs="Times New Roman"/>
          <w:sz w:val="26"/>
          <w:szCs w:val="26"/>
        </w:rPr>
      </w:pPr>
      <w:r>
        <w:rPr>
          <w:rFonts w:ascii="Garamond" w:hAnsi="Garamond" w:cs="Times New Roman"/>
          <w:sz w:val="26"/>
          <w:szCs w:val="26"/>
        </w:rPr>
        <w:t xml:space="preserve">Lifespan inequality </w:t>
      </w:r>
      <w:r w:rsidR="00BB4DF3" w:rsidRPr="00B2566E">
        <w:rPr>
          <w:rFonts w:ascii="Garamond" w:hAnsi="Garamond" w:cs="Times New Roman"/>
          <w:sz w:val="26"/>
          <w:szCs w:val="26"/>
        </w:rPr>
        <w:t xml:space="preserve">for Danish females between </w:t>
      </w:r>
      <w:r w:rsidR="00D145D4">
        <w:rPr>
          <w:rFonts w:ascii="Garamond" w:hAnsi="Garamond" w:cs="Times New Roman"/>
          <w:sz w:val="26"/>
          <w:szCs w:val="26"/>
        </w:rPr>
        <w:t>1975 and 1990</w:t>
      </w:r>
      <w:r w:rsidR="00BB4DF3" w:rsidRPr="00B2566E">
        <w:rPr>
          <w:rFonts w:ascii="Garamond" w:hAnsi="Garamond" w:cs="Times New Roman"/>
          <w:sz w:val="26"/>
          <w:szCs w:val="26"/>
        </w:rPr>
        <w:t xml:space="preserve"> sta</w:t>
      </w:r>
      <w:r>
        <w:rPr>
          <w:rFonts w:ascii="Garamond" w:hAnsi="Garamond" w:cs="Times New Roman"/>
          <w:sz w:val="26"/>
          <w:szCs w:val="26"/>
        </w:rPr>
        <w:t xml:space="preserve">gnated because the reduction </w:t>
      </w:r>
      <w:r w:rsidR="00BB4DF3" w:rsidRPr="00B2566E">
        <w:rPr>
          <w:rFonts w:ascii="Garamond" w:hAnsi="Garamond" w:cs="Times New Roman"/>
          <w:sz w:val="26"/>
          <w:szCs w:val="26"/>
        </w:rPr>
        <w:t>due to infant mortality was offset by mid-age smoking related cancer and non-infectious respiratory diseases, and a reduction in old-age cardiovascular mortality. For males, the reduction in life disparity was larger than for females, mainly driven by a reduction in infant mortality and early-life external mortality.</w:t>
      </w:r>
    </w:p>
    <w:p w14:paraId="488F6904" w14:textId="379738A5"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female life expectancy increased</w:t>
      </w:r>
      <w:r w:rsidR="002826E2">
        <w:rPr>
          <w:rFonts w:ascii="Garamond" w:hAnsi="Garamond" w:cs="Times New Roman"/>
          <w:sz w:val="26"/>
          <w:szCs w:val="26"/>
        </w:rPr>
        <w:t xml:space="preserve"> (from 77.8 to 82.7 years)</w:t>
      </w:r>
      <w:r w:rsidR="00D56583" w:rsidRPr="00B2566E">
        <w:rPr>
          <w:rFonts w:ascii="Garamond" w:hAnsi="Garamond" w:cs="Times New Roman"/>
          <w:sz w:val="26"/>
          <w:szCs w:val="26"/>
        </w:rPr>
        <w:t xml:space="preserve"> due to almost all causes at all ages, in particular cardiovascular mortality, while</w:t>
      </w:r>
      <w:r w:rsidR="008E21F6">
        <w:rPr>
          <w:rFonts w:ascii="Garamond" w:hAnsi="Garamond" w:cs="Times New Roman"/>
          <w:sz w:val="26"/>
          <w:szCs w:val="26"/>
        </w:rPr>
        <w:t xml:space="preserve"> old-age</w:t>
      </w:r>
      <w:r w:rsidR="00D56583" w:rsidRPr="00B2566E">
        <w:rPr>
          <w:rFonts w:ascii="Garamond" w:hAnsi="Garamond" w:cs="Times New Roman"/>
          <w:sz w:val="26"/>
          <w:szCs w:val="26"/>
        </w:rPr>
        <w:t xml:space="preserve"> cancer and non-infectious respiratory </w:t>
      </w:r>
      <w:r w:rsidR="008E21F6">
        <w:rPr>
          <w:rFonts w:ascii="Garamond" w:hAnsi="Garamond" w:cs="Times New Roman"/>
          <w:sz w:val="26"/>
          <w:szCs w:val="26"/>
        </w:rPr>
        <w:t xml:space="preserve">mortality </w:t>
      </w:r>
      <w:r w:rsidR="00D56583" w:rsidRPr="00B2566E">
        <w:rPr>
          <w:rFonts w:ascii="Garamond" w:hAnsi="Garamond" w:cs="Times New Roman"/>
          <w:sz w:val="26"/>
          <w:szCs w:val="26"/>
        </w:rPr>
        <w:t>minimally offset this improvement. For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D56583" w:rsidRPr="00B2566E">
        <w:rPr>
          <w:rFonts w:ascii="Garamond" w:hAnsi="Garamond" w:cs="Times New Roman"/>
          <w:sz w:val="26"/>
          <w:szCs w:val="26"/>
        </w:rPr>
        <w:t xml:space="preserve"> inequality. For females, inequality was additionally reduced by the old-age increase in cancer and non</w:t>
      </w:r>
      <w:r w:rsidR="008E21F6">
        <w:rPr>
          <w:rFonts w:ascii="Garamond" w:hAnsi="Garamond" w:cs="Times New Roman"/>
          <w:sz w:val="26"/>
          <w:szCs w:val="26"/>
        </w:rPr>
        <w:t>-infectious respiratory mortality</w:t>
      </w:r>
      <w:r w:rsidR="00D56583" w:rsidRPr="00B2566E">
        <w:rPr>
          <w:rFonts w:ascii="Garamond" w:hAnsi="Garamond" w:cs="Times New Roman"/>
          <w:sz w:val="26"/>
          <w:szCs w:val="26"/>
        </w:rPr>
        <w:t>.</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1726B63A"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lastRenderedPageBreak/>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two exceptions. First, external mortality is higher in Sweden than in Denmark at all ages, in particular ages 15-35. Second, old</w:t>
      </w:r>
      <w:r w:rsidR="00527CE0">
        <w:rPr>
          <w:rFonts w:ascii="Garamond" w:hAnsi="Garamond" w:cs="Times New Roman"/>
          <w:sz w:val="26"/>
          <w:szCs w:val="26"/>
        </w:rPr>
        <w:t>-</w:t>
      </w:r>
      <w:r w:rsidRPr="00B2566E">
        <w:rPr>
          <w:rFonts w:ascii="Garamond" w:hAnsi="Garamond" w:cs="Times New Roman"/>
          <w:sz w:val="26"/>
          <w:szCs w:val="26"/>
        </w:rPr>
        <w:t xml:space="preserve">age cardiovascular mortality is higher in Sweden than in Denmark.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527CE0">
        <w:rPr>
          <w:rFonts w:ascii="Garamond" w:hAnsi="Garamond" w:cs="Times New Roman"/>
          <w:sz w:val="26"/>
          <w:szCs w:val="26"/>
        </w:rPr>
        <w:t>by a factor two</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p>
    <w:p w14:paraId="3288D4EF" w14:textId="38F74D2D"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Denmark’s lower cardiovascular mortality after life expectancy increases the gap with Sweden in terms of lifespan inequality</w:t>
      </w:r>
      <w:r w:rsidR="00527CE0">
        <w:rPr>
          <w:rFonts w:ascii="Garamond" w:hAnsi="Garamond" w:cs="Times New Roman"/>
          <w:sz w:val="26"/>
          <w:szCs w:val="26"/>
        </w:rPr>
        <w:t>. And</w:t>
      </w:r>
      <w:r w:rsidRPr="00B2566E">
        <w:rPr>
          <w:rFonts w:ascii="Garamond" w:hAnsi="Garamond" w:cs="Times New Roman"/>
          <w:sz w:val="26"/>
          <w:szCs w:val="26"/>
        </w:rPr>
        <w:t xml:space="preserve"> while 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5674263F"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57DEA6A" w:rsidR="00DE6ABE" w:rsidRPr="00DE6ABE" w:rsidRDefault="00DE6ABE" w:rsidP="00DE6ABE">
      <w:pPr>
        <w:spacing w:line="360" w:lineRule="auto"/>
        <w:jc w:val="both"/>
        <w:rPr>
          <w:rFonts w:ascii="Garamond" w:hAnsi="Garamond" w:cs="Times New Roman"/>
          <w:sz w:val="26"/>
          <w:szCs w:val="26"/>
        </w:rPr>
      </w:pPr>
      <w:r w:rsidRPr="00DE6ABE">
        <w:rPr>
          <w:rFonts w:ascii="Garamond" w:hAnsi="Garamond" w:cs="Times New Roman"/>
          <w:sz w:val="26"/>
          <w:szCs w:val="26"/>
        </w:rPr>
        <w:t>Table</w:t>
      </w:r>
      <w:r>
        <w:rPr>
          <w:rFonts w:ascii="Garamond" w:hAnsi="Garamond" w:cs="Times New Roman"/>
          <w:sz w:val="26"/>
          <w:szCs w:val="26"/>
        </w:rPr>
        <w:t xml:space="preserve"> 1 presents how much life expectancy in Denmark would increase by a reduction in the gap with Swedish lifespan ine</w:t>
      </w:r>
      <w:r w:rsidR="00D938A5">
        <w:rPr>
          <w:rFonts w:ascii="Garamond" w:hAnsi="Garamond" w:cs="Times New Roman"/>
          <w:sz w:val="26"/>
          <w:szCs w:val="26"/>
        </w:rPr>
        <w:t xml:space="preserve">quality for both sexes in 2014. 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 xml:space="preserve">by 31% and 22% for females and males, respectively. Which would be translated into more than half a year </w:t>
      </w:r>
      <w:r w:rsidR="00F067B7">
        <w:rPr>
          <w:rFonts w:ascii="Garamond" w:hAnsi="Garamond" w:cs="Times New Roman"/>
          <w:sz w:val="26"/>
          <w:szCs w:val="26"/>
        </w:rPr>
        <w:t>gains in life expectancy for both sexes (0.56 for females and 0.65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one fifth of year. Conversely, if Swedish were to achieve the level of the Danish population in external mortality would benefit by two additional months in life expectancy in both sexes. </w:t>
      </w: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r w:rsidRPr="00B2566E">
        <w:rPr>
          <w:rFonts w:ascii="Garamond" w:hAnsi="Garamond" w:cs="Times New Roman"/>
          <w:b/>
          <w:sz w:val="26"/>
          <w:szCs w:val="26"/>
        </w:rPr>
        <w:lastRenderedPageBreak/>
        <w:t>Discussion</w:t>
      </w:r>
    </w:p>
    <w:p w14:paraId="4AA4B942" w14:textId="0AF2D260" w:rsidR="004E1347" w:rsidRDefault="0086328D" w:rsidP="00985F9B">
      <w:pPr>
        <w:spacing w:line="360" w:lineRule="auto"/>
        <w:rPr>
          <w:rFonts w:ascii="Garamond" w:hAnsi="Garamond" w:cs="Times New Roman"/>
          <w:sz w:val="26"/>
          <w:szCs w:val="26"/>
        </w:rPr>
      </w:pPr>
      <w:r>
        <w:rPr>
          <w:rFonts w:ascii="Garamond" w:hAnsi="Garamond" w:cs="Times New Roman"/>
          <w:b/>
          <w:i/>
          <w:sz w:val="26"/>
          <w:szCs w:val="26"/>
        </w:rPr>
        <w:t>Potential l</w:t>
      </w:r>
      <w:r w:rsidR="00985F9B">
        <w:rPr>
          <w:rFonts w:ascii="Garamond" w:hAnsi="Garamond" w:cs="Times New Roman"/>
          <w:b/>
          <w:i/>
          <w:sz w:val="26"/>
          <w:szCs w:val="26"/>
        </w:rPr>
        <w:t>imitations</w:t>
      </w:r>
    </w:p>
    <w:p w14:paraId="4BD8D598" w14:textId="0B106936" w:rsidR="004B7BCD" w:rsidRPr="004B7BCD" w:rsidRDefault="00E304B6" w:rsidP="00EC0B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For instance, with increasing knowledge and awareness of the effect of immobilization and hospitalization on the chance of pneumonia, pneumonia became increasingly classified as secondary to some principle cause of death (ref). In particular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 quality data and broad categories of causes of death, we believe we have achieved a useful, workable grouping of causes of death.</w:t>
      </w: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73BC43C8" w14:textId="15FAFD6E" w:rsidR="00386D01" w:rsidRDefault="00955F47" w:rsidP="00E06C7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w:t>
      </w:r>
      <w:r w:rsidR="00844F80">
        <w:rPr>
          <w:rFonts w:ascii="Garamond" w:hAnsi="Garamond" w:cs="Times New Roman"/>
          <w:sz w:val="26"/>
          <w:szCs w:val="26"/>
        </w:rPr>
        <w:lastRenderedPageBreak/>
        <w:t xml:space="preserve">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expectancy and lifespan inequality.</w:t>
      </w:r>
    </w:p>
    <w:p w14:paraId="2D574659" w14:textId="180A4C5C" w:rsidR="006D7636" w:rsidRDefault="004E3663" w:rsidP="006D763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 Currently, the comparison with Sweden suggests that Denmark can </w:t>
      </w:r>
      <w:r w:rsidR="00021D00">
        <w:rPr>
          <w:rFonts w:ascii="Garamond" w:hAnsi="Garamond" w:cs="Times New Roman"/>
          <w:sz w:val="26"/>
          <w:szCs w:val="26"/>
        </w:rPr>
        <w:t xml:space="preserve">simultaneous increase life expectancy </w:t>
      </w:r>
      <w:r>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Preventive policies focusing in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77777777"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 effect in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commentRangeStart w:id="0"/>
      <w:r>
        <w:rPr>
          <w:rFonts w:ascii="Garamond" w:hAnsi="Garamond" w:cs="Times New Roman"/>
          <w:sz w:val="26"/>
          <w:szCs w:val="26"/>
        </w:rPr>
        <w:t>For Sweden, the data suggest that young-age external mortality can be further reduced. Of course, a difference alone does not mean that it is easy to achieve a reduction. Sweden may be different from Denmark geographically. There are more rural areas, which may make it harder to reduce accidents. Still, it is an option worth considering.</w:t>
      </w:r>
      <w:commentRangeEnd w:id="0"/>
      <w:r w:rsidR="000D402B">
        <w:rPr>
          <w:rStyle w:val="CommentReference"/>
        </w:rPr>
        <w:commentReference w:id="0"/>
      </w:r>
    </w:p>
    <w:p w14:paraId="51374483" w14:textId="58A73E08" w:rsidR="0012295D" w:rsidRPr="0012295D" w:rsidRDefault="00703E56" w:rsidP="0012295D">
      <w:pPr>
        <w:spacing w:line="360" w:lineRule="auto"/>
        <w:ind w:firstLine="720"/>
        <w:jc w:val="both"/>
        <w:rPr>
          <w:rFonts w:ascii="Garamond" w:hAnsi="Garamond" w:cs="Times New Roman"/>
          <w:sz w:val="26"/>
          <w:szCs w:val="26"/>
        </w:rPr>
      </w:pPr>
      <w:commentRangeStart w:id="1"/>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commentRangeEnd w:id="1"/>
      <w:r w:rsidR="000D402B">
        <w:rPr>
          <w:rStyle w:val="CommentReference"/>
        </w:rPr>
        <w:commentReference w:id="1"/>
      </w:r>
    </w:p>
    <w:p w14:paraId="77D51286" w14:textId="39DF3D3E" w:rsidR="00636E45" w:rsidRDefault="00636E45" w:rsidP="00636E45">
      <w:pPr>
        <w:spacing w:line="360" w:lineRule="auto"/>
        <w:jc w:val="both"/>
        <w:rPr>
          <w:rFonts w:ascii="Garamond" w:hAnsi="Garamond" w:cs="Times New Roman"/>
          <w:sz w:val="26"/>
          <w:szCs w:val="26"/>
        </w:rPr>
      </w:pPr>
      <w:r>
        <w:rPr>
          <w:rFonts w:ascii="Garamond" w:hAnsi="Garamond" w:cs="Times New Roman"/>
          <w:b/>
          <w:sz w:val="26"/>
          <w:szCs w:val="26"/>
        </w:rPr>
        <w:lastRenderedPageBreak/>
        <w:t>Conclusions</w:t>
      </w:r>
    </w:p>
    <w:p w14:paraId="597B7569" w14:textId="4191960B"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inequality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because the policy recommendations that follow are so clear and consistent.</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4A1C01F5" w:rsidR="0007301D" w:rsidRPr="00D13E9E"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AED9865" w14:textId="4B496955" w:rsidR="00011918" w:rsidRPr="00B2566E" w:rsidRDefault="0050319A" w:rsidP="00011918">
      <w:pPr>
        <w:rPr>
          <w:rFonts w:ascii="Garamond" w:hAnsi="Garamond" w:cs="Times New Roman"/>
          <w:sz w:val="26"/>
          <w:szCs w:val="26"/>
        </w:rPr>
      </w:pPr>
      <w:r>
        <w:rPr>
          <w:noProof/>
        </w:rPr>
        <w:drawing>
          <wp:anchor distT="0" distB="0" distL="114300" distR="114300" simplePos="0" relativeHeight="251662336" behindDoc="0" locked="0" layoutInCell="1" allowOverlap="1" wp14:anchorId="3C494867" wp14:editId="1DFA47D9">
            <wp:simplePos x="0" y="0"/>
            <wp:positionH relativeFrom="margin">
              <wp:align>center</wp:align>
            </wp:positionH>
            <wp:positionV relativeFrom="paragraph">
              <wp:posOffset>294414</wp:posOffset>
            </wp:positionV>
            <wp:extent cx="7310120" cy="67056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10120" cy="6705600"/>
                    </a:xfrm>
                    <a:prstGeom prst="rect">
                      <a:avLst/>
                    </a:prstGeom>
                  </pic:spPr>
                </pic:pic>
              </a:graphicData>
            </a:graphic>
            <wp14:sizeRelH relativeFrom="page">
              <wp14:pctWidth>0</wp14:pctWidth>
            </wp14:sizeRelH>
            <wp14:sizeRelV relativeFrom="page">
              <wp14:pctHeight>0</wp14:pctHeight>
            </wp14:sizeRelV>
          </wp:anchor>
        </w:drawing>
      </w:r>
    </w:p>
    <w:p w14:paraId="07DC17EA" w14:textId="78B2FF01" w:rsidR="00011918" w:rsidRPr="00B2566E" w:rsidRDefault="00011918" w:rsidP="00011918">
      <w:pPr>
        <w:rPr>
          <w:rFonts w:ascii="Garamond" w:hAnsi="Garamond" w:cs="Times New Roman"/>
          <w:sz w:val="26"/>
          <w:szCs w:val="26"/>
        </w:rPr>
      </w:pPr>
    </w:p>
    <w:p w14:paraId="079B2589" w14:textId="73F371C6" w:rsidR="00011918" w:rsidRPr="00B2566E" w:rsidRDefault="00011918" w:rsidP="00FC5EB9">
      <w:pPr>
        <w:jc w:val="center"/>
        <w:rPr>
          <w:rFonts w:ascii="Garamond" w:hAnsi="Garamond" w:cs="Times New Roman"/>
          <w:sz w:val="26"/>
          <w:szCs w:val="26"/>
        </w:rPr>
      </w:pPr>
    </w:p>
    <w:p w14:paraId="254F0BAF" w14:textId="595FE67D" w:rsidR="00011918" w:rsidRPr="00B2566E" w:rsidRDefault="00011918" w:rsidP="00FC5EB9">
      <w:pPr>
        <w:jc w:val="center"/>
        <w:rPr>
          <w:rFonts w:ascii="Garamond" w:hAnsi="Garamond" w:cs="Times New Roman"/>
          <w:sz w:val="26"/>
          <w:szCs w:val="26"/>
        </w:rPr>
      </w:pPr>
    </w:p>
    <w:p w14:paraId="60D84D51" w14:textId="422D0ACA" w:rsidR="00011918" w:rsidRPr="00B2566E" w:rsidRDefault="001306A6" w:rsidP="000D5AC2">
      <w:pPr>
        <w:rPr>
          <w:rFonts w:ascii="Garamond" w:hAnsi="Garamond"/>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6622F6" w14:textId="04A7AE5D" w:rsidR="004C6A47" w:rsidRPr="00B2566E" w:rsidRDefault="009E09B8" w:rsidP="002A719E">
      <w:pPr>
        <w:rPr>
          <w:rFonts w:ascii="Garamond" w:hAnsi="Garamond"/>
          <w:sz w:val="26"/>
          <w:szCs w:val="26"/>
        </w:rPr>
      </w:pPr>
      <w:r>
        <w:rPr>
          <w:noProof/>
        </w:rPr>
        <w:drawing>
          <wp:anchor distT="0" distB="0" distL="114300" distR="114300" simplePos="0" relativeHeight="251663360" behindDoc="0" locked="0" layoutInCell="1" allowOverlap="1" wp14:anchorId="03CA652F" wp14:editId="6A10FA55">
            <wp:simplePos x="0" y="0"/>
            <wp:positionH relativeFrom="margin">
              <wp:posOffset>-479425</wp:posOffset>
            </wp:positionH>
            <wp:positionV relativeFrom="paragraph">
              <wp:posOffset>195580</wp:posOffset>
            </wp:positionV>
            <wp:extent cx="7012940" cy="70021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2940" cy="7002145"/>
                    </a:xfrm>
                    <a:prstGeom prst="rect">
                      <a:avLst/>
                    </a:prstGeom>
                  </pic:spPr>
                </pic:pic>
              </a:graphicData>
            </a:graphic>
            <wp14:sizeRelH relativeFrom="page">
              <wp14:pctWidth>0</wp14:pctWidth>
            </wp14:sizeRelH>
            <wp14:sizeRelV relativeFrom="page">
              <wp14:pctHeight>0</wp14:pctHeight>
            </wp14:sizeRelV>
          </wp:anchor>
        </w:drawing>
      </w:r>
    </w:p>
    <w:p w14:paraId="1B82A832" w14:textId="242B9239" w:rsidR="00011918" w:rsidRDefault="00011918">
      <w:pPr>
        <w:rPr>
          <w:rFonts w:ascii="Garamond" w:hAnsi="Garamond" w:cs="Times New Roman"/>
          <w:b/>
          <w:sz w:val="26"/>
          <w:szCs w:val="26"/>
        </w:rPr>
      </w:pPr>
      <w:r w:rsidRPr="00B2566E">
        <w:rPr>
          <w:rFonts w:ascii="Garamond" w:hAnsi="Garamond" w:cs="Times New Roman"/>
          <w:b/>
          <w:sz w:val="26"/>
          <w:szCs w:val="26"/>
        </w:rPr>
        <w:br w:type="page"/>
      </w:r>
    </w:p>
    <w:p w14:paraId="5F07BC94" w14:textId="43C224E5" w:rsidR="00BD6793" w:rsidRPr="00B2566E" w:rsidRDefault="00BD6793" w:rsidP="00BD6793">
      <w:pPr>
        <w:rPr>
          <w:rFonts w:ascii="Garamond" w:hAnsi="Garamond"/>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p>
    <w:p w14:paraId="3F238C8F" w14:textId="77777777" w:rsidR="00DE047E" w:rsidRDefault="00DE047E">
      <w:pPr>
        <w:rPr>
          <w:rFonts w:ascii="Garamond" w:hAnsi="Garamond" w:cs="Times New Roman"/>
          <w:b/>
          <w:sz w:val="26"/>
          <w:szCs w:val="26"/>
        </w:rPr>
      </w:pPr>
    </w:p>
    <w:tbl>
      <w:tblPr>
        <w:tblW w:w="8746" w:type="dxa"/>
        <w:jc w:val="center"/>
        <w:tblLook w:val="04A0" w:firstRow="1" w:lastRow="0" w:firstColumn="1" w:lastColumn="0" w:noHBand="0" w:noVBand="1"/>
      </w:tblPr>
      <w:tblGrid>
        <w:gridCol w:w="1140"/>
        <w:gridCol w:w="380"/>
        <w:gridCol w:w="3158"/>
        <w:gridCol w:w="1781"/>
        <w:gridCol w:w="328"/>
        <w:gridCol w:w="1959"/>
      </w:tblGrid>
      <w:tr w:rsidR="00DE047E" w:rsidRPr="00DE047E" w14:paraId="09715578" w14:textId="77777777" w:rsidTr="00967448">
        <w:trPr>
          <w:trHeight w:val="990"/>
          <w:jc w:val="center"/>
        </w:trPr>
        <w:tc>
          <w:tcPr>
            <w:tcW w:w="1140" w:type="dxa"/>
            <w:tcBorders>
              <w:top w:val="nil"/>
              <w:left w:val="nil"/>
              <w:bottom w:val="single" w:sz="4" w:space="0" w:color="auto"/>
              <w:right w:val="nil"/>
            </w:tcBorders>
            <w:shd w:val="clear" w:color="000000" w:fill="FFFFFF"/>
            <w:noWrap/>
            <w:vAlign w:val="center"/>
            <w:hideMark/>
          </w:tcPr>
          <w:p w14:paraId="739BB20A" w14:textId="77777777" w:rsidR="00DE047E" w:rsidRPr="00DE047E" w:rsidRDefault="00DE047E" w:rsidP="00DE047E">
            <w:pPr>
              <w:jc w:val="cente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Sex</w:t>
            </w:r>
          </w:p>
        </w:tc>
        <w:tc>
          <w:tcPr>
            <w:tcW w:w="380" w:type="dxa"/>
            <w:tcBorders>
              <w:top w:val="nil"/>
              <w:left w:val="nil"/>
              <w:bottom w:val="single" w:sz="4" w:space="0" w:color="auto"/>
              <w:right w:val="nil"/>
            </w:tcBorders>
            <w:shd w:val="clear" w:color="000000" w:fill="FFFFFF"/>
            <w:noWrap/>
            <w:vAlign w:val="bottom"/>
            <w:hideMark/>
          </w:tcPr>
          <w:p w14:paraId="370A21B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158" w:type="dxa"/>
            <w:tcBorders>
              <w:top w:val="nil"/>
              <w:left w:val="nil"/>
              <w:bottom w:val="single" w:sz="4" w:space="0" w:color="auto"/>
              <w:right w:val="nil"/>
            </w:tcBorders>
            <w:shd w:val="clear" w:color="000000" w:fill="FFFFFF"/>
            <w:noWrap/>
            <w:vAlign w:val="center"/>
            <w:hideMark/>
          </w:tcPr>
          <w:p w14:paraId="1ABD5675" w14:textId="77777777" w:rsidR="00DE047E" w:rsidRPr="00DE047E" w:rsidRDefault="00DE047E" w:rsidP="00DE047E">
            <w:pPr>
              <w:jc w:val="cente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Cause of death</w:t>
            </w:r>
          </w:p>
        </w:tc>
        <w:tc>
          <w:tcPr>
            <w:tcW w:w="1781" w:type="dxa"/>
            <w:tcBorders>
              <w:top w:val="nil"/>
              <w:left w:val="nil"/>
              <w:bottom w:val="single" w:sz="4" w:space="0" w:color="auto"/>
              <w:right w:val="nil"/>
            </w:tcBorders>
            <w:shd w:val="clear" w:color="000000" w:fill="FFFFFF"/>
            <w:vAlign w:val="center"/>
            <w:hideMark/>
          </w:tcPr>
          <w:p w14:paraId="6CAA9793" w14:textId="77777777" w:rsidR="00DE047E" w:rsidRPr="00DE047E" w:rsidRDefault="00DE047E" w:rsidP="00DE047E">
            <w:pPr>
              <w:jc w:val="cente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xml:space="preserve">Reduce gap with Sweden in </w:t>
            </w:r>
            <w:proofErr w:type="spellStart"/>
            <w:r w:rsidRPr="00DE047E">
              <w:rPr>
                <w:rFonts w:ascii="Garamond" w:eastAsia="Times New Roman" w:hAnsi="Garamond" w:cs="Calibri"/>
                <w:color w:val="000000"/>
                <w:sz w:val="26"/>
                <w:szCs w:val="26"/>
              </w:rPr>
              <w:t>CoV</w:t>
            </w:r>
            <w:proofErr w:type="spellEnd"/>
            <w:r w:rsidRPr="00DE047E">
              <w:rPr>
                <w:rFonts w:ascii="Garamond" w:eastAsia="Times New Roman" w:hAnsi="Garamond" w:cs="Calibri"/>
                <w:color w:val="000000"/>
                <w:sz w:val="26"/>
                <w:szCs w:val="26"/>
              </w:rPr>
              <w:t xml:space="preserve"> (%)</w:t>
            </w:r>
          </w:p>
        </w:tc>
        <w:tc>
          <w:tcPr>
            <w:tcW w:w="328" w:type="dxa"/>
            <w:tcBorders>
              <w:top w:val="nil"/>
              <w:left w:val="nil"/>
              <w:bottom w:val="single" w:sz="4" w:space="0" w:color="auto"/>
              <w:right w:val="nil"/>
            </w:tcBorders>
            <w:shd w:val="clear" w:color="000000" w:fill="FFFFFF"/>
            <w:vAlign w:val="center"/>
            <w:hideMark/>
          </w:tcPr>
          <w:p w14:paraId="6785D0C5" w14:textId="77777777" w:rsidR="00DE047E" w:rsidRPr="00DE047E" w:rsidRDefault="00DE047E" w:rsidP="00DE047E">
            <w:pPr>
              <w:jc w:val="cente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single" w:sz="4" w:space="0" w:color="auto"/>
              <w:right w:val="nil"/>
            </w:tcBorders>
            <w:shd w:val="clear" w:color="000000" w:fill="FFFFFF"/>
            <w:vAlign w:val="center"/>
            <w:hideMark/>
          </w:tcPr>
          <w:p w14:paraId="13A704D7" w14:textId="77777777" w:rsidR="00DE047E" w:rsidRPr="00DE047E" w:rsidRDefault="00DE047E" w:rsidP="00DE047E">
            <w:pPr>
              <w:jc w:val="cente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Potential Gains in life expectancy (years)</w:t>
            </w:r>
          </w:p>
        </w:tc>
      </w:tr>
      <w:tr w:rsidR="00DE047E" w:rsidRPr="00DE047E" w14:paraId="2EF7CF29"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5BE89A42"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Females</w:t>
            </w:r>
          </w:p>
        </w:tc>
        <w:tc>
          <w:tcPr>
            <w:tcW w:w="380" w:type="dxa"/>
            <w:tcBorders>
              <w:top w:val="nil"/>
              <w:left w:val="nil"/>
              <w:bottom w:val="nil"/>
              <w:right w:val="nil"/>
            </w:tcBorders>
            <w:shd w:val="clear" w:color="000000" w:fill="FFFFFF"/>
            <w:noWrap/>
            <w:vAlign w:val="bottom"/>
            <w:hideMark/>
          </w:tcPr>
          <w:p w14:paraId="0572C2A0"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w:t>
            </w:r>
          </w:p>
        </w:tc>
        <w:tc>
          <w:tcPr>
            <w:tcW w:w="3158" w:type="dxa"/>
            <w:tcBorders>
              <w:top w:val="nil"/>
              <w:left w:val="nil"/>
              <w:bottom w:val="nil"/>
              <w:right w:val="nil"/>
            </w:tcBorders>
            <w:shd w:val="clear" w:color="000000" w:fill="FFFFFF"/>
            <w:noWrap/>
            <w:vAlign w:val="bottom"/>
            <w:hideMark/>
          </w:tcPr>
          <w:p w14:paraId="1EA1362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Smoking related cancer</w:t>
            </w:r>
          </w:p>
        </w:tc>
        <w:tc>
          <w:tcPr>
            <w:tcW w:w="1781" w:type="dxa"/>
            <w:tcBorders>
              <w:top w:val="nil"/>
              <w:left w:val="nil"/>
              <w:bottom w:val="nil"/>
              <w:right w:val="nil"/>
            </w:tcBorders>
            <w:shd w:val="clear" w:color="000000" w:fill="FFFFFF"/>
            <w:noWrap/>
            <w:vAlign w:val="bottom"/>
            <w:hideMark/>
          </w:tcPr>
          <w:p w14:paraId="29A6B788"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17.02%</w:t>
            </w:r>
          </w:p>
        </w:tc>
        <w:tc>
          <w:tcPr>
            <w:tcW w:w="328" w:type="dxa"/>
            <w:tcBorders>
              <w:top w:val="nil"/>
              <w:left w:val="nil"/>
              <w:bottom w:val="nil"/>
              <w:right w:val="nil"/>
            </w:tcBorders>
            <w:shd w:val="clear" w:color="000000" w:fill="FFFFFF"/>
            <w:noWrap/>
            <w:vAlign w:val="bottom"/>
            <w:hideMark/>
          </w:tcPr>
          <w:p w14:paraId="7BDB9593"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320618F2"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0.32</w:t>
            </w:r>
          </w:p>
        </w:tc>
      </w:tr>
      <w:tr w:rsidR="00DE047E" w:rsidRPr="00DE047E" w14:paraId="31F8AB60"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73D32A2A"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07057809"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w:t>
            </w:r>
          </w:p>
        </w:tc>
        <w:tc>
          <w:tcPr>
            <w:tcW w:w="3158" w:type="dxa"/>
            <w:tcBorders>
              <w:top w:val="nil"/>
              <w:left w:val="nil"/>
              <w:bottom w:val="nil"/>
              <w:right w:val="nil"/>
            </w:tcBorders>
            <w:shd w:val="clear" w:color="000000" w:fill="FFFFFF"/>
            <w:noWrap/>
            <w:vAlign w:val="bottom"/>
            <w:hideMark/>
          </w:tcPr>
          <w:p w14:paraId="77DA9E99"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Non-Smoking related cancer</w:t>
            </w:r>
          </w:p>
        </w:tc>
        <w:tc>
          <w:tcPr>
            <w:tcW w:w="1781" w:type="dxa"/>
            <w:tcBorders>
              <w:top w:val="nil"/>
              <w:left w:val="nil"/>
              <w:bottom w:val="nil"/>
              <w:right w:val="nil"/>
            </w:tcBorders>
            <w:shd w:val="clear" w:color="000000" w:fill="FFFFFF"/>
            <w:noWrap/>
            <w:vAlign w:val="bottom"/>
            <w:hideMark/>
          </w:tcPr>
          <w:p w14:paraId="19034FAA"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14.11%</w:t>
            </w:r>
          </w:p>
        </w:tc>
        <w:tc>
          <w:tcPr>
            <w:tcW w:w="328" w:type="dxa"/>
            <w:tcBorders>
              <w:top w:val="nil"/>
              <w:left w:val="nil"/>
              <w:bottom w:val="nil"/>
              <w:right w:val="nil"/>
            </w:tcBorders>
            <w:shd w:val="clear" w:color="000000" w:fill="FFFFFF"/>
            <w:noWrap/>
            <w:vAlign w:val="bottom"/>
            <w:hideMark/>
          </w:tcPr>
          <w:p w14:paraId="2F13FEC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2D22FAB5"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0.24</w:t>
            </w:r>
          </w:p>
        </w:tc>
      </w:tr>
      <w:tr w:rsidR="00DE047E" w:rsidRPr="00DE047E" w14:paraId="49D853F1"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2BD34F81"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649DC23B"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3</w:t>
            </w:r>
          </w:p>
        </w:tc>
        <w:tc>
          <w:tcPr>
            <w:tcW w:w="3158" w:type="dxa"/>
            <w:tcBorders>
              <w:top w:val="nil"/>
              <w:left w:val="nil"/>
              <w:bottom w:val="nil"/>
              <w:right w:val="nil"/>
            </w:tcBorders>
            <w:shd w:val="clear" w:color="000000" w:fill="FFFFFF"/>
            <w:noWrap/>
            <w:vAlign w:val="bottom"/>
            <w:hideMark/>
          </w:tcPr>
          <w:p w14:paraId="13313E62"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Cardiovascular</w:t>
            </w:r>
          </w:p>
        </w:tc>
        <w:tc>
          <w:tcPr>
            <w:tcW w:w="1781" w:type="dxa"/>
            <w:tcBorders>
              <w:top w:val="nil"/>
              <w:left w:val="nil"/>
              <w:bottom w:val="nil"/>
              <w:right w:val="nil"/>
            </w:tcBorders>
            <w:shd w:val="clear" w:color="000000" w:fill="FFFFFF"/>
            <w:noWrap/>
            <w:vAlign w:val="bottom"/>
            <w:hideMark/>
          </w:tcPr>
          <w:p w14:paraId="6332ED1F"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9.85%</w:t>
            </w:r>
          </w:p>
        </w:tc>
        <w:tc>
          <w:tcPr>
            <w:tcW w:w="328" w:type="dxa"/>
            <w:tcBorders>
              <w:top w:val="nil"/>
              <w:left w:val="nil"/>
              <w:bottom w:val="nil"/>
              <w:right w:val="nil"/>
            </w:tcBorders>
            <w:shd w:val="clear" w:color="000000" w:fill="FFFFFF"/>
            <w:noWrap/>
            <w:vAlign w:val="bottom"/>
            <w:hideMark/>
          </w:tcPr>
          <w:p w14:paraId="33BFAEF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5BA7A7AC"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0.21</w:t>
            </w:r>
          </w:p>
        </w:tc>
      </w:tr>
      <w:tr w:rsidR="00DE047E" w:rsidRPr="00DE047E" w14:paraId="5477A65F"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0B1911F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5BD28977"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4</w:t>
            </w:r>
          </w:p>
        </w:tc>
        <w:tc>
          <w:tcPr>
            <w:tcW w:w="3158" w:type="dxa"/>
            <w:tcBorders>
              <w:top w:val="nil"/>
              <w:left w:val="nil"/>
              <w:bottom w:val="nil"/>
              <w:right w:val="nil"/>
            </w:tcBorders>
            <w:shd w:val="clear" w:color="000000" w:fill="FFFFFF"/>
            <w:noWrap/>
            <w:vAlign w:val="bottom"/>
            <w:hideMark/>
          </w:tcPr>
          <w:p w14:paraId="36F0938A"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Respiratory-Infectious</w:t>
            </w:r>
          </w:p>
        </w:tc>
        <w:tc>
          <w:tcPr>
            <w:tcW w:w="1781" w:type="dxa"/>
            <w:tcBorders>
              <w:top w:val="nil"/>
              <w:left w:val="nil"/>
              <w:bottom w:val="nil"/>
              <w:right w:val="nil"/>
            </w:tcBorders>
            <w:shd w:val="clear" w:color="000000" w:fill="FFFFFF"/>
            <w:noWrap/>
            <w:vAlign w:val="bottom"/>
            <w:hideMark/>
          </w:tcPr>
          <w:p w14:paraId="4658F1E5"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2.24%</w:t>
            </w:r>
          </w:p>
        </w:tc>
        <w:tc>
          <w:tcPr>
            <w:tcW w:w="328" w:type="dxa"/>
            <w:tcBorders>
              <w:top w:val="nil"/>
              <w:left w:val="nil"/>
              <w:bottom w:val="nil"/>
              <w:right w:val="nil"/>
            </w:tcBorders>
            <w:shd w:val="clear" w:color="000000" w:fill="FFFFFF"/>
            <w:noWrap/>
            <w:vAlign w:val="bottom"/>
            <w:hideMark/>
          </w:tcPr>
          <w:p w14:paraId="5D44B31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2F97251D"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0.03</w:t>
            </w:r>
          </w:p>
        </w:tc>
      </w:tr>
      <w:tr w:rsidR="00DE047E" w:rsidRPr="00DE047E" w14:paraId="7D9E3934"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0D366661"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7B023EDF"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5</w:t>
            </w:r>
          </w:p>
        </w:tc>
        <w:tc>
          <w:tcPr>
            <w:tcW w:w="3158" w:type="dxa"/>
            <w:tcBorders>
              <w:top w:val="nil"/>
              <w:left w:val="nil"/>
              <w:bottom w:val="nil"/>
              <w:right w:val="nil"/>
            </w:tcBorders>
            <w:shd w:val="clear" w:color="000000" w:fill="FFFFFF"/>
            <w:noWrap/>
            <w:vAlign w:val="bottom"/>
            <w:hideMark/>
          </w:tcPr>
          <w:p w14:paraId="2032F497"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Respiratory-Non-infectious</w:t>
            </w:r>
          </w:p>
        </w:tc>
        <w:tc>
          <w:tcPr>
            <w:tcW w:w="1781" w:type="dxa"/>
            <w:tcBorders>
              <w:top w:val="nil"/>
              <w:left w:val="nil"/>
              <w:bottom w:val="nil"/>
              <w:right w:val="nil"/>
            </w:tcBorders>
            <w:shd w:val="clear" w:color="000000" w:fill="FFFFFF"/>
            <w:noWrap/>
            <w:vAlign w:val="bottom"/>
            <w:hideMark/>
          </w:tcPr>
          <w:p w14:paraId="5DDDF6D5"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6.84%</w:t>
            </w:r>
          </w:p>
        </w:tc>
        <w:tc>
          <w:tcPr>
            <w:tcW w:w="328" w:type="dxa"/>
            <w:tcBorders>
              <w:top w:val="nil"/>
              <w:left w:val="nil"/>
              <w:bottom w:val="nil"/>
              <w:right w:val="nil"/>
            </w:tcBorders>
            <w:shd w:val="clear" w:color="000000" w:fill="FFFFFF"/>
            <w:noWrap/>
            <w:vAlign w:val="bottom"/>
            <w:hideMark/>
          </w:tcPr>
          <w:p w14:paraId="2753292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3C5E02CD"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0.23</w:t>
            </w:r>
          </w:p>
        </w:tc>
      </w:tr>
      <w:tr w:rsidR="00DE047E" w:rsidRPr="00DE047E" w14:paraId="03DAC3F8"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3A056BB7"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7D020DA4"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6</w:t>
            </w:r>
          </w:p>
        </w:tc>
        <w:tc>
          <w:tcPr>
            <w:tcW w:w="3158" w:type="dxa"/>
            <w:tcBorders>
              <w:top w:val="nil"/>
              <w:left w:val="nil"/>
              <w:bottom w:val="nil"/>
              <w:right w:val="nil"/>
            </w:tcBorders>
            <w:shd w:val="clear" w:color="000000" w:fill="FFFFFF"/>
            <w:noWrap/>
            <w:vAlign w:val="bottom"/>
            <w:hideMark/>
          </w:tcPr>
          <w:p w14:paraId="52D2355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External</w:t>
            </w:r>
          </w:p>
        </w:tc>
        <w:tc>
          <w:tcPr>
            <w:tcW w:w="1781" w:type="dxa"/>
            <w:tcBorders>
              <w:top w:val="nil"/>
              <w:left w:val="nil"/>
              <w:bottom w:val="nil"/>
              <w:right w:val="nil"/>
            </w:tcBorders>
            <w:shd w:val="clear" w:color="000000" w:fill="FFFFFF"/>
            <w:noWrap/>
            <w:vAlign w:val="bottom"/>
            <w:hideMark/>
          </w:tcPr>
          <w:p w14:paraId="6554AEF4"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-26.43%</w:t>
            </w:r>
          </w:p>
        </w:tc>
        <w:tc>
          <w:tcPr>
            <w:tcW w:w="328" w:type="dxa"/>
            <w:tcBorders>
              <w:top w:val="nil"/>
              <w:left w:val="nil"/>
              <w:bottom w:val="nil"/>
              <w:right w:val="nil"/>
            </w:tcBorders>
            <w:shd w:val="clear" w:color="000000" w:fill="FFFFFF"/>
            <w:noWrap/>
            <w:vAlign w:val="bottom"/>
            <w:hideMark/>
          </w:tcPr>
          <w:p w14:paraId="7CC8C5D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w:t>
            </w:r>
          </w:p>
        </w:tc>
        <w:tc>
          <w:tcPr>
            <w:tcW w:w="1959" w:type="dxa"/>
            <w:tcBorders>
              <w:top w:val="nil"/>
              <w:left w:val="nil"/>
              <w:bottom w:val="nil"/>
              <w:right w:val="nil"/>
            </w:tcBorders>
            <w:shd w:val="clear" w:color="000000" w:fill="FFFFFF"/>
            <w:noWrap/>
            <w:vAlign w:val="bottom"/>
            <w:hideMark/>
          </w:tcPr>
          <w:p w14:paraId="3D5BBFD3"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-0.15</w:t>
            </w:r>
          </w:p>
        </w:tc>
      </w:tr>
      <w:tr w:rsidR="00DE047E" w:rsidRPr="00DE047E" w14:paraId="1706CE42"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7A9CAB0D"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675B0722"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7</w:t>
            </w:r>
          </w:p>
        </w:tc>
        <w:tc>
          <w:tcPr>
            <w:tcW w:w="3158" w:type="dxa"/>
            <w:tcBorders>
              <w:top w:val="nil"/>
              <w:left w:val="nil"/>
              <w:bottom w:val="nil"/>
              <w:right w:val="nil"/>
            </w:tcBorders>
            <w:shd w:val="clear" w:color="000000" w:fill="FFFFFF"/>
            <w:noWrap/>
            <w:vAlign w:val="bottom"/>
            <w:hideMark/>
          </w:tcPr>
          <w:p w14:paraId="2A2D9578"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Other</w:t>
            </w:r>
          </w:p>
        </w:tc>
        <w:tc>
          <w:tcPr>
            <w:tcW w:w="1781" w:type="dxa"/>
            <w:tcBorders>
              <w:top w:val="nil"/>
              <w:left w:val="nil"/>
              <w:bottom w:val="nil"/>
              <w:right w:val="nil"/>
            </w:tcBorders>
            <w:shd w:val="clear" w:color="000000" w:fill="FFFFFF"/>
            <w:noWrap/>
            <w:vAlign w:val="bottom"/>
            <w:hideMark/>
          </w:tcPr>
          <w:p w14:paraId="31CBE892"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70.96%</w:t>
            </w:r>
          </w:p>
        </w:tc>
        <w:tc>
          <w:tcPr>
            <w:tcW w:w="328" w:type="dxa"/>
            <w:tcBorders>
              <w:top w:val="nil"/>
              <w:left w:val="nil"/>
              <w:bottom w:val="nil"/>
              <w:right w:val="nil"/>
            </w:tcBorders>
            <w:shd w:val="clear" w:color="000000" w:fill="FFFFFF"/>
            <w:noWrap/>
            <w:vAlign w:val="bottom"/>
            <w:hideMark/>
          </w:tcPr>
          <w:p w14:paraId="76A609EB"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5AD77741"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0.55</w:t>
            </w:r>
          </w:p>
        </w:tc>
      </w:tr>
      <w:tr w:rsidR="00DE047E" w:rsidRPr="00DE047E" w14:paraId="41A44099" w14:textId="77777777" w:rsidTr="00967448">
        <w:trPr>
          <w:trHeight w:val="330"/>
          <w:jc w:val="center"/>
        </w:trPr>
        <w:tc>
          <w:tcPr>
            <w:tcW w:w="1140" w:type="dxa"/>
            <w:tcBorders>
              <w:top w:val="nil"/>
              <w:left w:val="nil"/>
              <w:bottom w:val="single" w:sz="4" w:space="0" w:color="auto"/>
              <w:right w:val="nil"/>
            </w:tcBorders>
            <w:shd w:val="clear" w:color="000000" w:fill="FFFFFF"/>
            <w:noWrap/>
            <w:vAlign w:val="bottom"/>
            <w:hideMark/>
          </w:tcPr>
          <w:p w14:paraId="7B23850D"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single" w:sz="4" w:space="0" w:color="auto"/>
              <w:right w:val="nil"/>
            </w:tcBorders>
            <w:shd w:val="clear" w:color="000000" w:fill="FFFFFF"/>
            <w:noWrap/>
            <w:vAlign w:val="bottom"/>
            <w:hideMark/>
          </w:tcPr>
          <w:p w14:paraId="1CB44414"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8</w:t>
            </w:r>
          </w:p>
        </w:tc>
        <w:tc>
          <w:tcPr>
            <w:tcW w:w="3158" w:type="dxa"/>
            <w:tcBorders>
              <w:top w:val="nil"/>
              <w:left w:val="nil"/>
              <w:bottom w:val="single" w:sz="4" w:space="0" w:color="auto"/>
              <w:right w:val="nil"/>
            </w:tcBorders>
            <w:shd w:val="clear" w:color="000000" w:fill="FFFFFF"/>
            <w:noWrap/>
            <w:vAlign w:val="bottom"/>
            <w:hideMark/>
          </w:tcPr>
          <w:p w14:paraId="4AA46C96"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Above age 85</w:t>
            </w:r>
          </w:p>
        </w:tc>
        <w:tc>
          <w:tcPr>
            <w:tcW w:w="1781" w:type="dxa"/>
            <w:tcBorders>
              <w:top w:val="nil"/>
              <w:left w:val="nil"/>
              <w:bottom w:val="single" w:sz="4" w:space="0" w:color="auto"/>
              <w:right w:val="nil"/>
            </w:tcBorders>
            <w:shd w:val="clear" w:color="000000" w:fill="FFFFFF"/>
            <w:noWrap/>
            <w:vAlign w:val="bottom"/>
            <w:hideMark/>
          </w:tcPr>
          <w:p w14:paraId="20E68E9C"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5.41%</w:t>
            </w:r>
          </w:p>
        </w:tc>
        <w:tc>
          <w:tcPr>
            <w:tcW w:w="328" w:type="dxa"/>
            <w:tcBorders>
              <w:top w:val="nil"/>
              <w:left w:val="nil"/>
              <w:bottom w:val="single" w:sz="4" w:space="0" w:color="auto"/>
              <w:right w:val="nil"/>
            </w:tcBorders>
            <w:shd w:val="clear" w:color="000000" w:fill="FFFFFF"/>
            <w:noWrap/>
            <w:vAlign w:val="bottom"/>
            <w:hideMark/>
          </w:tcPr>
          <w:p w14:paraId="47F9C186"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single" w:sz="4" w:space="0" w:color="auto"/>
              <w:right w:val="nil"/>
            </w:tcBorders>
            <w:shd w:val="clear" w:color="000000" w:fill="FFFFFF"/>
            <w:noWrap/>
            <w:vAlign w:val="bottom"/>
            <w:hideMark/>
          </w:tcPr>
          <w:p w14:paraId="53821D20"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-0.05</w:t>
            </w:r>
          </w:p>
        </w:tc>
      </w:tr>
      <w:tr w:rsidR="00DE047E" w:rsidRPr="00DE047E" w14:paraId="26102DA3" w14:textId="77777777" w:rsidTr="00967448">
        <w:trPr>
          <w:trHeight w:val="161"/>
          <w:jc w:val="center"/>
        </w:trPr>
        <w:tc>
          <w:tcPr>
            <w:tcW w:w="1140" w:type="dxa"/>
            <w:tcBorders>
              <w:top w:val="nil"/>
              <w:left w:val="nil"/>
              <w:bottom w:val="nil"/>
              <w:right w:val="nil"/>
            </w:tcBorders>
            <w:shd w:val="clear" w:color="000000" w:fill="FFFFFF"/>
            <w:noWrap/>
            <w:vAlign w:val="bottom"/>
            <w:hideMark/>
          </w:tcPr>
          <w:p w14:paraId="554EFD9B"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5263FCD9"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158" w:type="dxa"/>
            <w:tcBorders>
              <w:top w:val="nil"/>
              <w:left w:val="nil"/>
              <w:bottom w:val="nil"/>
              <w:right w:val="nil"/>
            </w:tcBorders>
            <w:shd w:val="clear" w:color="000000" w:fill="FFFFFF"/>
            <w:noWrap/>
            <w:vAlign w:val="bottom"/>
            <w:hideMark/>
          </w:tcPr>
          <w:p w14:paraId="60E7ECF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781" w:type="dxa"/>
            <w:tcBorders>
              <w:top w:val="nil"/>
              <w:left w:val="nil"/>
              <w:bottom w:val="nil"/>
              <w:right w:val="nil"/>
            </w:tcBorders>
            <w:shd w:val="clear" w:color="000000" w:fill="FFFFFF"/>
            <w:noWrap/>
            <w:vAlign w:val="bottom"/>
            <w:hideMark/>
          </w:tcPr>
          <w:p w14:paraId="3C7BB626"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bottom"/>
            <w:hideMark/>
          </w:tcPr>
          <w:p w14:paraId="71079C87"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4C0CE73F"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r>
      <w:tr w:rsidR="00DE047E" w:rsidRPr="00DE047E" w14:paraId="7641C7B5"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55B3803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Males</w:t>
            </w:r>
          </w:p>
        </w:tc>
        <w:tc>
          <w:tcPr>
            <w:tcW w:w="380" w:type="dxa"/>
            <w:tcBorders>
              <w:top w:val="nil"/>
              <w:left w:val="nil"/>
              <w:bottom w:val="nil"/>
              <w:right w:val="nil"/>
            </w:tcBorders>
            <w:shd w:val="clear" w:color="000000" w:fill="FFFFFF"/>
            <w:noWrap/>
            <w:vAlign w:val="bottom"/>
            <w:hideMark/>
          </w:tcPr>
          <w:p w14:paraId="624A61B8"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w:t>
            </w:r>
          </w:p>
        </w:tc>
        <w:tc>
          <w:tcPr>
            <w:tcW w:w="3158" w:type="dxa"/>
            <w:tcBorders>
              <w:top w:val="nil"/>
              <w:left w:val="nil"/>
              <w:bottom w:val="nil"/>
              <w:right w:val="nil"/>
            </w:tcBorders>
            <w:shd w:val="clear" w:color="000000" w:fill="FFFFFF"/>
            <w:noWrap/>
            <w:vAlign w:val="bottom"/>
            <w:hideMark/>
          </w:tcPr>
          <w:p w14:paraId="5A93C25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Smoking related cancer</w:t>
            </w:r>
          </w:p>
        </w:tc>
        <w:tc>
          <w:tcPr>
            <w:tcW w:w="1781" w:type="dxa"/>
            <w:tcBorders>
              <w:top w:val="nil"/>
              <w:left w:val="nil"/>
              <w:bottom w:val="nil"/>
              <w:right w:val="nil"/>
            </w:tcBorders>
            <w:shd w:val="clear" w:color="000000" w:fill="FFFFFF"/>
            <w:noWrap/>
            <w:vAlign w:val="bottom"/>
            <w:hideMark/>
          </w:tcPr>
          <w:p w14:paraId="719325B2"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14.35%</w:t>
            </w:r>
          </w:p>
        </w:tc>
        <w:tc>
          <w:tcPr>
            <w:tcW w:w="328" w:type="dxa"/>
            <w:tcBorders>
              <w:top w:val="nil"/>
              <w:left w:val="nil"/>
              <w:bottom w:val="nil"/>
              <w:right w:val="nil"/>
            </w:tcBorders>
            <w:shd w:val="clear" w:color="000000" w:fill="FFFFFF"/>
            <w:noWrap/>
            <w:vAlign w:val="bottom"/>
            <w:hideMark/>
          </w:tcPr>
          <w:p w14:paraId="351A104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43F056E1"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0.44</w:t>
            </w:r>
          </w:p>
        </w:tc>
      </w:tr>
      <w:tr w:rsidR="00DE047E" w:rsidRPr="00DE047E" w14:paraId="5962F644"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5497600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4E4B5DA2"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w:t>
            </w:r>
          </w:p>
        </w:tc>
        <w:tc>
          <w:tcPr>
            <w:tcW w:w="3158" w:type="dxa"/>
            <w:tcBorders>
              <w:top w:val="nil"/>
              <w:left w:val="nil"/>
              <w:bottom w:val="nil"/>
              <w:right w:val="nil"/>
            </w:tcBorders>
            <w:shd w:val="clear" w:color="000000" w:fill="FFFFFF"/>
            <w:noWrap/>
            <w:vAlign w:val="bottom"/>
            <w:hideMark/>
          </w:tcPr>
          <w:p w14:paraId="3C53E412"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Non-Smoking related cancer</w:t>
            </w:r>
          </w:p>
        </w:tc>
        <w:tc>
          <w:tcPr>
            <w:tcW w:w="1781" w:type="dxa"/>
            <w:tcBorders>
              <w:top w:val="nil"/>
              <w:left w:val="nil"/>
              <w:bottom w:val="nil"/>
              <w:right w:val="nil"/>
            </w:tcBorders>
            <w:shd w:val="clear" w:color="000000" w:fill="FFFFFF"/>
            <w:noWrap/>
            <w:vAlign w:val="bottom"/>
            <w:hideMark/>
          </w:tcPr>
          <w:p w14:paraId="796166AB"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7.43%</w:t>
            </w:r>
          </w:p>
        </w:tc>
        <w:tc>
          <w:tcPr>
            <w:tcW w:w="328" w:type="dxa"/>
            <w:tcBorders>
              <w:top w:val="nil"/>
              <w:left w:val="nil"/>
              <w:bottom w:val="nil"/>
              <w:right w:val="nil"/>
            </w:tcBorders>
            <w:shd w:val="clear" w:color="000000" w:fill="FFFFFF"/>
            <w:noWrap/>
            <w:vAlign w:val="bottom"/>
            <w:hideMark/>
          </w:tcPr>
          <w:p w14:paraId="28ACB00C"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03EA9501"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0.22</w:t>
            </w:r>
          </w:p>
        </w:tc>
      </w:tr>
      <w:tr w:rsidR="00DE047E" w:rsidRPr="00DE047E" w14:paraId="0EC7B985"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448E83AB"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2A5DFF5B"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3</w:t>
            </w:r>
          </w:p>
        </w:tc>
        <w:tc>
          <w:tcPr>
            <w:tcW w:w="3158" w:type="dxa"/>
            <w:tcBorders>
              <w:top w:val="nil"/>
              <w:left w:val="nil"/>
              <w:bottom w:val="nil"/>
              <w:right w:val="nil"/>
            </w:tcBorders>
            <w:shd w:val="clear" w:color="000000" w:fill="FFFFFF"/>
            <w:noWrap/>
            <w:vAlign w:val="bottom"/>
            <w:hideMark/>
          </w:tcPr>
          <w:p w14:paraId="7319FD6E"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Cardiovascular</w:t>
            </w:r>
          </w:p>
        </w:tc>
        <w:tc>
          <w:tcPr>
            <w:tcW w:w="1781" w:type="dxa"/>
            <w:tcBorders>
              <w:top w:val="nil"/>
              <w:left w:val="nil"/>
              <w:bottom w:val="nil"/>
              <w:right w:val="nil"/>
            </w:tcBorders>
            <w:shd w:val="clear" w:color="000000" w:fill="FFFFFF"/>
            <w:noWrap/>
            <w:vAlign w:val="bottom"/>
            <w:hideMark/>
          </w:tcPr>
          <w:p w14:paraId="471C47B7"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10.13%</w:t>
            </w:r>
          </w:p>
        </w:tc>
        <w:tc>
          <w:tcPr>
            <w:tcW w:w="328" w:type="dxa"/>
            <w:tcBorders>
              <w:top w:val="nil"/>
              <w:left w:val="nil"/>
              <w:bottom w:val="nil"/>
              <w:right w:val="nil"/>
            </w:tcBorders>
            <w:shd w:val="clear" w:color="000000" w:fill="FFFFFF"/>
            <w:noWrap/>
            <w:vAlign w:val="bottom"/>
            <w:hideMark/>
          </w:tcPr>
          <w:p w14:paraId="22F820E8"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24132D90"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0.33</w:t>
            </w:r>
          </w:p>
        </w:tc>
      </w:tr>
      <w:tr w:rsidR="00DE047E" w:rsidRPr="00DE047E" w14:paraId="2C239C9A"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1F24CC61"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61C16D64"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4</w:t>
            </w:r>
          </w:p>
        </w:tc>
        <w:tc>
          <w:tcPr>
            <w:tcW w:w="3158" w:type="dxa"/>
            <w:tcBorders>
              <w:top w:val="nil"/>
              <w:left w:val="nil"/>
              <w:bottom w:val="nil"/>
              <w:right w:val="nil"/>
            </w:tcBorders>
            <w:shd w:val="clear" w:color="000000" w:fill="FFFFFF"/>
            <w:noWrap/>
            <w:vAlign w:val="bottom"/>
            <w:hideMark/>
          </w:tcPr>
          <w:p w14:paraId="548E927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Respiratory-Infectious</w:t>
            </w:r>
          </w:p>
        </w:tc>
        <w:tc>
          <w:tcPr>
            <w:tcW w:w="1781" w:type="dxa"/>
            <w:tcBorders>
              <w:top w:val="nil"/>
              <w:left w:val="nil"/>
              <w:bottom w:val="nil"/>
              <w:right w:val="nil"/>
            </w:tcBorders>
            <w:shd w:val="clear" w:color="000000" w:fill="FFFFFF"/>
            <w:noWrap/>
            <w:vAlign w:val="bottom"/>
            <w:hideMark/>
          </w:tcPr>
          <w:p w14:paraId="7C957961"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bottom"/>
            <w:hideMark/>
          </w:tcPr>
          <w:p w14:paraId="0D5E672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79A78EF1"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0.05</w:t>
            </w:r>
          </w:p>
        </w:tc>
      </w:tr>
      <w:tr w:rsidR="00DE047E" w:rsidRPr="00DE047E" w14:paraId="3058D0EB"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6D3B8CE5"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20991BF0"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5</w:t>
            </w:r>
          </w:p>
        </w:tc>
        <w:tc>
          <w:tcPr>
            <w:tcW w:w="3158" w:type="dxa"/>
            <w:tcBorders>
              <w:top w:val="nil"/>
              <w:left w:val="nil"/>
              <w:bottom w:val="nil"/>
              <w:right w:val="nil"/>
            </w:tcBorders>
            <w:shd w:val="clear" w:color="000000" w:fill="FFFFFF"/>
            <w:noWrap/>
            <w:vAlign w:val="bottom"/>
            <w:hideMark/>
          </w:tcPr>
          <w:p w14:paraId="2CD18BA6"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Respiratory-Non-infectious</w:t>
            </w:r>
          </w:p>
        </w:tc>
        <w:tc>
          <w:tcPr>
            <w:tcW w:w="1781" w:type="dxa"/>
            <w:tcBorders>
              <w:top w:val="nil"/>
              <w:left w:val="nil"/>
              <w:bottom w:val="nil"/>
              <w:right w:val="nil"/>
            </w:tcBorders>
            <w:shd w:val="clear" w:color="000000" w:fill="FFFFFF"/>
            <w:noWrap/>
            <w:vAlign w:val="bottom"/>
            <w:hideMark/>
          </w:tcPr>
          <w:p w14:paraId="7DE72163"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4.50%</w:t>
            </w:r>
          </w:p>
        </w:tc>
        <w:tc>
          <w:tcPr>
            <w:tcW w:w="328" w:type="dxa"/>
            <w:tcBorders>
              <w:top w:val="nil"/>
              <w:left w:val="nil"/>
              <w:bottom w:val="nil"/>
              <w:right w:val="nil"/>
            </w:tcBorders>
            <w:shd w:val="clear" w:color="000000" w:fill="FFFFFF"/>
            <w:noWrap/>
            <w:vAlign w:val="bottom"/>
            <w:hideMark/>
          </w:tcPr>
          <w:p w14:paraId="26F8DB1D"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33FA9CA9"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0.12</w:t>
            </w:r>
          </w:p>
        </w:tc>
      </w:tr>
      <w:tr w:rsidR="00DE047E" w:rsidRPr="00DE047E" w14:paraId="6A7788DC"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5A5392D3"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53347F1E"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6</w:t>
            </w:r>
          </w:p>
        </w:tc>
        <w:tc>
          <w:tcPr>
            <w:tcW w:w="3158" w:type="dxa"/>
            <w:tcBorders>
              <w:top w:val="nil"/>
              <w:left w:val="nil"/>
              <w:bottom w:val="nil"/>
              <w:right w:val="nil"/>
            </w:tcBorders>
            <w:shd w:val="clear" w:color="000000" w:fill="FFFFFF"/>
            <w:noWrap/>
            <w:vAlign w:val="bottom"/>
            <w:hideMark/>
          </w:tcPr>
          <w:p w14:paraId="1FFD9344"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External</w:t>
            </w:r>
          </w:p>
        </w:tc>
        <w:tc>
          <w:tcPr>
            <w:tcW w:w="1781" w:type="dxa"/>
            <w:tcBorders>
              <w:top w:val="nil"/>
              <w:left w:val="nil"/>
              <w:bottom w:val="nil"/>
              <w:right w:val="nil"/>
            </w:tcBorders>
            <w:shd w:val="clear" w:color="000000" w:fill="FFFFFF"/>
            <w:noWrap/>
            <w:vAlign w:val="bottom"/>
            <w:hideMark/>
          </w:tcPr>
          <w:p w14:paraId="5E076AB9"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-26.47%</w:t>
            </w:r>
          </w:p>
        </w:tc>
        <w:tc>
          <w:tcPr>
            <w:tcW w:w="328" w:type="dxa"/>
            <w:tcBorders>
              <w:top w:val="nil"/>
              <w:left w:val="nil"/>
              <w:bottom w:val="nil"/>
              <w:right w:val="nil"/>
            </w:tcBorders>
            <w:shd w:val="clear" w:color="000000" w:fill="FFFFFF"/>
            <w:noWrap/>
            <w:vAlign w:val="bottom"/>
            <w:hideMark/>
          </w:tcPr>
          <w:p w14:paraId="5D961EEF"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w:t>
            </w:r>
          </w:p>
        </w:tc>
        <w:tc>
          <w:tcPr>
            <w:tcW w:w="1959" w:type="dxa"/>
            <w:tcBorders>
              <w:top w:val="nil"/>
              <w:left w:val="nil"/>
              <w:bottom w:val="nil"/>
              <w:right w:val="nil"/>
            </w:tcBorders>
            <w:shd w:val="clear" w:color="000000" w:fill="FFFFFF"/>
            <w:noWrap/>
            <w:vAlign w:val="bottom"/>
            <w:hideMark/>
          </w:tcPr>
          <w:p w14:paraId="632DADF5"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-0.19</w:t>
            </w:r>
          </w:p>
        </w:tc>
      </w:tr>
      <w:tr w:rsidR="00DE047E" w:rsidRPr="00DE047E" w14:paraId="56BF2A5D" w14:textId="77777777" w:rsidTr="00967448">
        <w:trPr>
          <w:trHeight w:val="330"/>
          <w:jc w:val="center"/>
        </w:trPr>
        <w:tc>
          <w:tcPr>
            <w:tcW w:w="1140" w:type="dxa"/>
            <w:tcBorders>
              <w:top w:val="nil"/>
              <w:left w:val="nil"/>
              <w:bottom w:val="nil"/>
              <w:right w:val="nil"/>
            </w:tcBorders>
            <w:shd w:val="clear" w:color="000000" w:fill="FFFFFF"/>
            <w:noWrap/>
            <w:vAlign w:val="bottom"/>
            <w:hideMark/>
          </w:tcPr>
          <w:p w14:paraId="06CA5F9A"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nil"/>
              <w:right w:val="nil"/>
            </w:tcBorders>
            <w:shd w:val="clear" w:color="000000" w:fill="FFFFFF"/>
            <w:noWrap/>
            <w:vAlign w:val="bottom"/>
            <w:hideMark/>
          </w:tcPr>
          <w:p w14:paraId="1CC25E34"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7</w:t>
            </w:r>
          </w:p>
        </w:tc>
        <w:tc>
          <w:tcPr>
            <w:tcW w:w="3158" w:type="dxa"/>
            <w:tcBorders>
              <w:top w:val="nil"/>
              <w:left w:val="nil"/>
              <w:bottom w:val="nil"/>
              <w:right w:val="nil"/>
            </w:tcBorders>
            <w:shd w:val="clear" w:color="000000" w:fill="FFFFFF"/>
            <w:noWrap/>
            <w:vAlign w:val="bottom"/>
            <w:hideMark/>
          </w:tcPr>
          <w:p w14:paraId="67A4C0C3"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Other</w:t>
            </w:r>
          </w:p>
        </w:tc>
        <w:tc>
          <w:tcPr>
            <w:tcW w:w="1781" w:type="dxa"/>
            <w:tcBorders>
              <w:top w:val="nil"/>
              <w:left w:val="nil"/>
              <w:bottom w:val="nil"/>
              <w:right w:val="nil"/>
            </w:tcBorders>
            <w:shd w:val="clear" w:color="000000" w:fill="FFFFFF"/>
            <w:noWrap/>
            <w:vAlign w:val="bottom"/>
            <w:hideMark/>
          </w:tcPr>
          <w:p w14:paraId="3683EACF"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92.17%</w:t>
            </w:r>
          </w:p>
        </w:tc>
        <w:tc>
          <w:tcPr>
            <w:tcW w:w="328" w:type="dxa"/>
            <w:tcBorders>
              <w:top w:val="nil"/>
              <w:left w:val="nil"/>
              <w:bottom w:val="nil"/>
              <w:right w:val="nil"/>
            </w:tcBorders>
            <w:shd w:val="clear" w:color="000000" w:fill="FFFFFF"/>
            <w:noWrap/>
            <w:vAlign w:val="bottom"/>
            <w:hideMark/>
          </w:tcPr>
          <w:p w14:paraId="7DD3C53D"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1959" w:type="dxa"/>
            <w:tcBorders>
              <w:top w:val="nil"/>
              <w:left w:val="nil"/>
              <w:bottom w:val="nil"/>
              <w:right w:val="nil"/>
            </w:tcBorders>
            <w:shd w:val="clear" w:color="000000" w:fill="FFFFFF"/>
            <w:noWrap/>
            <w:vAlign w:val="bottom"/>
            <w:hideMark/>
          </w:tcPr>
          <w:p w14:paraId="40429E49"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0.77</w:t>
            </w:r>
          </w:p>
        </w:tc>
      </w:tr>
      <w:tr w:rsidR="00DE047E" w:rsidRPr="00DE047E" w14:paraId="23EEE1A8" w14:textId="77777777" w:rsidTr="00967448">
        <w:trPr>
          <w:trHeight w:val="330"/>
          <w:jc w:val="center"/>
        </w:trPr>
        <w:tc>
          <w:tcPr>
            <w:tcW w:w="1140" w:type="dxa"/>
            <w:tcBorders>
              <w:top w:val="nil"/>
              <w:left w:val="nil"/>
              <w:bottom w:val="single" w:sz="4" w:space="0" w:color="auto"/>
              <w:right w:val="nil"/>
            </w:tcBorders>
            <w:shd w:val="clear" w:color="000000" w:fill="FFFFFF"/>
            <w:noWrap/>
            <w:vAlign w:val="bottom"/>
            <w:hideMark/>
          </w:tcPr>
          <w:p w14:paraId="7EC91570"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 </w:t>
            </w:r>
          </w:p>
        </w:tc>
        <w:tc>
          <w:tcPr>
            <w:tcW w:w="380" w:type="dxa"/>
            <w:tcBorders>
              <w:top w:val="nil"/>
              <w:left w:val="nil"/>
              <w:bottom w:val="single" w:sz="4" w:space="0" w:color="auto"/>
              <w:right w:val="nil"/>
            </w:tcBorders>
            <w:shd w:val="clear" w:color="000000" w:fill="FFFFFF"/>
            <w:noWrap/>
            <w:vAlign w:val="bottom"/>
            <w:hideMark/>
          </w:tcPr>
          <w:p w14:paraId="034859DC"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8</w:t>
            </w:r>
          </w:p>
        </w:tc>
        <w:tc>
          <w:tcPr>
            <w:tcW w:w="3158" w:type="dxa"/>
            <w:tcBorders>
              <w:top w:val="nil"/>
              <w:left w:val="nil"/>
              <w:bottom w:val="single" w:sz="4" w:space="0" w:color="auto"/>
              <w:right w:val="nil"/>
            </w:tcBorders>
            <w:shd w:val="clear" w:color="000000" w:fill="FFFFFF"/>
            <w:noWrap/>
            <w:vAlign w:val="bottom"/>
            <w:hideMark/>
          </w:tcPr>
          <w:p w14:paraId="09ABFD41"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Above age 85</w:t>
            </w:r>
          </w:p>
        </w:tc>
        <w:tc>
          <w:tcPr>
            <w:tcW w:w="1781" w:type="dxa"/>
            <w:tcBorders>
              <w:top w:val="nil"/>
              <w:left w:val="nil"/>
              <w:bottom w:val="single" w:sz="4" w:space="0" w:color="auto"/>
              <w:right w:val="nil"/>
            </w:tcBorders>
            <w:shd w:val="clear" w:color="000000" w:fill="FFFFFF"/>
            <w:noWrap/>
            <w:vAlign w:val="bottom"/>
            <w:hideMark/>
          </w:tcPr>
          <w:p w14:paraId="261F602A"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-2.86%</w:t>
            </w:r>
          </w:p>
        </w:tc>
        <w:tc>
          <w:tcPr>
            <w:tcW w:w="328" w:type="dxa"/>
            <w:tcBorders>
              <w:top w:val="nil"/>
              <w:left w:val="nil"/>
              <w:bottom w:val="single" w:sz="4" w:space="0" w:color="auto"/>
              <w:right w:val="nil"/>
            </w:tcBorders>
            <w:shd w:val="clear" w:color="000000" w:fill="FFFFFF"/>
            <w:noWrap/>
            <w:vAlign w:val="bottom"/>
            <w:hideMark/>
          </w:tcPr>
          <w:p w14:paraId="1CB8E28C" w14:textId="77777777" w:rsidR="00DE047E" w:rsidRPr="00DE047E" w:rsidRDefault="00DE047E" w:rsidP="00DE047E">
            <w:pPr>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w:t>
            </w:r>
          </w:p>
        </w:tc>
        <w:tc>
          <w:tcPr>
            <w:tcW w:w="1959" w:type="dxa"/>
            <w:tcBorders>
              <w:top w:val="nil"/>
              <w:left w:val="nil"/>
              <w:bottom w:val="single" w:sz="4" w:space="0" w:color="auto"/>
              <w:right w:val="nil"/>
            </w:tcBorders>
            <w:shd w:val="clear" w:color="000000" w:fill="FFFFFF"/>
            <w:noWrap/>
            <w:vAlign w:val="bottom"/>
            <w:hideMark/>
          </w:tcPr>
          <w:p w14:paraId="7BD7E165" w14:textId="77777777" w:rsidR="00DE047E" w:rsidRPr="00DE047E" w:rsidRDefault="00DE047E" w:rsidP="00DE047E">
            <w:pPr>
              <w:jc w:val="right"/>
              <w:rPr>
                <w:rFonts w:ascii="Garamond" w:eastAsia="Times New Roman" w:hAnsi="Garamond" w:cs="Calibri"/>
                <w:color w:val="000000"/>
                <w:sz w:val="26"/>
                <w:szCs w:val="26"/>
              </w:rPr>
            </w:pPr>
            <w:r w:rsidRPr="00DE047E">
              <w:rPr>
                <w:rFonts w:ascii="Garamond" w:eastAsia="Times New Roman" w:hAnsi="Garamond" w:cs="Calibri"/>
                <w:color w:val="000000"/>
                <w:sz w:val="26"/>
                <w:szCs w:val="26"/>
              </w:rPr>
              <w:t>0.04</w:t>
            </w:r>
          </w:p>
        </w:tc>
      </w:tr>
      <w:tr w:rsidR="00DE047E" w:rsidRPr="00DE047E" w14:paraId="0C0470EA" w14:textId="77777777" w:rsidTr="00967448">
        <w:trPr>
          <w:trHeight w:val="615"/>
          <w:jc w:val="center"/>
        </w:trPr>
        <w:tc>
          <w:tcPr>
            <w:tcW w:w="8746" w:type="dxa"/>
            <w:gridSpan w:val="6"/>
            <w:tcBorders>
              <w:top w:val="single" w:sz="4" w:space="0" w:color="auto"/>
              <w:left w:val="nil"/>
              <w:bottom w:val="nil"/>
              <w:right w:val="nil"/>
            </w:tcBorders>
            <w:shd w:val="clear" w:color="000000" w:fill="FFFFFF"/>
            <w:vAlign w:val="bottom"/>
            <w:hideMark/>
          </w:tcPr>
          <w:p w14:paraId="1E53B2F0" w14:textId="77777777" w:rsidR="00DE047E" w:rsidRPr="00DE047E" w:rsidRDefault="00DE047E" w:rsidP="00DE047E">
            <w:pPr>
              <w:rPr>
                <w:rFonts w:ascii="Garamond" w:eastAsia="Times New Roman" w:hAnsi="Garamond" w:cs="Calibri"/>
                <w:color w:val="000000"/>
              </w:rPr>
            </w:pPr>
            <w:r w:rsidRPr="00DE047E">
              <w:rPr>
                <w:rFonts w:ascii="Garamond" w:eastAsia="Times New Roman" w:hAnsi="Garamond" w:cs="Calibri"/>
                <w:color w:val="000000"/>
              </w:rPr>
              <w:t>* Reduces the gap with Sweden. Represents potential gains for Sweden if they achieve the levels of Denmark.</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0B19A9" w:rsidRDefault="000B19A9" w:rsidP="000B19A9">
      <w:pPr>
        <w:pStyle w:val="EndNoteBibliography"/>
      </w:pPr>
      <w:r w:rsidRPr="000B19A9">
        <w:t>3.</w:t>
      </w:r>
      <w:r w:rsidRPr="000B19A9">
        <w:tab/>
        <w:t>Marmot M. Inequalities in health. New England Journal of Medicine. 2001;345(2):134-5.</w:t>
      </w:r>
    </w:p>
    <w:p w14:paraId="4A9761BC" w14:textId="77777777" w:rsidR="000B19A9" w:rsidRPr="000B19A9" w:rsidRDefault="000B19A9" w:rsidP="000B19A9">
      <w:pPr>
        <w:pStyle w:val="EndNoteBibliography"/>
      </w:pPr>
      <w:r w:rsidRPr="000B19A9">
        <w:t>4.</w:t>
      </w:r>
      <w:r w:rsidRPr="000B19A9">
        <w:tab/>
        <w:t>Mackenbach JP, Kulhánová I, Artnik B, Bopp M, Borrell C, Clemens T, et al. 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0B19A9">
        <w:t>5.</w:t>
      </w:r>
      <w:r w:rsidRPr="000B19A9">
        <w:tab/>
        <w:t>Vaupel JW, Zhang Z, van Raalte AA. 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0B19A9" w:rsidRDefault="000B19A9" w:rsidP="000B19A9">
      <w:pPr>
        <w:pStyle w:val="EndNoteBibliography"/>
      </w:pPr>
      <w:r w:rsidRPr="000B19A9">
        <w:t>9.</w:t>
      </w:r>
      <w:r w:rsidRPr="000B19A9">
        <w:tab/>
        <w:t>Firebaugh G, Acciai F, Noah AJ, Prather C, Nau C. Why lifespans are more variable among blacks than among whites in the United States. Demography. 2014;51(6):2025-45.</w:t>
      </w:r>
    </w:p>
    <w:p w14:paraId="1979B189" w14:textId="77777777" w:rsidR="000B19A9" w:rsidRPr="000B19A9" w:rsidRDefault="000B19A9" w:rsidP="000B19A9">
      <w:pPr>
        <w:pStyle w:val="EndNoteBibliography"/>
      </w:pPr>
      <w:r w:rsidRPr="000B19A9">
        <w:t>10.</w:t>
      </w:r>
      <w:r w:rsidRPr="000B19A9">
        <w:tab/>
        <w:t>van Raalte AA, Kunst AE, Deboosere P, Leinsalu M, Lundberg O, Martikainen P, et al. 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4" w:history="1">
        <w:r w:rsidRPr="000B19A9">
          <w:rPr>
            <w:rStyle w:val="Hyper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0B19A9" w:rsidRDefault="000B19A9" w:rsidP="000B19A9">
      <w:pPr>
        <w:pStyle w:val="EndNoteBibliography"/>
      </w:pPr>
      <w:r w:rsidRPr="000B19A9">
        <w:t>27.</w:t>
      </w:r>
      <w:r w:rsidRPr="000B19A9">
        <w:tab/>
        <w:t>Wennergren G, Nordstrand K, Alm B, Möllborg P, Öhman A, Berlin A, et al. Updated Swedish advice on reducing the risk of sudden infant death syndrome. Acta Paediatrica. 2015;104(5):444-8.</w:t>
      </w:r>
    </w:p>
    <w:p w14:paraId="290A44CC" w14:textId="77777777" w:rsidR="000B19A9" w:rsidRPr="000B19A9" w:rsidRDefault="000B19A9" w:rsidP="000B19A9">
      <w:pPr>
        <w:pStyle w:val="EndNoteBibliography"/>
      </w:pPr>
      <w:r w:rsidRPr="000B19A9">
        <w:t>28.</w:t>
      </w:r>
      <w:r w:rsidRPr="000B19A9">
        <w:tab/>
        <w:t>Hashim D, Boffetta P, La Vecchia C, Rota M, Bertuccio P, Malvezzi M, et al. The global decrease in cancer mortality: trends and disparities. Annals of Oncology. 2016;27(5):926-33.</w:t>
      </w:r>
    </w:p>
    <w:p w14:paraId="31FBEBDD" w14:textId="74DBA307"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bookmarkStart w:id="2" w:name="_GoBack"/>
      <w:bookmarkEnd w:id="2"/>
    </w:p>
    <w:sectPr w:rsidR="007E0D66" w:rsidRPr="00B2566E" w:rsidSect="00DE24EB">
      <w:headerReference w:type="default" r:id="rId15"/>
      <w:footerReference w:type="default" r:id="rId1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7-10-20T14:45:00Z" w:initials="JMA">
    <w:p w14:paraId="4F1A6FEE" w14:textId="70C84733" w:rsidR="000D402B" w:rsidRDefault="000D402B">
      <w:pPr>
        <w:pStyle w:val="CommentText"/>
      </w:pPr>
      <w:r>
        <w:rPr>
          <w:rStyle w:val="CommentReference"/>
        </w:rPr>
        <w:annotationRef/>
      </w:r>
      <w:r>
        <w:t>I don’t what is going on with external mortality. I couldn’t find papers supporting our results. Any thoughts?</w:t>
      </w:r>
    </w:p>
  </w:comment>
  <w:comment w:id="1" w:author="José Manuel Aburto" w:date="2017-10-20T14:47:00Z" w:initials="JMA">
    <w:p w14:paraId="7973BC37" w14:textId="7D56719C" w:rsidR="000D402B" w:rsidRDefault="000D402B">
      <w:pPr>
        <w:pStyle w:val="CommentText"/>
      </w:pPr>
      <w:r>
        <w:rPr>
          <w:rStyle w:val="CommentReference"/>
        </w:rPr>
        <w:annotationRef/>
      </w:r>
      <w:r>
        <w:t>We need a strong concluding paragraph. Let’s as Rune and Jim to contribute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A6FEE" w15:done="0"/>
  <w15:commentEx w15:paraId="7973BC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6867C" w14:textId="77777777" w:rsidR="008A64DA" w:rsidRDefault="008A64DA" w:rsidP="008626B5">
      <w:r>
        <w:separator/>
      </w:r>
    </w:p>
  </w:endnote>
  <w:endnote w:type="continuationSeparator" w:id="0">
    <w:p w14:paraId="460C9861" w14:textId="77777777" w:rsidR="008A64DA" w:rsidRDefault="008A64DA"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7B3F4A77" w:rsidR="00D01051" w:rsidRDefault="00D01051">
        <w:pPr>
          <w:pStyle w:val="Footer"/>
          <w:jc w:val="right"/>
        </w:pPr>
        <w:r>
          <w:fldChar w:fldCharType="begin"/>
        </w:r>
        <w:r>
          <w:instrText xml:space="preserve"> PAGE   \* MERGEFORMAT </w:instrText>
        </w:r>
        <w:r>
          <w:fldChar w:fldCharType="separate"/>
        </w:r>
        <w:r w:rsidR="000D402B">
          <w:rPr>
            <w:noProof/>
          </w:rPr>
          <w:t>13</w:t>
        </w:r>
        <w:r>
          <w:rPr>
            <w:noProof/>
          </w:rPr>
          <w:fldChar w:fldCharType="end"/>
        </w:r>
      </w:p>
    </w:sdtContent>
  </w:sdt>
  <w:p w14:paraId="56B8FCA3" w14:textId="77777777" w:rsidR="00D01051" w:rsidRDefault="00D01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4DC09" w14:textId="77777777" w:rsidR="008A64DA" w:rsidRDefault="008A64DA" w:rsidP="008626B5">
      <w:r>
        <w:separator/>
      </w:r>
    </w:p>
  </w:footnote>
  <w:footnote w:type="continuationSeparator" w:id="0">
    <w:p w14:paraId="5AF665E1" w14:textId="77777777" w:rsidR="008A64DA" w:rsidRDefault="008A64DA" w:rsidP="008626B5">
      <w:r>
        <w:continuationSeparator/>
      </w:r>
    </w:p>
  </w:footnote>
  <w:footnote w:id="1">
    <w:p w14:paraId="322F8585" w14:textId="3109D1CB" w:rsidR="00D01051" w:rsidRPr="00F02AAC" w:rsidRDefault="00D0105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D01051" w:rsidRPr="00F02AAC" w:rsidRDefault="00D0105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D01051" w:rsidRPr="00FB05AD" w:rsidRDefault="00D01051" w:rsidP="008626B5">
        <w:pPr>
          <w:pStyle w:val="Header"/>
        </w:pPr>
        <w:r>
          <w:t xml:space="preserve">Aburto, Wensink, </w:t>
        </w:r>
        <w:r w:rsidRPr="00FB05AD">
          <w:t>Vaupel</w:t>
        </w:r>
        <w:r>
          <w:t>,</w:t>
        </w:r>
        <w:r w:rsidRPr="00FB05AD">
          <w:t xml:space="preserve"> Lindahl-Jacobsen. Lifespan i</w:t>
        </w:r>
        <w:r>
          <w:t>nequality in Denmark</w:t>
        </w:r>
      </w:p>
    </w:sdtContent>
  </w:sdt>
  <w:p w14:paraId="60E2E9D7" w14:textId="77777777" w:rsidR="00D01051" w:rsidRPr="00902738" w:rsidRDefault="00D01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D1D"/>
    <w:rsid w:val="00035F7D"/>
    <w:rsid w:val="000464C9"/>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6B1"/>
    <w:rsid w:val="000A2B79"/>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102E1"/>
    <w:rsid w:val="00114117"/>
    <w:rsid w:val="001154AB"/>
    <w:rsid w:val="00115578"/>
    <w:rsid w:val="00115CC5"/>
    <w:rsid w:val="00121A51"/>
    <w:rsid w:val="0012295D"/>
    <w:rsid w:val="00123052"/>
    <w:rsid w:val="00125966"/>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329A"/>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C5B6D"/>
    <w:rsid w:val="002D2E2E"/>
    <w:rsid w:val="002D3CB1"/>
    <w:rsid w:val="002D5CFA"/>
    <w:rsid w:val="002E059C"/>
    <w:rsid w:val="002E1363"/>
    <w:rsid w:val="002E495E"/>
    <w:rsid w:val="002E4A25"/>
    <w:rsid w:val="002E5917"/>
    <w:rsid w:val="002E61E9"/>
    <w:rsid w:val="002F35BD"/>
    <w:rsid w:val="002F3ACA"/>
    <w:rsid w:val="002F491B"/>
    <w:rsid w:val="002F5300"/>
    <w:rsid w:val="002F75FF"/>
    <w:rsid w:val="00300272"/>
    <w:rsid w:val="00301966"/>
    <w:rsid w:val="00306181"/>
    <w:rsid w:val="00307D4D"/>
    <w:rsid w:val="00312221"/>
    <w:rsid w:val="00312C8E"/>
    <w:rsid w:val="003145A2"/>
    <w:rsid w:val="00314A20"/>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A0237"/>
    <w:rsid w:val="003A0827"/>
    <w:rsid w:val="003A160D"/>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3B3"/>
    <w:rsid w:val="004F43FB"/>
    <w:rsid w:val="004F4E17"/>
    <w:rsid w:val="004F5F7B"/>
    <w:rsid w:val="004F63BB"/>
    <w:rsid w:val="0050319A"/>
    <w:rsid w:val="005045D8"/>
    <w:rsid w:val="00505200"/>
    <w:rsid w:val="00505932"/>
    <w:rsid w:val="0051024E"/>
    <w:rsid w:val="005104E6"/>
    <w:rsid w:val="005115E2"/>
    <w:rsid w:val="005127DC"/>
    <w:rsid w:val="00515843"/>
    <w:rsid w:val="00517D5C"/>
    <w:rsid w:val="00521967"/>
    <w:rsid w:val="00524AC0"/>
    <w:rsid w:val="00525247"/>
    <w:rsid w:val="00527CE0"/>
    <w:rsid w:val="00530A90"/>
    <w:rsid w:val="0053188E"/>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B35"/>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8DC"/>
    <w:rsid w:val="00617176"/>
    <w:rsid w:val="006173E8"/>
    <w:rsid w:val="006218DF"/>
    <w:rsid w:val="00623083"/>
    <w:rsid w:val="0062481F"/>
    <w:rsid w:val="00624AC6"/>
    <w:rsid w:val="006343C1"/>
    <w:rsid w:val="00636424"/>
    <w:rsid w:val="00636612"/>
    <w:rsid w:val="00636E45"/>
    <w:rsid w:val="00637015"/>
    <w:rsid w:val="0063729C"/>
    <w:rsid w:val="00637863"/>
    <w:rsid w:val="006442BD"/>
    <w:rsid w:val="00645F84"/>
    <w:rsid w:val="00647A92"/>
    <w:rsid w:val="006556AD"/>
    <w:rsid w:val="00657D87"/>
    <w:rsid w:val="00660553"/>
    <w:rsid w:val="00662EFD"/>
    <w:rsid w:val="00664278"/>
    <w:rsid w:val="006651CA"/>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69D9"/>
    <w:rsid w:val="00701C71"/>
    <w:rsid w:val="007021A3"/>
    <w:rsid w:val="00703E56"/>
    <w:rsid w:val="00703EDC"/>
    <w:rsid w:val="00706116"/>
    <w:rsid w:val="007142DA"/>
    <w:rsid w:val="00714311"/>
    <w:rsid w:val="00714651"/>
    <w:rsid w:val="0071625E"/>
    <w:rsid w:val="007176B5"/>
    <w:rsid w:val="00717A1D"/>
    <w:rsid w:val="00721BA4"/>
    <w:rsid w:val="007238B0"/>
    <w:rsid w:val="00723B8A"/>
    <w:rsid w:val="00724004"/>
    <w:rsid w:val="007307BC"/>
    <w:rsid w:val="0073172D"/>
    <w:rsid w:val="007337A4"/>
    <w:rsid w:val="007362CE"/>
    <w:rsid w:val="00736F9C"/>
    <w:rsid w:val="007452CB"/>
    <w:rsid w:val="0075108C"/>
    <w:rsid w:val="00752E6B"/>
    <w:rsid w:val="007543CE"/>
    <w:rsid w:val="00756D74"/>
    <w:rsid w:val="00760823"/>
    <w:rsid w:val="00762B7C"/>
    <w:rsid w:val="0076399E"/>
    <w:rsid w:val="007640CF"/>
    <w:rsid w:val="00765AE9"/>
    <w:rsid w:val="0077105C"/>
    <w:rsid w:val="00774C06"/>
    <w:rsid w:val="00776629"/>
    <w:rsid w:val="00777392"/>
    <w:rsid w:val="0077758E"/>
    <w:rsid w:val="00781EA2"/>
    <w:rsid w:val="00783810"/>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36D4"/>
    <w:rsid w:val="007F3CD3"/>
    <w:rsid w:val="007F4E3F"/>
    <w:rsid w:val="00800A46"/>
    <w:rsid w:val="00800EDF"/>
    <w:rsid w:val="008013ED"/>
    <w:rsid w:val="00802F99"/>
    <w:rsid w:val="00813155"/>
    <w:rsid w:val="00813A3D"/>
    <w:rsid w:val="008143C4"/>
    <w:rsid w:val="00814E48"/>
    <w:rsid w:val="0082005B"/>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3A4F"/>
    <w:rsid w:val="00A3664F"/>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566E"/>
    <w:rsid w:val="00B25ECB"/>
    <w:rsid w:val="00B271DB"/>
    <w:rsid w:val="00B2783C"/>
    <w:rsid w:val="00B347B2"/>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6263"/>
    <w:rsid w:val="00B87A2F"/>
    <w:rsid w:val="00B93D1D"/>
    <w:rsid w:val="00B94BE0"/>
    <w:rsid w:val="00B95A82"/>
    <w:rsid w:val="00B96491"/>
    <w:rsid w:val="00B97962"/>
    <w:rsid w:val="00B97C33"/>
    <w:rsid w:val="00BA1202"/>
    <w:rsid w:val="00BA507A"/>
    <w:rsid w:val="00BB099E"/>
    <w:rsid w:val="00BB4DF3"/>
    <w:rsid w:val="00BB58A7"/>
    <w:rsid w:val="00BB58FA"/>
    <w:rsid w:val="00BB785E"/>
    <w:rsid w:val="00BC0CC7"/>
    <w:rsid w:val="00BC188E"/>
    <w:rsid w:val="00BC4D9D"/>
    <w:rsid w:val="00BC763F"/>
    <w:rsid w:val="00BD0F15"/>
    <w:rsid w:val="00BD2AF3"/>
    <w:rsid w:val="00BD4760"/>
    <w:rsid w:val="00BD6793"/>
    <w:rsid w:val="00BE15C0"/>
    <w:rsid w:val="00BE2458"/>
    <w:rsid w:val="00BE288B"/>
    <w:rsid w:val="00BE3082"/>
    <w:rsid w:val="00BE5969"/>
    <w:rsid w:val="00BE6467"/>
    <w:rsid w:val="00BF0DD1"/>
    <w:rsid w:val="00BF2A90"/>
    <w:rsid w:val="00C00721"/>
    <w:rsid w:val="00C0305A"/>
    <w:rsid w:val="00C068A9"/>
    <w:rsid w:val="00C108E9"/>
    <w:rsid w:val="00C10A42"/>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12243"/>
    <w:rsid w:val="00D13D70"/>
    <w:rsid w:val="00D13E9E"/>
    <w:rsid w:val="00D145D4"/>
    <w:rsid w:val="00D1540F"/>
    <w:rsid w:val="00D2173D"/>
    <w:rsid w:val="00D30CC9"/>
    <w:rsid w:val="00D33718"/>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43AC"/>
    <w:rsid w:val="00EA14CC"/>
    <w:rsid w:val="00EA43FA"/>
    <w:rsid w:val="00EA4EB0"/>
    <w:rsid w:val="00EA65B4"/>
    <w:rsid w:val="00EB0090"/>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7B3"/>
    <w:rsid w:val="00F8569E"/>
    <w:rsid w:val="00F872A8"/>
    <w:rsid w:val="00F87784"/>
    <w:rsid w:val="00F9179C"/>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who.int/healthinfo/mortality_data/e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831BC-6E8D-425D-923E-84FC9B6A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15</Pages>
  <Words>6609</Words>
  <Characters>37672</Characters>
  <Application>Microsoft Office Word</Application>
  <DocSecurity>0</DocSecurity>
  <Lines>313</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64</cp:revision>
  <dcterms:created xsi:type="dcterms:W3CDTF">2017-10-05T12:33:00Z</dcterms:created>
  <dcterms:modified xsi:type="dcterms:W3CDTF">2017-10-20T12:47:00Z</dcterms:modified>
</cp:coreProperties>
</file>