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77777777" w:rsidR="00FB05AD" w:rsidRPr="00981D30" w:rsidRDefault="00FB05AD" w:rsidP="00FB05AD">
      <w:pPr>
        <w:rPr>
          <w:rFonts w:cs="Times New Roman"/>
          <w:b/>
        </w:rPr>
      </w:pPr>
      <w:r w:rsidRPr="00981D30">
        <w:rPr>
          <w:rFonts w:cs="Times New Roman"/>
          <w:b/>
        </w:rPr>
        <w:t>Title: The increase in lifespan inequality in inter-war female cohorts in Denmark?</w:t>
      </w:r>
    </w:p>
    <w:p w14:paraId="02C12D7A" w14:textId="77777777" w:rsidR="00FB05AD" w:rsidRPr="00981D30" w:rsidRDefault="00FB05AD" w:rsidP="00FB05AD">
      <w:pPr>
        <w:rPr>
          <w:rFonts w:cs="Times New Roman"/>
          <w:b/>
        </w:rPr>
      </w:pPr>
    </w:p>
    <w:p w14:paraId="47FA4F7A" w14:textId="77777777" w:rsidR="00FB05AD" w:rsidRPr="00981D30" w:rsidRDefault="00FB05AD" w:rsidP="00FB05AD">
      <w:pPr>
        <w:rPr>
          <w:rFonts w:cs="Times New Roman"/>
        </w:rPr>
      </w:pPr>
      <w:r w:rsidRPr="00981D30">
        <w:rPr>
          <w:rFonts w:cs="Times New Roman"/>
          <w:b/>
        </w:rPr>
        <w:t>Authors:</w:t>
      </w:r>
      <w:r w:rsidRPr="00981D30">
        <w:rPr>
          <w:rFonts w:cs="Times New Roman"/>
        </w:rPr>
        <w:t xml:space="preserve"> José Manuel Aburto </w:t>
      </w:r>
      <w:r w:rsidRPr="00981D30">
        <w:rPr>
          <w:rFonts w:cs="Times New Roman"/>
          <w:vertAlign w:val="superscript"/>
        </w:rPr>
        <w:t>a</w:t>
      </w:r>
      <w:r w:rsidR="006F69D9" w:rsidRPr="00981D30">
        <w:rPr>
          <w:rFonts w:cs="Times New Roman"/>
          <w:vertAlign w:val="superscript"/>
        </w:rPr>
        <w:t>*</w:t>
      </w:r>
      <w:r w:rsidRPr="00981D30">
        <w:rPr>
          <w:rFonts w:cs="Times New Roman"/>
        </w:rPr>
        <w:t>, Ma</w:t>
      </w:r>
      <w:r w:rsidR="006815B5" w:rsidRPr="00981D30">
        <w:rPr>
          <w:rFonts w:cs="Times New Roman"/>
        </w:rPr>
        <w:t>art</w:t>
      </w:r>
      <w:r w:rsidRPr="00981D30">
        <w:rPr>
          <w:rFonts w:cs="Times New Roman"/>
        </w:rPr>
        <w:t xml:space="preserve">en Wensink </w:t>
      </w:r>
      <w:r w:rsidRPr="00981D30">
        <w:rPr>
          <w:rFonts w:cs="Times New Roman"/>
          <w:vertAlign w:val="superscript"/>
        </w:rPr>
        <w:t>a</w:t>
      </w:r>
      <w:r w:rsidRPr="00981D30">
        <w:rPr>
          <w:rFonts w:cs="Times New Roman"/>
        </w:rPr>
        <w:t xml:space="preserve">, Rune Lindahl-Jacobsen </w:t>
      </w:r>
      <w:r w:rsidRPr="00981D30">
        <w:rPr>
          <w:rFonts w:cs="Times New Roman"/>
          <w:vertAlign w:val="superscript"/>
        </w:rPr>
        <w:t>a</w:t>
      </w:r>
      <w:r w:rsidRPr="00981D30">
        <w:rPr>
          <w:rFonts w:cs="Times New Roman"/>
        </w:rPr>
        <w:t xml:space="preserve"> &amp; James W. </w:t>
      </w:r>
      <w:proofErr w:type="spellStart"/>
      <w:r w:rsidRPr="00981D30">
        <w:rPr>
          <w:rFonts w:cs="Times New Roman"/>
        </w:rPr>
        <w:t>Vaupel</w:t>
      </w:r>
      <w:proofErr w:type="spellEnd"/>
      <w:r w:rsidRPr="00981D30">
        <w:rPr>
          <w:rFonts w:cs="Times New Roman"/>
        </w:rPr>
        <w:t xml:space="preserve"> </w:t>
      </w:r>
      <w:proofErr w:type="spellStart"/>
      <w:proofErr w:type="gramStart"/>
      <w:r w:rsidRPr="00981D30">
        <w:rPr>
          <w:rFonts w:cs="Times New Roman"/>
          <w:vertAlign w:val="superscript"/>
        </w:rPr>
        <w:t>a,c</w:t>
      </w:r>
      <w:proofErr w:type="spellEnd"/>
      <w:proofErr w:type="gramEnd"/>
    </w:p>
    <w:p w14:paraId="68C7D0F7" w14:textId="77777777" w:rsidR="00FB05AD" w:rsidRPr="00981D30" w:rsidRDefault="00FB05AD" w:rsidP="00FB05AD">
      <w:pPr>
        <w:rPr>
          <w:rFonts w:cs="Times New Roman"/>
          <w:vertAlign w:val="superscript"/>
        </w:rPr>
      </w:pPr>
    </w:p>
    <w:p w14:paraId="54A875D0" w14:textId="77777777" w:rsidR="00FB05AD" w:rsidRPr="00981D30" w:rsidRDefault="00FB05AD" w:rsidP="00FB05AD">
      <w:pPr>
        <w:rPr>
          <w:rFonts w:cs="Times New Roman"/>
          <w:b/>
        </w:rPr>
      </w:pPr>
      <w:r w:rsidRPr="00981D30">
        <w:rPr>
          <w:rFonts w:cs="Times New Roman"/>
          <w:b/>
        </w:rPr>
        <w:t>Author affiliations:</w:t>
      </w:r>
    </w:p>
    <w:p w14:paraId="5DBC7D7C" w14:textId="77777777" w:rsidR="00FB05AD" w:rsidRPr="00981D30" w:rsidRDefault="00FB05AD" w:rsidP="00FB05AD">
      <w:pPr>
        <w:rPr>
          <w:rFonts w:cs="Times New Roman"/>
        </w:rPr>
      </w:pPr>
      <w:r w:rsidRPr="00981D30">
        <w:rPr>
          <w:rFonts w:cs="Times New Roman"/>
          <w:vertAlign w:val="superscript"/>
        </w:rPr>
        <w:t xml:space="preserve">a </w:t>
      </w:r>
      <w:r w:rsidRPr="00981D30">
        <w:rPr>
          <w:rFonts w:cs="Times New Roman"/>
        </w:rPr>
        <w:t>Max-Planck Odense Center on the Biodemography of Aging, Department of Public Health- Epidemiology, Biostatistics and Biodemography, University of Southern Denmark, Odense 5000, Denmark.</w:t>
      </w:r>
    </w:p>
    <w:p w14:paraId="2326DE7B" w14:textId="77777777" w:rsidR="00FB05AD" w:rsidRPr="00981D30" w:rsidRDefault="00FB05AD" w:rsidP="00FB05AD">
      <w:pPr>
        <w:rPr>
          <w:rFonts w:cs="Times New Roman"/>
        </w:rPr>
      </w:pPr>
    </w:p>
    <w:p w14:paraId="2531E5C2" w14:textId="77777777" w:rsidR="00FB05AD" w:rsidRPr="00981D30" w:rsidRDefault="00FB05AD" w:rsidP="00FB05AD">
      <w:pPr>
        <w:rPr>
          <w:rFonts w:cs="Times New Roman"/>
        </w:rPr>
      </w:pPr>
      <w:r w:rsidRPr="00981D30">
        <w:rPr>
          <w:rFonts w:cs="Times New Roman"/>
          <w:vertAlign w:val="superscript"/>
        </w:rPr>
        <w:t xml:space="preserve">c </w:t>
      </w:r>
      <w:r w:rsidRPr="00981D30">
        <w:rPr>
          <w:rFonts w:cs="Times New Roman"/>
        </w:rPr>
        <w:t>Max Planck Institute for Demographic Research, Rostock 18057, Germany</w:t>
      </w:r>
    </w:p>
    <w:p w14:paraId="06480B7D" w14:textId="77777777" w:rsidR="00FB05AD" w:rsidRPr="00981D30" w:rsidRDefault="00FB05AD" w:rsidP="00FB05AD">
      <w:pPr>
        <w:rPr>
          <w:rFonts w:cs="Times New Roman"/>
        </w:rPr>
      </w:pPr>
    </w:p>
    <w:p w14:paraId="14ED5CE1" w14:textId="77777777" w:rsidR="00FB05AD" w:rsidRPr="00981D30" w:rsidRDefault="00FB05AD" w:rsidP="00FB05AD">
      <w:pPr>
        <w:rPr>
          <w:rFonts w:cs="Times New Roman"/>
        </w:rPr>
      </w:pPr>
      <w:r w:rsidRPr="00981D30">
        <w:rPr>
          <w:rFonts w:cs="Times New Roman"/>
          <w:b/>
        </w:rPr>
        <w:t>Corresponding authors:</w:t>
      </w:r>
      <w:r w:rsidRPr="00981D30">
        <w:rPr>
          <w:rFonts w:cs="Times New Roman"/>
        </w:rPr>
        <w:t xml:space="preserve"> José Manuel Aburto &amp; </w:t>
      </w:r>
      <w:proofErr w:type="spellStart"/>
      <w:r w:rsidRPr="00981D30">
        <w:rPr>
          <w:rFonts w:cs="Times New Roman"/>
        </w:rPr>
        <w:t>Marteen</w:t>
      </w:r>
      <w:proofErr w:type="spellEnd"/>
      <w:r w:rsidRPr="00981D30">
        <w:rPr>
          <w:rFonts w:cs="Times New Roman"/>
        </w:rPr>
        <w:t xml:space="preserve"> Wensink</w:t>
      </w:r>
    </w:p>
    <w:p w14:paraId="7110EC7E" w14:textId="77777777" w:rsidR="00FB05AD" w:rsidRPr="00981D30" w:rsidRDefault="00FB05AD" w:rsidP="00FB05AD">
      <w:pPr>
        <w:rPr>
          <w:rFonts w:cs="Times New Roman"/>
        </w:rPr>
      </w:pPr>
    </w:p>
    <w:p w14:paraId="314D85ED" w14:textId="77777777" w:rsidR="00FB05AD" w:rsidRPr="00981D30" w:rsidRDefault="00FB05AD" w:rsidP="00FB05AD">
      <w:pPr>
        <w:rPr>
          <w:rFonts w:cs="Times New Roman"/>
        </w:rPr>
      </w:pPr>
      <w:r w:rsidRPr="00981D30">
        <w:rPr>
          <w:rFonts w:cs="Times New Roman"/>
          <w:b/>
        </w:rPr>
        <w:t xml:space="preserve">Classification: </w:t>
      </w:r>
      <w:r w:rsidRPr="00981D30">
        <w:rPr>
          <w:rFonts w:cs="Times New Roman"/>
        </w:rPr>
        <w:t>Social Sciences, Public Health – Demography</w:t>
      </w:r>
    </w:p>
    <w:p w14:paraId="06179B29" w14:textId="77777777" w:rsidR="00FB05AD" w:rsidRPr="00981D30" w:rsidRDefault="00FB05AD" w:rsidP="00FB05AD">
      <w:pPr>
        <w:rPr>
          <w:rFonts w:cs="Times New Roman"/>
          <w:b/>
        </w:rPr>
      </w:pPr>
    </w:p>
    <w:p w14:paraId="52A82100" w14:textId="77777777" w:rsidR="00FB05AD" w:rsidRPr="00981D30" w:rsidRDefault="00FB05AD" w:rsidP="00FB05AD">
      <w:pPr>
        <w:rPr>
          <w:rFonts w:cs="Times New Roman"/>
          <w:b/>
        </w:rPr>
      </w:pPr>
      <w:r w:rsidRPr="00981D30">
        <w:rPr>
          <w:rFonts w:cs="Times New Roman"/>
          <w:b/>
        </w:rPr>
        <w:t xml:space="preserve">Keywords: </w:t>
      </w:r>
      <w:r w:rsidRPr="00981D30">
        <w:rPr>
          <w:rFonts w:cs="Times New Roman"/>
        </w:rPr>
        <w:t>Demography, life expectancy, lifespan variability, aging, mortality.</w:t>
      </w:r>
    </w:p>
    <w:p w14:paraId="1706E42E" w14:textId="77777777" w:rsidR="00FB05AD" w:rsidRPr="00981D30" w:rsidRDefault="00FB05AD" w:rsidP="002812A4">
      <w:pPr>
        <w:jc w:val="center"/>
        <w:rPr>
          <w:rFonts w:ascii="Times New Roman" w:hAnsi="Times New Roman" w:cs="Times New Roman"/>
          <w:b/>
        </w:rPr>
      </w:pPr>
    </w:p>
    <w:p w14:paraId="7E6C70C1" w14:textId="77777777" w:rsidR="002812A4" w:rsidRPr="00981D30" w:rsidRDefault="002812A4" w:rsidP="002812A4">
      <w:pPr>
        <w:jc w:val="center"/>
        <w:rPr>
          <w:rFonts w:cs="Times New Roman"/>
          <w:b/>
        </w:rPr>
      </w:pPr>
      <w:r w:rsidRPr="00981D30">
        <w:rPr>
          <w:rFonts w:cs="Times New Roman"/>
          <w:b/>
        </w:rPr>
        <w:t>Abstract</w:t>
      </w:r>
      <w:r w:rsidR="00691510" w:rsidRPr="00981D30">
        <w:rPr>
          <w:rFonts w:cs="Times New Roman"/>
          <w:b/>
        </w:rPr>
        <w:t xml:space="preserve"> [250 words]</w:t>
      </w:r>
    </w:p>
    <w:p w14:paraId="212E9739" w14:textId="77777777" w:rsidR="00691510" w:rsidRPr="00981D30" w:rsidRDefault="00691510" w:rsidP="00691510">
      <w:pPr>
        <w:jc w:val="both"/>
        <w:rPr>
          <w:rFonts w:cs="Times New Roman"/>
          <w:b/>
        </w:rPr>
      </w:pPr>
      <w:r w:rsidRPr="00981D30">
        <w:rPr>
          <w:rFonts w:cs="Times New Roman"/>
          <w:b/>
        </w:rPr>
        <w:t>Background</w:t>
      </w:r>
    </w:p>
    <w:p w14:paraId="136C29F8" w14:textId="77777777" w:rsidR="00691510" w:rsidRPr="00981D30" w:rsidRDefault="00691510" w:rsidP="00691510">
      <w:pPr>
        <w:jc w:val="both"/>
        <w:rPr>
          <w:rFonts w:cs="Times New Roman"/>
          <w:b/>
        </w:rPr>
      </w:pPr>
      <w:r w:rsidRPr="00981D30">
        <w:rPr>
          <w:rFonts w:cs="Times New Roman"/>
          <w:b/>
        </w:rPr>
        <w:t>Methods</w:t>
      </w:r>
    </w:p>
    <w:p w14:paraId="3792D4C7" w14:textId="77777777" w:rsidR="00691510" w:rsidRPr="00981D30" w:rsidRDefault="00691510" w:rsidP="00691510">
      <w:pPr>
        <w:jc w:val="both"/>
        <w:rPr>
          <w:rFonts w:cs="Times New Roman"/>
          <w:b/>
        </w:rPr>
      </w:pPr>
      <w:r w:rsidRPr="00981D30">
        <w:rPr>
          <w:rFonts w:cs="Times New Roman"/>
          <w:b/>
        </w:rPr>
        <w:t>Results</w:t>
      </w:r>
    </w:p>
    <w:p w14:paraId="16F9AD4A" w14:textId="77777777" w:rsidR="00691510" w:rsidRPr="00981D30" w:rsidRDefault="00691510" w:rsidP="00691510">
      <w:pPr>
        <w:jc w:val="both"/>
        <w:rPr>
          <w:rFonts w:cs="Times New Roman"/>
          <w:b/>
        </w:rPr>
      </w:pPr>
      <w:r w:rsidRPr="00981D30">
        <w:rPr>
          <w:rFonts w:cs="Times New Roman"/>
          <w:b/>
        </w:rPr>
        <w:t>Conclusions</w:t>
      </w:r>
    </w:p>
    <w:p w14:paraId="03799EF1" w14:textId="77777777" w:rsidR="00385E11" w:rsidRPr="00981D30" w:rsidRDefault="00385E11" w:rsidP="007C17E2">
      <w:pPr>
        <w:rPr>
          <w:rFonts w:ascii="Times New Roman" w:hAnsi="Times New Roman" w:cs="Times New Roman"/>
          <w:b/>
        </w:rPr>
      </w:pPr>
    </w:p>
    <w:p w14:paraId="6BD339B9" w14:textId="77777777" w:rsidR="00FB05AD" w:rsidRPr="00981D30" w:rsidRDefault="00FB05AD" w:rsidP="007C17E2">
      <w:pPr>
        <w:rPr>
          <w:rFonts w:ascii="Times New Roman" w:hAnsi="Times New Roman" w:cs="Times New Roman"/>
          <w:b/>
        </w:rPr>
      </w:pPr>
    </w:p>
    <w:p w14:paraId="215A5490" w14:textId="77777777" w:rsidR="00FB05AD" w:rsidRPr="00981D30" w:rsidRDefault="00FB05AD" w:rsidP="007C17E2">
      <w:pPr>
        <w:rPr>
          <w:rFonts w:ascii="Times New Roman" w:hAnsi="Times New Roman" w:cs="Times New Roman"/>
          <w:b/>
        </w:rPr>
      </w:pPr>
    </w:p>
    <w:p w14:paraId="216AD096" w14:textId="77777777" w:rsidR="00FB05AD" w:rsidRPr="00981D30" w:rsidRDefault="00FB05AD" w:rsidP="007C17E2">
      <w:pPr>
        <w:rPr>
          <w:rFonts w:ascii="Times New Roman" w:hAnsi="Times New Roman" w:cs="Times New Roman"/>
          <w:b/>
        </w:rPr>
      </w:pPr>
    </w:p>
    <w:p w14:paraId="19D0CDC8" w14:textId="77777777" w:rsidR="00FB05AD" w:rsidRPr="00981D30" w:rsidRDefault="00FB05AD" w:rsidP="007C17E2">
      <w:pPr>
        <w:rPr>
          <w:rFonts w:ascii="Times New Roman" w:hAnsi="Times New Roman" w:cs="Times New Roman"/>
          <w:b/>
        </w:rPr>
      </w:pPr>
    </w:p>
    <w:p w14:paraId="7A732979" w14:textId="77777777" w:rsidR="00FB05AD" w:rsidRPr="00981D30" w:rsidRDefault="00FB05AD" w:rsidP="007C17E2">
      <w:pPr>
        <w:rPr>
          <w:rFonts w:ascii="Times New Roman" w:hAnsi="Times New Roman" w:cs="Times New Roman"/>
          <w:b/>
        </w:rPr>
      </w:pPr>
    </w:p>
    <w:p w14:paraId="2F0B1386" w14:textId="77777777" w:rsidR="00FB05AD" w:rsidRPr="00981D30" w:rsidRDefault="00FB05AD" w:rsidP="007C17E2">
      <w:pPr>
        <w:rPr>
          <w:rFonts w:ascii="Times New Roman" w:hAnsi="Times New Roman" w:cs="Times New Roman"/>
          <w:b/>
        </w:rPr>
      </w:pPr>
    </w:p>
    <w:p w14:paraId="56F8CC3A" w14:textId="77777777" w:rsidR="00FB05AD" w:rsidRPr="00981D30" w:rsidRDefault="00FB05AD" w:rsidP="007C17E2">
      <w:pPr>
        <w:rPr>
          <w:rFonts w:ascii="Times New Roman" w:hAnsi="Times New Roman" w:cs="Times New Roman"/>
          <w:b/>
        </w:rPr>
      </w:pPr>
    </w:p>
    <w:p w14:paraId="21BFB107" w14:textId="77777777" w:rsidR="00FB05AD" w:rsidRPr="00981D30" w:rsidRDefault="00FB05AD" w:rsidP="007C17E2">
      <w:pPr>
        <w:rPr>
          <w:rFonts w:ascii="Times New Roman" w:hAnsi="Times New Roman" w:cs="Times New Roman"/>
          <w:b/>
        </w:rPr>
      </w:pPr>
    </w:p>
    <w:p w14:paraId="51F718DB" w14:textId="77777777" w:rsidR="00FB05AD" w:rsidRPr="00981D30" w:rsidRDefault="00FB05AD" w:rsidP="007C17E2">
      <w:pPr>
        <w:rPr>
          <w:rFonts w:ascii="Times New Roman" w:hAnsi="Times New Roman" w:cs="Times New Roman"/>
          <w:b/>
        </w:rPr>
      </w:pPr>
    </w:p>
    <w:p w14:paraId="0F81760F" w14:textId="77777777" w:rsidR="00FB05AD" w:rsidRPr="00981D30" w:rsidRDefault="00FB05AD" w:rsidP="007C17E2">
      <w:pPr>
        <w:rPr>
          <w:rFonts w:ascii="Times New Roman" w:hAnsi="Times New Roman" w:cs="Times New Roman"/>
          <w:b/>
        </w:rPr>
      </w:pPr>
    </w:p>
    <w:p w14:paraId="749AD186" w14:textId="77777777" w:rsidR="00FB05AD" w:rsidRPr="00981D30" w:rsidRDefault="00FB05AD" w:rsidP="007C17E2">
      <w:pPr>
        <w:rPr>
          <w:rFonts w:ascii="Times New Roman" w:hAnsi="Times New Roman" w:cs="Times New Roman"/>
          <w:b/>
        </w:rPr>
      </w:pPr>
    </w:p>
    <w:p w14:paraId="7264E4BB" w14:textId="77777777" w:rsidR="00FB05AD" w:rsidRPr="00981D30" w:rsidRDefault="00FB05AD" w:rsidP="007C17E2">
      <w:pPr>
        <w:rPr>
          <w:rFonts w:ascii="Times New Roman" w:hAnsi="Times New Roman" w:cs="Times New Roman"/>
          <w:b/>
        </w:rPr>
      </w:pPr>
    </w:p>
    <w:p w14:paraId="23A7DF3C" w14:textId="77777777" w:rsidR="00FB05AD" w:rsidRPr="00981D30" w:rsidRDefault="00FB05AD" w:rsidP="007C17E2">
      <w:pPr>
        <w:rPr>
          <w:rFonts w:ascii="Times New Roman" w:hAnsi="Times New Roman" w:cs="Times New Roman"/>
          <w:b/>
        </w:rPr>
      </w:pPr>
    </w:p>
    <w:p w14:paraId="7A2BB9AA" w14:textId="77777777" w:rsidR="00FB05AD" w:rsidRPr="00981D30" w:rsidRDefault="00FB05AD" w:rsidP="007C17E2">
      <w:pPr>
        <w:rPr>
          <w:rFonts w:ascii="Times New Roman" w:hAnsi="Times New Roman" w:cs="Times New Roman"/>
          <w:b/>
        </w:rPr>
      </w:pPr>
    </w:p>
    <w:p w14:paraId="7A7EA9C9" w14:textId="77777777" w:rsidR="00FB05AD" w:rsidRPr="00981D30" w:rsidRDefault="00FB05AD" w:rsidP="007C17E2">
      <w:pPr>
        <w:rPr>
          <w:rFonts w:ascii="Times New Roman" w:hAnsi="Times New Roman" w:cs="Times New Roman"/>
          <w:b/>
        </w:rPr>
      </w:pPr>
    </w:p>
    <w:p w14:paraId="68448E1C" w14:textId="77777777" w:rsidR="00FB05AD" w:rsidRPr="00981D30" w:rsidRDefault="00FB05AD" w:rsidP="007C17E2">
      <w:pPr>
        <w:rPr>
          <w:rFonts w:ascii="Times New Roman" w:hAnsi="Times New Roman" w:cs="Times New Roman"/>
          <w:b/>
        </w:rPr>
      </w:pPr>
    </w:p>
    <w:p w14:paraId="290CBF62" w14:textId="77777777" w:rsidR="00FB05AD" w:rsidRPr="00981D30" w:rsidRDefault="00FB05AD" w:rsidP="007C17E2">
      <w:pPr>
        <w:rPr>
          <w:rFonts w:ascii="Times New Roman" w:hAnsi="Times New Roman" w:cs="Times New Roman"/>
          <w:b/>
        </w:rPr>
      </w:pPr>
    </w:p>
    <w:p w14:paraId="6916EC10" w14:textId="77777777" w:rsidR="00FB05AD" w:rsidRPr="00981D30" w:rsidRDefault="00FB05AD" w:rsidP="007C17E2">
      <w:pPr>
        <w:rPr>
          <w:rFonts w:ascii="Times New Roman" w:hAnsi="Times New Roman" w:cs="Times New Roman"/>
          <w:b/>
        </w:rPr>
      </w:pPr>
    </w:p>
    <w:p w14:paraId="2F6B1D5F" w14:textId="77777777" w:rsidR="00FB05AD" w:rsidRPr="00981D30" w:rsidRDefault="00FB05AD" w:rsidP="007C17E2">
      <w:pPr>
        <w:rPr>
          <w:rFonts w:ascii="Times New Roman" w:hAnsi="Times New Roman" w:cs="Times New Roman"/>
          <w:b/>
        </w:rPr>
      </w:pPr>
    </w:p>
    <w:p w14:paraId="3B528D25" w14:textId="77777777" w:rsidR="00FB05AD" w:rsidRPr="00981D30" w:rsidRDefault="00FB05AD" w:rsidP="007C17E2">
      <w:pPr>
        <w:rPr>
          <w:rFonts w:ascii="Times New Roman" w:hAnsi="Times New Roman" w:cs="Times New Roman"/>
          <w:b/>
        </w:rPr>
      </w:pPr>
    </w:p>
    <w:p w14:paraId="68FD90CB" w14:textId="77777777" w:rsidR="00FB05AD" w:rsidRPr="00981D30" w:rsidRDefault="00FB05AD" w:rsidP="007C17E2">
      <w:pPr>
        <w:rPr>
          <w:rFonts w:ascii="Times New Roman" w:hAnsi="Times New Roman" w:cs="Times New Roman"/>
          <w:b/>
        </w:rPr>
      </w:pPr>
    </w:p>
    <w:p w14:paraId="62A8991B" w14:textId="77777777" w:rsidR="00FB05AD" w:rsidRPr="00981D30" w:rsidRDefault="00FB05AD" w:rsidP="007C17E2">
      <w:pPr>
        <w:rPr>
          <w:rFonts w:ascii="Times New Roman" w:hAnsi="Times New Roman" w:cs="Times New Roman"/>
          <w:b/>
        </w:rPr>
      </w:pPr>
    </w:p>
    <w:p w14:paraId="79068715" w14:textId="77777777" w:rsidR="00FB05AD" w:rsidRPr="00981D30" w:rsidRDefault="00FB05AD" w:rsidP="007C17E2">
      <w:pPr>
        <w:rPr>
          <w:rFonts w:ascii="Times New Roman" w:hAnsi="Times New Roman" w:cs="Times New Roman"/>
          <w:b/>
        </w:rPr>
      </w:pPr>
    </w:p>
    <w:p w14:paraId="0A792E83" w14:textId="77777777" w:rsidR="00981D30" w:rsidRDefault="00981D30" w:rsidP="00E24D0D">
      <w:pPr>
        <w:spacing w:line="480" w:lineRule="auto"/>
        <w:jc w:val="both"/>
        <w:rPr>
          <w:rFonts w:cs="Times New Roman"/>
          <w:b/>
        </w:rPr>
      </w:pPr>
    </w:p>
    <w:p w14:paraId="65FA110F" w14:textId="77777777" w:rsidR="00981D30" w:rsidRDefault="00981D30" w:rsidP="00E24D0D">
      <w:pPr>
        <w:spacing w:line="480" w:lineRule="auto"/>
        <w:jc w:val="both"/>
        <w:rPr>
          <w:rFonts w:cs="Times New Roman"/>
          <w:b/>
        </w:rPr>
      </w:pPr>
    </w:p>
    <w:p w14:paraId="456D5280" w14:textId="77777777" w:rsidR="00BC0CC7" w:rsidRPr="00981D30" w:rsidRDefault="00B62339" w:rsidP="00E24D0D">
      <w:pPr>
        <w:spacing w:line="480" w:lineRule="auto"/>
        <w:jc w:val="both"/>
        <w:rPr>
          <w:rFonts w:cs="Times New Roman"/>
          <w:b/>
        </w:rPr>
      </w:pPr>
      <w:r w:rsidRPr="00981D30">
        <w:rPr>
          <w:rFonts w:cs="Times New Roman"/>
          <w:b/>
        </w:rPr>
        <w:lastRenderedPageBreak/>
        <w:t>Introduction</w:t>
      </w:r>
      <w:r w:rsidR="00BE288B" w:rsidRPr="00981D30">
        <w:rPr>
          <w:rFonts w:cs="Times New Roman"/>
          <w:b/>
        </w:rPr>
        <w:t xml:space="preserve"> [aimed to IJE]</w:t>
      </w:r>
      <w:r w:rsidR="00446E05" w:rsidRPr="00981D30">
        <w:rPr>
          <w:rFonts w:cs="Times New Roman"/>
          <w:b/>
        </w:rPr>
        <w:t xml:space="preserve"> [3000 words]</w:t>
      </w:r>
    </w:p>
    <w:p w14:paraId="0E02E17A" w14:textId="77777777" w:rsidR="00E76E8F" w:rsidRPr="00981D30" w:rsidRDefault="0073172D" w:rsidP="00E24D0D">
      <w:pPr>
        <w:spacing w:line="480" w:lineRule="auto"/>
        <w:ind w:firstLine="720"/>
        <w:jc w:val="both"/>
        <w:rPr>
          <w:rFonts w:cs="Times New Roman"/>
        </w:rPr>
      </w:pPr>
      <w:r w:rsidRPr="00981D30">
        <w:rPr>
          <w:rFonts w:cs="Times New Roman"/>
        </w:rPr>
        <w:t>Female l</w:t>
      </w:r>
      <w:r w:rsidR="00BC0CC7" w:rsidRPr="00981D30">
        <w:rPr>
          <w:rFonts w:cs="Times New Roman"/>
        </w:rPr>
        <w:t xml:space="preserve">ife expectancy in Denmark has followed atypical patterns since the second half of the 20th century. </w:t>
      </w:r>
      <w:r w:rsidRPr="00981D30">
        <w:rPr>
          <w:rFonts w:cs="Times New Roman"/>
        </w:rPr>
        <w:t xml:space="preserve">Periods of improvements followed by large periods of </w:t>
      </w:r>
      <w:r w:rsidR="00981D30" w:rsidRPr="00981D30">
        <w:rPr>
          <w:rFonts w:cs="Times New Roman"/>
        </w:rPr>
        <w:t xml:space="preserve">stagnation have been documented </w:t>
      </w:r>
      <w:r w:rsidR="00981D30" w:rsidRPr="00981D30">
        <w:rPr>
          <w:rFonts w:cs="Times New Roman"/>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981D30" w:rsidRPr="00981D30">
        <w:rPr>
          <w:rFonts w:cs="Times New Roman"/>
        </w:rPr>
        <w:instrText xml:space="preserve"> ADDIN EN.CITE </w:instrText>
      </w:r>
      <w:r w:rsidR="00981D30" w:rsidRPr="00981D30">
        <w:rPr>
          <w:rFonts w:cs="Times New Roman"/>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981D30" w:rsidRPr="00981D30">
        <w:rPr>
          <w:rFonts w:cs="Times New Roman"/>
        </w:rPr>
        <w:instrText xml:space="preserve"> ADDIN EN.CITE.DATA </w:instrText>
      </w:r>
      <w:r w:rsidR="00981D30" w:rsidRPr="00981D30">
        <w:rPr>
          <w:rFonts w:cs="Times New Roman"/>
        </w:rPr>
      </w:r>
      <w:r w:rsidR="00981D30" w:rsidRPr="00981D30">
        <w:rPr>
          <w:rFonts w:cs="Times New Roman"/>
        </w:rPr>
        <w:fldChar w:fldCharType="end"/>
      </w:r>
      <w:r w:rsidR="00981D30" w:rsidRPr="00981D30">
        <w:rPr>
          <w:rFonts w:cs="Times New Roman"/>
        </w:rPr>
      </w:r>
      <w:r w:rsidR="00981D30" w:rsidRPr="00981D30">
        <w:rPr>
          <w:rFonts w:cs="Times New Roman"/>
        </w:rPr>
        <w:fldChar w:fldCharType="separate"/>
      </w:r>
      <w:r w:rsidR="00981D30" w:rsidRPr="00981D30">
        <w:rPr>
          <w:rFonts w:cs="Times New Roman"/>
          <w:noProof/>
        </w:rPr>
        <w:t>(1-3)</w:t>
      </w:r>
      <w:r w:rsidR="00981D30" w:rsidRPr="00981D30">
        <w:rPr>
          <w:rFonts w:cs="Times New Roman"/>
        </w:rPr>
        <w:fldChar w:fldCharType="end"/>
      </w:r>
      <w:r w:rsidRPr="00981D30">
        <w:rPr>
          <w:rFonts w:cs="Times New Roman"/>
        </w:rPr>
        <w:t xml:space="preserve">. The stagnation of life expectancy and its low level, compared to Denmark’s Scandinavian counterparts, is a result of the increased female mortality </w:t>
      </w:r>
      <w:r w:rsidR="00E76E8F" w:rsidRPr="00981D30">
        <w:rPr>
          <w:rFonts w:cs="Times New Roman"/>
        </w:rPr>
        <w:t xml:space="preserve">of those </w:t>
      </w:r>
      <w:r w:rsidRPr="00981D30">
        <w:rPr>
          <w:rFonts w:cs="Times New Roman"/>
        </w:rPr>
        <w:t xml:space="preserve">born </w:t>
      </w:r>
      <w:r w:rsidR="00E76E8F" w:rsidRPr="00981D30">
        <w:rPr>
          <w:rFonts w:cs="Times New Roman"/>
        </w:rPr>
        <w:t xml:space="preserve">between the two World Wars </w:t>
      </w:r>
      <w:r w:rsidR="00E76E8F" w:rsidRPr="00981D30">
        <w:rPr>
          <w:rFonts w:cs="Times New Roman"/>
        </w:rPr>
        <w:fldChar w:fldCharType="begin"/>
      </w:r>
      <w:r w:rsidR="00981D30" w:rsidRPr="00981D30">
        <w:rPr>
          <w:rFonts w:cs="Times New Roman"/>
        </w:rPr>
        <w:instrText xml:space="preserve"> ADDIN EN.CITE &lt;EndNote&gt;&lt;Cite&gt;&lt;Author&gt;Lindahl-Jacobsen&lt;/Author&gt;&lt;Year&gt;2016&lt;/Year&gt;&lt;RecNum&gt;43&lt;/RecNum&gt;&lt;DisplayText&gt;(3)&lt;/DisplayText&gt;&lt;record&gt;&lt;rec-number&gt;43&lt;/rec-number&gt;&lt;foreign-keys&gt;&lt;key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76E8F" w:rsidRPr="00981D30">
        <w:rPr>
          <w:rFonts w:cs="Times New Roman"/>
        </w:rPr>
        <w:fldChar w:fldCharType="separate"/>
      </w:r>
      <w:r w:rsidR="00981D30" w:rsidRPr="00981D30">
        <w:rPr>
          <w:rFonts w:cs="Times New Roman"/>
          <w:noProof/>
        </w:rPr>
        <w:t>(3)</w:t>
      </w:r>
      <w:r w:rsidR="00E76E8F" w:rsidRPr="00981D30">
        <w:rPr>
          <w:rFonts w:cs="Times New Roman"/>
        </w:rPr>
        <w:fldChar w:fldCharType="end"/>
      </w:r>
      <w:r w:rsidR="00123052" w:rsidRPr="00981D30">
        <w:rPr>
          <w:rFonts w:cs="Times New Roman"/>
        </w:rPr>
        <w:t>. Such increase</w:t>
      </w:r>
      <w:r w:rsidR="00E76E8F" w:rsidRPr="00981D30">
        <w:rPr>
          <w:rFonts w:cs="Times New Roman"/>
        </w:rPr>
        <w:t xml:space="preserve"> in mortality has been linked to health behaviors. In part</w:t>
      </w:r>
      <w:r w:rsidR="00AB3979" w:rsidRPr="00981D30">
        <w:rPr>
          <w:rFonts w:cs="Times New Roman"/>
        </w:rPr>
        <w:t xml:space="preserve">icular, evidence suggests that smoking prevalence was higher in these particular cohorts </w:t>
      </w:r>
      <w:r w:rsidR="00AB3979" w:rsidRPr="00981D30">
        <w:rPr>
          <w:rFonts w:cs="Times New Roman"/>
        </w:rPr>
        <w:fldChar w:fldCharType="begin"/>
      </w:r>
      <w:r w:rsidR="00981D30" w:rsidRPr="00981D30">
        <w:rPr>
          <w:rFonts w:cs="Times New Roman"/>
        </w:rPr>
        <w:instrText xml:space="preserve"> ADDIN EN.CITE &lt;EndNote&gt;&lt;Cite&gt;&lt;Author&gt;Jacobsen&lt;/Author&gt;&lt;Year&gt;2004&lt;/Year&gt;&lt;RecNum&gt;110&lt;/RecNum&gt;&lt;DisplayText&gt;(1)&lt;/DisplayText&gt;&lt;record&gt;&lt;rec-number&gt;110&lt;/rec-number&gt;&lt;foreign-keys&gt;&lt;key app="EN" db-id="pdtewsetrssszaepssypw0pjxx5d29tdt2d9" timestamp="1499085583"&gt;110&lt;/key&gt;&lt;/foreign-keys&gt;&lt;ref-type name="Journal Article"&gt;17&lt;/ref-type&gt;&lt;contributors&gt;&lt;authors&gt;&lt;author&gt;Jacobsen, Rune&lt;/author&gt;&lt;author&gt;Von Euler, My&lt;/author&gt;&lt;author&gt;Osler, Merete&lt;/author&gt;&lt;author&gt;Lynge, Elsebeth&lt;/author&gt;&lt;author&gt;Keiding, Niels&lt;/author&gt;&lt;/authors&gt;&lt;/contributors&gt;&lt;titles&gt;&lt;title&gt;Women&amp;apos;s death in Scandinavia—what makes Denmark different?&lt;/title&gt;&lt;secondary-title&gt;European journal of epidemiology&lt;/secondary-title&gt;&lt;/titles&gt;&lt;periodical&gt;&lt;full-title&gt;European Journal of Epidemiology&lt;/full-title&gt;&lt;/periodical&gt;&lt;pages&gt;117-121&lt;/pages&gt;&lt;volume&gt;19&lt;/volume&gt;&lt;number&gt;2&lt;/number&gt;&lt;dates&gt;&lt;year&gt;2004&lt;/year&gt;&lt;/dates&gt;&lt;isbn&gt;0393-2990&lt;/isbn&gt;&lt;urls&gt;&lt;/urls&gt;&lt;/record&gt;&lt;/Cite&gt;&lt;/EndNote&gt;</w:instrText>
      </w:r>
      <w:r w:rsidR="00AB3979" w:rsidRPr="00981D30">
        <w:rPr>
          <w:rFonts w:cs="Times New Roman"/>
        </w:rPr>
        <w:fldChar w:fldCharType="separate"/>
      </w:r>
      <w:r w:rsidR="00981D30" w:rsidRPr="00981D30">
        <w:rPr>
          <w:rFonts w:cs="Times New Roman"/>
          <w:noProof/>
        </w:rPr>
        <w:t>(1)</w:t>
      </w:r>
      <w:r w:rsidR="00AB3979" w:rsidRPr="00981D30">
        <w:rPr>
          <w:rFonts w:cs="Times New Roman"/>
        </w:rPr>
        <w:fldChar w:fldCharType="end"/>
      </w:r>
      <w:r w:rsidR="00AB3979" w:rsidRPr="00981D30">
        <w:rPr>
          <w:rFonts w:cs="Times New Roman"/>
        </w:rPr>
        <w:t xml:space="preserve">, and it has been shown that the absolute effect of smoking on mortality caused the stagnation in adult life expectancy </w:t>
      </w:r>
      <w:r w:rsidR="00AB3979" w:rsidRPr="00981D30">
        <w:rPr>
          <w:rFonts w:cs="Times New Roman"/>
        </w:rPr>
        <w:fldChar w:fldCharType="begin"/>
      </w:r>
      <w:r w:rsidR="00981D30" w:rsidRPr="00981D30">
        <w:rPr>
          <w:rFonts w:cs="Times New Roman"/>
        </w:rPr>
        <w:instrText xml:space="preserve"> ADDIN EN.CITE &lt;EndNote&gt;&lt;Cite&gt;&lt;Author&gt;Lindahl-Jacobsen&lt;/Author&gt;&lt;Year&gt;2016&lt;/Year&gt;&lt;RecNum&gt;44&lt;/RecNum&gt;&lt;DisplayText&gt;(2)&lt;/DisplayText&gt;&lt;record&gt;&lt;rec-number&gt;44&lt;/rec-number&gt;&lt;foreign-keys&gt;&lt;key app="EN" db-id="pdtewsetrssszaepssypw0pjxx5d29tdt2d9" timestamp="1478167841"&gt;44&lt;/key&gt;&lt;/foreign-keys&gt;&lt;ref-type name="Journal Article"&gt;17&lt;/ref-type&gt;&lt;contributors&gt;&lt;authors&gt;&lt;author&gt;Lindahl-Jacobsen, Rune&lt;/author&gt;&lt;author&gt;Oeppen, Jim&lt;/author&gt;&lt;author&gt;Rizzi, Silvia&lt;/author&gt;&lt;author&gt;Möller, Sören&lt;/author&gt;&lt;author&gt;Zarulli, Virginia&lt;/author&gt;&lt;author&gt;Christensen, Kaare&lt;/author&gt;&lt;author&gt;Vaupel, James W&lt;/author&gt;&lt;/authors&gt;&lt;/contributors&gt;&lt;titles&gt;&lt;title&gt;Why did Danish women’s life expectancy stagnate? The influence of interwar generations’ smoking behaviour&lt;/title&gt;&lt;secondary-title&gt;European Journal of Epidemiology&lt;/secondary-title&gt;&lt;/titles&gt;&lt;periodical&gt;&lt;full-title&gt;European Journal of Epidemiology&lt;/full-title&gt;&lt;/periodical&gt;&lt;pages&gt;1-5&lt;/pages&gt;&lt;dates&gt;&lt;year&gt;2016&lt;/year&gt;&lt;/dates&gt;&lt;publisher&gt;Springer&lt;/publisher&gt;&lt;label&gt;lindahl2016did&lt;/label&gt;&lt;urls&gt;&lt;/urls&gt;&lt;/record&gt;&lt;/Cite&gt;&lt;/EndNote&gt;</w:instrText>
      </w:r>
      <w:r w:rsidR="00AB3979" w:rsidRPr="00981D30">
        <w:rPr>
          <w:rFonts w:cs="Times New Roman"/>
        </w:rPr>
        <w:fldChar w:fldCharType="separate"/>
      </w:r>
      <w:r w:rsidR="00981D30" w:rsidRPr="00981D30">
        <w:rPr>
          <w:rFonts w:cs="Times New Roman"/>
          <w:noProof/>
        </w:rPr>
        <w:t>(2)</w:t>
      </w:r>
      <w:r w:rsidR="00AB3979" w:rsidRPr="00981D30">
        <w:rPr>
          <w:rFonts w:cs="Times New Roman"/>
        </w:rPr>
        <w:fldChar w:fldCharType="end"/>
      </w:r>
      <w:r w:rsidR="00AB3979" w:rsidRPr="00981D30">
        <w:rPr>
          <w:rFonts w:cs="Times New Roman"/>
        </w:rPr>
        <w:t xml:space="preserve">. </w:t>
      </w:r>
    </w:p>
    <w:p w14:paraId="1F90CB28" w14:textId="77777777" w:rsidR="009939A4" w:rsidRPr="00981D30" w:rsidRDefault="00AB3979" w:rsidP="009939A4">
      <w:pPr>
        <w:spacing w:line="480" w:lineRule="auto"/>
        <w:ind w:firstLine="720"/>
        <w:jc w:val="both"/>
        <w:rPr>
          <w:rFonts w:cs="Times New Roman"/>
        </w:rPr>
      </w:pPr>
      <w:r w:rsidRPr="00981D30">
        <w:rPr>
          <w:rFonts w:cs="Times New Roman"/>
        </w:rPr>
        <w:t>Although life expectancy is commonly used as a measure of the health status in a</w:t>
      </w:r>
      <w:r w:rsidR="008F769B" w:rsidRPr="00981D30">
        <w:rPr>
          <w:rFonts w:cs="Times New Roman"/>
        </w:rPr>
        <w:t xml:space="preserve"> population, it </w:t>
      </w:r>
      <w:r w:rsidR="00182E0F" w:rsidRPr="00981D30">
        <w:rPr>
          <w:rFonts w:cs="Times New Roman"/>
        </w:rPr>
        <w:t xml:space="preserve">is </w:t>
      </w:r>
      <w:r w:rsidR="009939A4" w:rsidRPr="00981D30">
        <w:rPr>
          <w:rFonts w:cs="Times New Roman"/>
        </w:rPr>
        <w:t>equivalently</w:t>
      </w:r>
      <w:r w:rsidR="00182E0F" w:rsidRPr="00981D30">
        <w:rPr>
          <w:rFonts w:cs="Times New Roman"/>
        </w:rPr>
        <w:t xml:space="preserve"> significant to </w:t>
      </w:r>
      <w:r w:rsidR="00D625B4" w:rsidRPr="00981D30">
        <w:rPr>
          <w:rFonts w:cs="Times New Roman"/>
        </w:rPr>
        <w:t xml:space="preserve">analyze inequality in lifespans. </w:t>
      </w:r>
      <w:r w:rsidR="008F769B" w:rsidRPr="00981D30">
        <w:rPr>
          <w:rFonts w:cs="Times New Roman"/>
        </w:rPr>
        <w:t xml:space="preserve">Lifespan inequality is a dimension </w:t>
      </w:r>
      <w:r w:rsidR="00375BF4" w:rsidRPr="00981D30">
        <w:rPr>
          <w:rFonts w:cs="Times New Roman"/>
        </w:rPr>
        <w:t>of health that refers to the ultimate difference</w:t>
      </w:r>
      <w:r w:rsidR="008F769B" w:rsidRPr="00981D30">
        <w:rPr>
          <w:rFonts w:cs="Times New Roman"/>
        </w:rPr>
        <w:t xml:space="preserve"> between individuals in a population</w:t>
      </w:r>
      <w:r w:rsidR="00375BF4" w:rsidRPr="00981D30">
        <w:rPr>
          <w:rFonts w:cs="Times New Roman"/>
        </w:rPr>
        <w:t>: the age at death</w:t>
      </w:r>
      <w:r w:rsidR="002F491B" w:rsidRPr="00981D30">
        <w:rPr>
          <w:rFonts w:cs="Times New Roman"/>
        </w:rPr>
        <w:t xml:space="preserve"> </w:t>
      </w:r>
      <w:r w:rsidR="002F491B" w:rsidRPr="00981D30">
        <w:rPr>
          <w:rFonts w:cs="Times New Roman"/>
        </w:rPr>
        <w:fldChar w:fldCharType="begin"/>
      </w:r>
      <w:r w:rsidR="002F491B" w:rsidRPr="00981D30">
        <w:rPr>
          <w:rFonts w:cs="Times New Roman"/>
        </w:rPr>
        <w:instrText xml:space="preserve"> ADDIN EN.CITE &lt;EndNote&gt;&lt;Cite&gt;&lt;Author&gt;Tuljapurkar&lt;/Author&gt;&lt;Year&gt;2011&lt;/Year&gt;&lt;RecNum&gt;111&lt;/RecNum&gt;&lt;DisplayText&gt;(4)&lt;/DisplayText&gt;&lt;record&gt;&lt;rec-number&gt;111&lt;/rec-number&gt;&lt;foreign-keys&gt;&lt;key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2F491B" w:rsidRPr="00981D30">
        <w:rPr>
          <w:rFonts w:cs="Times New Roman"/>
        </w:rPr>
        <w:fldChar w:fldCharType="separate"/>
      </w:r>
      <w:r w:rsidR="002F491B" w:rsidRPr="00981D30">
        <w:rPr>
          <w:rFonts w:cs="Times New Roman"/>
        </w:rPr>
        <w:t>(4)</w:t>
      </w:r>
      <w:r w:rsidR="002F491B" w:rsidRPr="00981D30">
        <w:rPr>
          <w:rFonts w:cs="Times New Roman"/>
        </w:rPr>
        <w:fldChar w:fldCharType="end"/>
      </w:r>
      <w:r w:rsidR="008F769B" w:rsidRPr="00981D30">
        <w:rPr>
          <w:rFonts w:cs="Times New Roman"/>
        </w:rPr>
        <w:t>.</w:t>
      </w:r>
      <w:r w:rsidR="009939A4" w:rsidRPr="00981D30">
        <w:rPr>
          <w:rFonts w:cs="Times New Roman"/>
        </w:rPr>
        <w:t xml:space="preserve"> It expresses the uncertainty surrounding lifetimes and has been negatively associated with life expectancy in several developed countries and regions </w:t>
      </w:r>
      <w:r w:rsidR="009939A4" w:rsidRPr="00981D30">
        <w:rPr>
          <w:rFonts w:cs="Times New Roman"/>
        </w:rPr>
        <w:fldChar w:fldCharType="begin"/>
      </w:r>
      <w:r w:rsidR="009939A4" w:rsidRPr="00981D30">
        <w:rPr>
          <w:rFonts w:cs="Times New Roman"/>
        </w:rPr>
        <w:instrText xml:space="preserve"> ADDIN EN.CITE &lt;EndNote&gt;&lt;Cite&gt;&lt;Author&gt;Smits&lt;/Author&gt;&lt;Year&gt;2009&lt;/Year&gt;&lt;RecNum&gt;6&lt;/RecNum&gt;&lt;DisplayText&gt;(5, 6)&lt;/DisplayText&gt;&lt;record&gt;&lt;rec-number&gt;6&lt;/rec-number&gt;&lt;foreign-keys&gt;&lt;key app="EN" db-id="pdtewsetrssszaepssypw0pjxx5d29tdt2d9" timestamp="1478167841"&gt;6&lt;/key&gt;&lt;/foreign-keys&gt;&lt;ref-type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Medicine&lt;/secondary-title&gt;&lt;/titles&gt;&lt;periodical&gt;&lt;full-title&gt;Social Science &amp;amp; Medicine&lt;/full-title&gt;&lt;/periodical&gt;&lt;pages&gt;1114-1123&lt;/pages&gt;&lt;volume&gt;68&lt;/volume&gt;&lt;number&gt;6&lt;/number&gt;&lt;dates&gt;&lt;year&gt;2009&lt;/year&gt;&lt;/dates&gt;&lt;publisher&gt;Elsevier&lt;/publisher&gt;&lt;label&gt;smits2009length&lt;/label&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9939A4" w:rsidRPr="00981D30">
        <w:rPr>
          <w:rFonts w:cs="Times New Roman"/>
        </w:rPr>
        <w:fldChar w:fldCharType="separate"/>
      </w:r>
      <w:r w:rsidR="009939A4" w:rsidRPr="00981D30">
        <w:rPr>
          <w:rFonts w:cs="Times New Roman"/>
          <w:noProof/>
        </w:rPr>
        <w:t>(5, 6)</w:t>
      </w:r>
      <w:r w:rsidR="009939A4" w:rsidRPr="00981D30">
        <w:rPr>
          <w:rFonts w:cs="Times New Roman"/>
        </w:rPr>
        <w:fldChar w:fldCharType="end"/>
      </w:r>
      <w:r w:rsidR="009939A4" w:rsidRPr="00981D30">
        <w:rPr>
          <w:rFonts w:cs="Times New Roman"/>
        </w:rPr>
        <w:t xml:space="preserve">. </w:t>
      </w:r>
    </w:p>
    <w:p w14:paraId="5A172E8A" w14:textId="77777777" w:rsidR="003C22DE" w:rsidRDefault="009939A4" w:rsidP="003C22DE">
      <w:pPr>
        <w:spacing w:line="480" w:lineRule="auto"/>
        <w:ind w:firstLine="720"/>
        <w:jc w:val="both"/>
        <w:rPr>
          <w:rFonts w:cs="Times New Roman"/>
        </w:rPr>
      </w:pPr>
      <w:r w:rsidRPr="00981D30">
        <w:rPr>
          <w:rFonts w:cs="Times New Roman"/>
        </w:rPr>
        <w:t xml:space="preserve">Since lifespan inequality </w:t>
      </w:r>
      <w:r w:rsidR="008F769B" w:rsidRPr="00981D30">
        <w:rPr>
          <w:rFonts w:cs="Times New Roman"/>
        </w:rPr>
        <w:t>addresses the growing interest in health inequalities and its linkage with health</w:t>
      </w:r>
      <w:r w:rsidR="00375BF4" w:rsidRPr="00981D30">
        <w:rPr>
          <w:rFonts w:cs="Times New Roman"/>
        </w:rPr>
        <w:t xml:space="preserve"> and social</w:t>
      </w:r>
      <w:r w:rsidR="008F769B" w:rsidRPr="00981D30">
        <w:rPr>
          <w:rFonts w:cs="Times New Roman"/>
        </w:rPr>
        <w:t xml:space="preserve"> behaviors </w:t>
      </w:r>
      <w:r w:rsidR="007452CB" w:rsidRPr="00981D30">
        <w:rPr>
          <w:rFonts w:cs="Times New Roman"/>
        </w:rPr>
        <w:fldChar w:fldCharType="begin"/>
      </w:r>
      <w:r w:rsidRPr="00981D30">
        <w:rPr>
          <w:rFonts w:cs="Times New Roman"/>
        </w:rPr>
        <w:instrText xml:space="preserve"> ADDIN EN.CITE &lt;EndNote&gt;&lt;Cite&gt;&lt;Author&gt;Marmot&lt;/Author&gt;&lt;Year&gt;2001&lt;/Year&gt;&lt;RecNum&gt;69&lt;/RecNum&gt;&lt;DisplayText&gt;(7)&lt;/DisplayText&gt;&lt;record&gt;&lt;rec-number&gt;69&lt;/rec-number&gt;&lt;foreign-keys&gt;&lt;key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EndNote&gt;</w:instrText>
      </w:r>
      <w:r w:rsidR="007452CB" w:rsidRPr="00981D30">
        <w:rPr>
          <w:rFonts w:cs="Times New Roman"/>
        </w:rPr>
        <w:fldChar w:fldCharType="separate"/>
      </w:r>
      <w:r w:rsidRPr="00981D30">
        <w:rPr>
          <w:rFonts w:cs="Times New Roman"/>
          <w:noProof/>
        </w:rPr>
        <w:t>(7)</w:t>
      </w:r>
      <w:r w:rsidR="007452CB" w:rsidRPr="00981D30">
        <w:rPr>
          <w:rFonts w:cs="Times New Roman"/>
        </w:rPr>
        <w:fldChar w:fldCharType="end"/>
      </w:r>
      <w:r w:rsidRPr="00981D30">
        <w:rPr>
          <w:rFonts w:cs="Times New Roman"/>
        </w:rPr>
        <w:t>, it is imperative to analyze if the stagnation of Danish female life expectancy in the second half of the 20</w:t>
      </w:r>
      <w:r w:rsidRPr="00981D30">
        <w:rPr>
          <w:rFonts w:cs="Times New Roman"/>
          <w:vertAlign w:val="superscript"/>
        </w:rPr>
        <w:t>th</w:t>
      </w:r>
      <w:r w:rsidRPr="00981D30">
        <w:rPr>
          <w:rFonts w:cs="Times New Roman"/>
        </w:rPr>
        <w:t xml:space="preserve"> century, and the most recent improvements in mortality, were accompanied by presumed higher levels of lifespan inequality during the period of stagnation, and improvements thereafter. </w:t>
      </w:r>
      <w:r w:rsidR="006C2776" w:rsidRPr="00981D30">
        <w:rPr>
          <w:rFonts w:cs="Times New Roman"/>
        </w:rPr>
        <w:t xml:space="preserve">In this </w:t>
      </w:r>
      <w:r w:rsidR="00981D30" w:rsidRPr="00981D30">
        <w:rPr>
          <w:rFonts w:cs="Times New Roman"/>
        </w:rPr>
        <w:t>article</w:t>
      </w:r>
      <w:r w:rsidR="006C2776" w:rsidRPr="00981D30">
        <w:rPr>
          <w:rFonts w:cs="Times New Roman"/>
        </w:rPr>
        <w:t>, we</w:t>
      </w:r>
      <w:r w:rsidR="002F491B" w:rsidRPr="00981D30">
        <w:rPr>
          <w:rFonts w:cs="Times New Roman"/>
        </w:rPr>
        <w:t xml:space="preserve"> analyze trends in lifespan inequality above age </w:t>
      </w:r>
      <w:commentRangeStart w:id="0"/>
      <w:r w:rsidR="00F35192">
        <w:rPr>
          <w:rFonts w:cs="Times New Roman"/>
        </w:rPr>
        <w:t>(</w:t>
      </w:r>
      <w:r w:rsidR="002F491B" w:rsidRPr="00981D30">
        <w:rPr>
          <w:rFonts w:cs="Times New Roman"/>
        </w:rPr>
        <w:t>15</w:t>
      </w:r>
      <w:r w:rsidR="00F35192">
        <w:rPr>
          <w:rFonts w:cs="Times New Roman"/>
        </w:rPr>
        <w:t>,30,50)</w:t>
      </w:r>
      <w:r w:rsidR="00B66DBA" w:rsidRPr="00981D30">
        <w:rPr>
          <w:rFonts w:cs="Times New Roman"/>
        </w:rPr>
        <w:t>?</w:t>
      </w:r>
      <w:commentRangeEnd w:id="0"/>
      <w:r w:rsidR="00F35192">
        <w:rPr>
          <w:rStyle w:val="CommentReference"/>
        </w:rPr>
        <w:commentReference w:id="0"/>
      </w:r>
      <w:r w:rsidR="002F491B" w:rsidRPr="00981D30">
        <w:rPr>
          <w:rFonts w:cs="Times New Roman"/>
        </w:rPr>
        <w:t xml:space="preserve"> since the 1960’s. We disentangle the effect of specific causes of death on </w:t>
      </w:r>
      <w:r w:rsidR="00981D30" w:rsidRPr="00981D30">
        <w:rPr>
          <w:rFonts w:cs="Times New Roman"/>
        </w:rPr>
        <w:t>the unpredictability of life</w:t>
      </w:r>
      <w:r w:rsidR="002F491B" w:rsidRPr="00981D30">
        <w:rPr>
          <w:rFonts w:cs="Times New Roman"/>
        </w:rPr>
        <w:t xml:space="preserve">, before, during and after the stagnation of female life expectancy in Denmark using decomposition and demographic techniques. We </w:t>
      </w:r>
      <w:r w:rsidR="00F4012A" w:rsidRPr="00981D30">
        <w:rPr>
          <w:rFonts w:cs="Times New Roman"/>
        </w:rPr>
        <w:t xml:space="preserve">hypothesize that although life expectancy stagnated between the mid-1970’s and the mid-1990’s, lifespan inequality could have increased throughout this period. We pose such hypothesis because higher prevalence of smoking </w:t>
      </w:r>
      <w:r w:rsidR="00B66DBA" w:rsidRPr="00981D30">
        <w:rPr>
          <w:rFonts w:cs="Times New Roman"/>
        </w:rPr>
        <w:t xml:space="preserve">is associated with increased overall adult mortality, which would cause higher lifespan </w:t>
      </w:r>
      <w:r w:rsidR="009E6E4E" w:rsidRPr="00981D30">
        <w:rPr>
          <w:rFonts w:cs="Times New Roman"/>
        </w:rPr>
        <w:t>inequality</w:t>
      </w:r>
      <w:r w:rsidR="009E6E4E">
        <w:rPr>
          <w:rFonts w:cs="Times New Roman"/>
        </w:rPr>
        <w:t>.</w:t>
      </w:r>
      <w:r w:rsidR="00B66DBA" w:rsidRPr="00981D30">
        <w:rPr>
          <w:rFonts w:cs="Times New Roman"/>
        </w:rPr>
        <w:t xml:space="preserve"> </w:t>
      </w:r>
    </w:p>
    <w:p w14:paraId="2B795EEF" w14:textId="77777777" w:rsidR="003C22DE" w:rsidRPr="003C22DE" w:rsidRDefault="00981D30" w:rsidP="003C22DE">
      <w:pPr>
        <w:pStyle w:val="Subtitle"/>
        <w:spacing w:line="480" w:lineRule="auto"/>
        <w:rPr>
          <w:rFonts w:asciiTheme="minorHAnsi" w:eastAsiaTheme="minorHAnsi" w:hAnsiTheme="minorHAnsi" w:cstheme="minorBidi"/>
          <w:b/>
          <w:i w:val="0"/>
          <w:iCs w:val="0"/>
          <w:color w:val="auto"/>
          <w:spacing w:val="0"/>
          <w:sz w:val="22"/>
          <w:szCs w:val="22"/>
        </w:rPr>
      </w:pPr>
      <w:r w:rsidRPr="003C22DE">
        <w:rPr>
          <w:rFonts w:asciiTheme="minorHAnsi" w:eastAsiaTheme="minorHAnsi" w:hAnsiTheme="minorHAnsi" w:cstheme="minorBidi"/>
          <w:b/>
          <w:i w:val="0"/>
          <w:iCs w:val="0"/>
          <w:color w:val="auto"/>
          <w:spacing w:val="0"/>
          <w:sz w:val="22"/>
          <w:szCs w:val="22"/>
        </w:rPr>
        <w:lastRenderedPageBreak/>
        <w:t>D</w:t>
      </w:r>
      <w:r w:rsidR="002F3ACA" w:rsidRPr="003C22DE">
        <w:rPr>
          <w:rFonts w:asciiTheme="minorHAnsi" w:eastAsiaTheme="minorHAnsi" w:hAnsiTheme="minorHAnsi" w:cstheme="minorBidi"/>
          <w:b/>
          <w:i w:val="0"/>
          <w:iCs w:val="0"/>
          <w:color w:val="auto"/>
          <w:spacing w:val="0"/>
          <w:sz w:val="22"/>
          <w:szCs w:val="22"/>
        </w:rPr>
        <w:t>ata and Methods</w:t>
      </w:r>
    </w:p>
    <w:p w14:paraId="1475ED8F" w14:textId="103D7DAD" w:rsidR="003C22DE" w:rsidRDefault="00981D30" w:rsidP="003C22DE">
      <w:pPr>
        <w:autoSpaceDE w:val="0"/>
        <w:autoSpaceDN w:val="0"/>
        <w:adjustRightInd w:val="0"/>
        <w:spacing w:after="100" w:afterAutospacing="1" w:line="480" w:lineRule="auto"/>
        <w:jc w:val="both"/>
        <w:rPr>
          <w:rFonts w:cs="Times New Roman"/>
          <w:b/>
        </w:rPr>
      </w:pPr>
      <w:r>
        <w:rPr>
          <w:rFonts w:cs="Times New Roman"/>
        </w:rPr>
        <w:t>We use publicly available period lifetables from the Human Mortality Database</w:t>
      </w:r>
      <w:r w:rsidR="00F93781">
        <w:rPr>
          <w:rFonts w:cs="Times New Roman"/>
        </w:rPr>
        <w:t xml:space="preserve"> </w:t>
      </w:r>
      <w:r w:rsidR="00F35192">
        <w:rPr>
          <w:rFonts w:cs="Times New Roman"/>
        </w:rPr>
        <w:fldChar w:fldCharType="begin"/>
      </w:r>
      <w:r w:rsidR="00F35192">
        <w:rPr>
          <w:rFonts w:cs="Times New Roman"/>
        </w:rPr>
        <w:instrText xml:space="preserve"> ADDIN EN.CITE &lt;EndNote&gt;&lt;Cite&gt;&lt;Author&gt;Human Mortality Database. University of California&lt;/Author&gt;&lt;Year&gt;2017&lt;/Year&gt;&lt;RecNum&gt;13&lt;/RecNum&gt;&lt;DisplayText&gt;(8)&lt;/DisplayText&gt;&lt;record&gt;&lt;rec-number&gt;13&lt;/rec-number&gt;&lt;foreign-keys&gt;&lt;key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Pr>
          <w:rFonts w:cs="Times New Roman"/>
        </w:rPr>
        <w:fldChar w:fldCharType="separate"/>
      </w:r>
      <w:r w:rsidR="00F35192">
        <w:rPr>
          <w:rFonts w:cs="Times New Roman"/>
          <w:noProof/>
        </w:rPr>
        <w:t>(8)</w:t>
      </w:r>
      <w:r w:rsidR="00F35192">
        <w:rPr>
          <w:rFonts w:cs="Times New Roman"/>
        </w:rPr>
        <w:fldChar w:fldCharType="end"/>
      </w:r>
      <w:r>
        <w:rPr>
          <w:rFonts w:cs="Times New Roman"/>
        </w:rPr>
        <w:t xml:space="preserve"> for Denmark since 1960. These data contain </w:t>
      </w:r>
      <w:r w:rsidR="009E6E4E">
        <w:rPr>
          <w:rFonts w:cs="Times New Roman"/>
        </w:rPr>
        <w:t xml:space="preserve">high quality </w:t>
      </w:r>
      <w:r>
        <w:rPr>
          <w:rFonts w:cs="Times New Roman"/>
        </w:rPr>
        <w:t xml:space="preserve">information </w:t>
      </w:r>
      <w:r w:rsidR="00F35192">
        <w:rPr>
          <w:rFonts w:cs="Times New Roman"/>
        </w:rPr>
        <w:t>on</w:t>
      </w:r>
      <w:r>
        <w:rPr>
          <w:rFonts w:cs="Times New Roman"/>
        </w:rPr>
        <w:t xml:space="preserve"> lifetable’s measures, such as</w:t>
      </w:r>
      <w:r w:rsidR="00B054F4">
        <w:rPr>
          <w:rFonts w:cs="Times New Roman"/>
        </w:rPr>
        <w:t xml:space="preserve"> the</w:t>
      </w:r>
      <w:bookmarkStart w:id="1" w:name="_GoBack"/>
      <w:bookmarkEnd w:id="1"/>
      <w:r>
        <w:rPr>
          <w:rFonts w:cs="Times New Roman"/>
        </w:rPr>
        <w:t xml:space="preserve"> death distribution, survival function and life expectancy, by single age and sex. </w:t>
      </w:r>
      <w:r w:rsidR="00893CC8">
        <w:rPr>
          <w:rFonts w:cs="Times New Roman"/>
        </w:rPr>
        <w:t xml:space="preserve">Cause-of-death data come from the World Health Organization Mortality Database </w:t>
      </w:r>
      <w:r w:rsidR="00893CC8">
        <w:rPr>
          <w:rFonts w:cs="Times New Roman"/>
        </w:rPr>
        <w:fldChar w:fldCharType="begin"/>
      </w:r>
      <w:r w:rsidR="009E6E4E">
        <w:rPr>
          <w:rFonts w:cs="Times New Roman"/>
        </w:rPr>
        <w:instrText xml:space="preserve"> ADDIN EN.CITE &lt;EndNote&gt;&lt;Cite&gt;&lt;Author&gt;Organization&lt;/Author&gt;&lt;Year&gt;2017&lt;/Year&gt;&lt;RecNum&gt;112&lt;/RecNum&gt;&lt;DisplayText&gt;(9)&lt;/DisplayText&gt;&lt;record&gt;&lt;rec-number&gt;112&lt;/rec-number&gt;&lt;foreign-keys&gt;&lt;key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893CC8">
        <w:rPr>
          <w:rFonts w:cs="Times New Roman"/>
        </w:rPr>
        <w:fldChar w:fldCharType="separate"/>
      </w:r>
      <w:r w:rsidR="00893CC8">
        <w:rPr>
          <w:rFonts w:cs="Times New Roman"/>
          <w:noProof/>
        </w:rPr>
        <w:t>(9)</w:t>
      </w:r>
      <w:r w:rsidR="00893CC8">
        <w:rPr>
          <w:rFonts w:cs="Times New Roman"/>
        </w:rPr>
        <w:fldChar w:fldCharType="end"/>
      </w:r>
      <w:r w:rsidR="004071CC">
        <w:rPr>
          <w:rFonts w:cs="Times New Roman"/>
        </w:rPr>
        <w:t>.</w:t>
      </w:r>
      <w:r w:rsidR="009E6E4E">
        <w:rPr>
          <w:rFonts w:cs="Times New Roman"/>
        </w:rPr>
        <w:t xml:space="preserve"> [a short description of these data and ICD codes</w:t>
      </w:r>
      <w:proofErr w:type="gramStart"/>
      <w:r w:rsidR="009E6E4E">
        <w:rPr>
          <w:rFonts w:cs="Times New Roman"/>
        </w:rPr>
        <w:t>]</w:t>
      </w:r>
      <w:r w:rsidR="004071CC">
        <w:rPr>
          <w:rFonts w:cs="Times New Roman"/>
        </w:rPr>
        <w:t xml:space="preserve"> </w:t>
      </w:r>
      <w:r w:rsidR="003C22DE">
        <w:rPr>
          <w:rFonts w:cs="Times New Roman"/>
        </w:rPr>
        <w:t>.</w:t>
      </w:r>
      <w:proofErr w:type="gramEnd"/>
    </w:p>
    <w:p w14:paraId="02D4120F" w14:textId="77777777" w:rsidR="003C22DE" w:rsidRDefault="005E392D" w:rsidP="003C22DE">
      <w:pPr>
        <w:autoSpaceDE w:val="0"/>
        <w:autoSpaceDN w:val="0"/>
        <w:adjustRightInd w:val="0"/>
        <w:spacing w:after="100" w:afterAutospacing="1" w:line="480" w:lineRule="auto"/>
        <w:jc w:val="both"/>
        <w:rPr>
          <w:rFonts w:cs="Times New Roman"/>
          <w:b/>
        </w:rPr>
      </w:pPr>
      <w:commentRangeStart w:id="2"/>
      <w:r w:rsidRPr="003C22DE">
        <w:rPr>
          <w:b/>
          <w:i/>
        </w:rPr>
        <w:t>Cause-of-death classification</w:t>
      </w:r>
      <w:commentRangeEnd w:id="2"/>
      <w:r w:rsidR="009E6E4E" w:rsidRPr="003C22DE">
        <w:rPr>
          <w:rStyle w:val="CommentReference"/>
          <w:b/>
          <w:i/>
          <w:iCs/>
        </w:rPr>
        <w:commentReference w:id="2"/>
      </w:r>
    </w:p>
    <w:p w14:paraId="3710AAFF" w14:textId="298D6F34" w:rsidR="003C22DE" w:rsidRPr="003C22DE" w:rsidRDefault="005E392D" w:rsidP="003C22DE">
      <w:pPr>
        <w:autoSpaceDE w:val="0"/>
        <w:autoSpaceDN w:val="0"/>
        <w:adjustRightInd w:val="0"/>
        <w:spacing w:after="100" w:afterAutospacing="1" w:line="480" w:lineRule="auto"/>
        <w:jc w:val="both"/>
        <w:rPr>
          <w:rFonts w:cs="Times New Roman"/>
          <w:b/>
        </w:rPr>
      </w:pPr>
      <w:r w:rsidRPr="00981D30">
        <w:rPr>
          <w:rFonts w:cs="Times New Roman"/>
        </w:rPr>
        <w:t xml:space="preserve">Originally, data on deaths were classified according to the International Classification of Diseases (ICD), revision 9 for years </w:t>
      </w:r>
      <w:r w:rsidR="00F63D5B">
        <w:rPr>
          <w:rFonts w:cs="Times New Roman"/>
        </w:rPr>
        <w:t>x and revision 10 for y</w:t>
      </w:r>
      <w:r w:rsidRPr="00981D30">
        <w:rPr>
          <w:rFonts w:cs="Times New Roman"/>
        </w:rPr>
        <w:t xml:space="preserve">. </w:t>
      </w:r>
      <w:r w:rsidR="00CC658F">
        <w:rPr>
          <w:rFonts w:cs="Times New Roman"/>
        </w:rPr>
        <w:t>We classify deaths as…</w:t>
      </w:r>
    </w:p>
    <w:p w14:paraId="73752D37" w14:textId="4BC09B3F" w:rsidR="003C22DE" w:rsidRPr="003C22DE" w:rsidRDefault="0047614E" w:rsidP="003C22DE">
      <w:pPr>
        <w:autoSpaceDE w:val="0"/>
        <w:autoSpaceDN w:val="0"/>
        <w:adjustRightInd w:val="0"/>
        <w:spacing w:after="100" w:afterAutospacing="1" w:line="480" w:lineRule="auto"/>
        <w:jc w:val="both"/>
        <w:rPr>
          <w:rFonts w:cs="Times New Roman"/>
          <w:b/>
          <w:i/>
        </w:rPr>
      </w:pPr>
      <w:commentRangeStart w:id="3"/>
      <w:r w:rsidRPr="003C22DE">
        <w:rPr>
          <w:rFonts w:cs="Times New Roman"/>
          <w:b/>
          <w:i/>
        </w:rPr>
        <w:t>Dispersion measure</w:t>
      </w:r>
      <w:commentRangeEnd w:id="3"/>
      <w:r w:rsidR="00B271DB" w:rsidRPr="003C22DE">
        <w:rPr>
          <w:rStyle w:val="CommentReference"/>
          <w:b/>
          <w:i/>
        </w:rPr>
        <w:commentReference w:id="3"/>
      </w:r>
    </w:p>
    <w:p w14:paraId="18FD8B6A" w14:textId="27565C9F" w:rsidR="00C068A9" w:rsidRPr="00530A90" w:rsidRDefault="003C22DE" w:rsidP="003C22DE">
      <w:pPr>
        <w:autoSpaceDE w:val="0"/>
        <w:autoSpaceDN w:val="0"/>
        <w:adjustRightInd w:val="0"/>
        <w:spacing w:after="100" w:afterAutospacing="1" w:line="480" w:lineRule="auto"/>
        <w:jc w:val="both"/>
        <w:rPr>
          <w:rFonts w:cs="Times New Roman"/>
          <w:b/>
        </w:rPr>
      </w:pPr>
      <w:r>
        <w:rPr>
          <w:rFonts w:cs="Times New Roman"/>
          <w:b/>
        </w:rPr>
        <w:t xml:space="preserve"> </w:t>
      </w:r>
      <w:r w:rsidR="00AD66A7" w:rsidRPr="00981D30">
        <w:rPr>
          <w:rFonts w:cs="Times New Roman"/>
        </w:rPr>
        <w:t xml:space="preserve">Several dispersion measures have been proposed to analyze lifespan </w:t>
      </w:r>
      <w:r>
        <w:rPr>
          <w:rFonts w:cs="Times New Roman"/>
        </w:rPr>
        <w:t>inequality</w:t>
      </w:r>
      <w:r w:rsidR="000B163F" w:rsidRPr="00981D30">
        <w:rPr>
          <w:rFonts w:cs="Times New Roman"/>
        </w:rPr>
        <w:t xml:space="preserve"> </w:t>
      </w:r>
      <w:r w:rsidR="000B163F" w:rsidRPr="00981D30">
        <w:rPr>
          <w:rFonts w:cs="Times New Roman"/>
        </w:rPr>
        <w:fldChar w:fldCharType="begin"/>
      </w:r>
      <w:r w:rsidR="00C068A9">
        <w:rPr>
          <w:rFonts w:cs="Times New Roman"/>
        </w:rPr>
        <w:instrText xml:space="preserve"> ADDIN EN.CITE &lt;EndNote&gt;&lt;Cite&gt;&lt;Author&gt;van Raalte&lt;/Author&gt;&lt;Year&gt;2013&lt;/Year&gt;&lt;RecNum&gt;9&lt;/RecNum&gt;&lt;DisplayText&gt;(10)&lt;/DisplayText&gt;&lt;record&gt;&lt;rec-number&gt;9&lt;/rec-number&gt;&lt;foreign-keys&gt;&lt;key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981D30">
        <w:rPr>
          <w:rFonts w:cs="Times New Roman"/>
        </w:rPr>
        <w:fldChar w:fldCharType="separate"/>
      </w:r>
      <w:r w:rsidR="00C068A9">
        <w:rPr>
          <w:rFonts w:cs="Times New Roman"/>
          <w:noProof/>
        </w:rPr>
        <w:t>(10)</w:t>
      </w:r>
      <w:r w:rsidR="000B163F" w:rsidRPr="00981D30">
        <w:rPr>
          <w:rFonts w:cs="Times New Roman"/>
        </w:rPr>
        <w:fldChar w:fldCharType="end"/>
      </w:r>
      <w:r w:rsidR="00AD66A7" w:rsidRPr="00981D30">
        <w:rPr>
          <w:rFonts w:cs="Times New Roman"/>
        </w:rPr>
        <w:t xml:space="preserve">. </w:t>
      </w:r>
      <w:r w:rsidR="00C068A9">
        <w:rPr>
          <w:rFonts w:eastAsiaTheme="minorEastAsia"/>
          <w:sz w:val="24"/>
          <w:szCs w:val="24"/>
        </w:rPr>
        <w:t xml:space="preserve">Here, we use the </w:t>
      </w:r>
      <w:r w:rsidR="00C068A9" w:rsidRPr="00A968C2">
        <w:rPr>
          <w:rFonts w:eastAsiaTheme="minorEastAsia"/>
          <w:sz w:val="24"/>
          <w:szCs w:val="24"/>
        </w:rPr>
        <w:t>coefficient of variation defined as the standard deviation weighted by the average, in lifetable notation it is:</w:t>
      </w:r>
    </w:p>
    <w:p w14:paraId="3A3DCCDC" w14:textId="458D3997" w:rsidR="00C068A9" w:rsidRPr="00A968C2" w:rsidRDefault="00C068A9" w:rsidP="003C22DE">
      <w:pPr>
        <w:spacing w:line="480" w:lineRule="auto"/>
        <w:ind w:firstLine="720"/>
        <w:jc w:val="both"/>
        <w:rPr>
          <w:rFonts w:eastAsiaTheme="minorEastAsia"/>
          <w:sz w:val="24"/>
          <w:szCs w:val="24"/>
        </w:rPr>
      </w:pPr>
      <m:oMathPara>
        <m:oMath>
          <m:r>
            <w:rPr>
              <w:rFonts w:ascii="Cambria Math" w:hAnsi="Cambria Math"/>
              <w:sz w:val="24"/>
              <w:szCs w:val="24"/>
            </w:rPr>
            <m:t>CV=</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Cambria Math" w:hAnsi="Cambria Math"/>
                          <w:sz w:val="24"/>
                          <w:szCs w:val="24"/>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ω</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m:t>
                      </m:r>
                    </m:e>
                  </m:d>
                  <m:r>
                    <m:rPr>
                      <m:nor/>
                    </m:rPr>
                    <w:rPr>
                      <w:rFonts w:ascii="Cambria Math" w:hAnsi="Cambria Math"/>
                      <w:sz w:val="24"/>
                      <w:szCs w:val="24"/>
                    </w:rPr>
                    <m:t>d</m:t>
                  </m:r>
                  <m:r>
                    <w:rPr>
                      <w:rFonts w:ascii="Cambria Math" w:hAnsi="Cambria Math"/>
                      <w:sz w:val="24"/>
                      <w:szCs w:val="24"/>
                    </w:rPr>
                    <m:t>x</m:t>
                  </m:r>
                </m:e>
              </m:nary>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(1</m:t>
          </m:r>
          <m:r>
            <w:rPr>
              <w:rFonts w:ascii="Cambria Math" w:hAnsi="Cambria Math"/>
              <w:sz w:val="24"/>
              <w:szCs w:val="24"/>
            </w:rPr>
            <m:t xml:space="preserve">)              </m:t>
          </m:r>
        </m:oMath>
      </m:oMathPara>
    </w:p>
    <w:p w14:paraId="6FE8F33A" w14:textId="5597DFB6" w:rsidR="00C068A9" w:rsidRDefault="00CC6CB8" w:rsidP="003C22DE">
      <w:pPr>
        <w:spacing w:line="480" w:lineRule="auto"/>
        <w:ind w:firstLine="720"/>
        <w:jc w:val="both"/>
        <w:rPr>
          <w:rFonts w:eastAsiaTheme="minorEastAsia"/>
          <w:sz w:val="24"/>
          <w:szCs w:val="24"/>
        </w:rPr>
      </w:pPr>
      <w:r>
        <w:rPr>
          <w:sz w:val="24"/>
          <w:szCs w:val="24"/>
        </w:rPr>
        <w:t>W</w:t>
      </w:r>
      <w:r w:rsidRPr="00A968C2">
        <w:rPr>
          <w:sz w:val="24"/>
          <w:szCs w:val="24"/>
        </w:rPr>
        <w:t xml:space="preserve">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Pr="00A968C2">
        <w:rPr>
          <w:rFonts w:eastAsiaTheme="minorEastAsia"/>
          <w:sz w:val="24"/>
          <w:szCs w:val="24"/>
        </w:rPr>
        <w:t xml:space="preserve"> and </w:t>
      </w:r>
      <m:oMath>
        <m:r>
          <w:rPr>
            <w:rFonts w:ascii="Cambria Math" w:hAnsi="Cambria Math"/>
            <w:sz w:val="24"/>
            <w:szCs w:val="24"/>
          </w:rPr>
          <m:t>ω</m:t>
        </m:r>
      </m:oMath>
      <w:r w:rsidRPr="00A968C2">
        <w:rPr>
          <w:rFonts w:eastAsiaTheme="minorEastAsia"/>
          <w:sz w:val="24"/>
          <w:szCs w:val="24"/>
        </w:rPr>
        <w:t xml:space="preserve"> denote the </w:t>
      </w:r>
      <w:r>
        <w:rPr>
          <w:rFonts w:eastAsiaTheme="minorEastAsia"/>
          <w:sz w:val="24"/>
          <w:szCs w:val="24"/>
        </w:rPr>
        <w:t xml:space="preserve">age at death density </w:t>
      </w:r>
      <w:r w:rsidRPr="00A968C2">
        <w:rPr>
          <w:rFonts w:eastAsiaTheme="minorEastAsia"/>
          <w:sz w:val="24"/>
          <w:szCs w:val="24"/>
        </w:rPr>
        <w:t>function, life expectancy at</w:t>
      </w:r>
      <w:r>
        <w:rPr>
          <w:rFonts w:eastAsiaTheme="minorEastAsia"/>
          <w:sz w:val="24"/>
          <w:szCs w:val="24"/>
        </w:rPr>
        <w:t xml:space="preserve"> age x (to be defined)</w:t>
      </w:r>
      <w:r w:rsidRPr="00A968C2">
        <w:rPr>
          <w:rFonts w:eastAsiaTheme="minorEastAsia"/>
          <w:sz w:val="24"/>
          <w:szCs w:val="24"/>
        </w:rPr>
        <w:t>, and the open-aged interval (110+ in our case), respectively</w:t>
      </w:r>
      <w:r>
        <w:rPr>
          <w:rFonts w:eastAsiaTheme="minorEastAsia"/>
          <w:sz w:val="24"/>
          <w:szCs w:val="24"/>
        </w:rPr>
        <w:t xml:space="preserve">. </w:t>
      </w:r>
      <w:r w:rsidR="00CA0A74">
        <w:rPr>
          <w:rFonts w:eastAsiaTheme="minorEastAsia"/>
          <w:sz w:val="24"/>
          <w:szCs w:val="24"/>
        </w:rPr>
        <w:t xml:space="preserve">[some advantages of this indicator and its interpretation]. </w:t>
      </w:r>
      <w:r w:rsidR="00C068A9" w:rsidRPr="00A968C2">
        <w:rPr>
          <w:rFonts w:eastAsiaTheme="minorEastAsia"/>
          <w:sz w:val="24"/>
          <w:szCs w:val="24"/>
        </w:rPr>
        <w:t xml:space="preserve">The strong correlation between </w:t>
      </w:r>
      <w:r w:rsidR="00CA0A74">
        <w:rPr>
          <w:rFonts w:eastAsiaTheme="minorEastAsia"/>
          <w:sz w:val="24"/>
          <w:szCs w:val="24"/>
        </w:rPr>
        <w:t>lifespan inequality</w:t>
      </w:r>
      <w:r w:rsidR="00C068A9" w:rsidRPr="00A968C2">
        <w:rPr>
          <w:rFonts w:eastAsiaTheme="minorEastAsia"/>
          <w:sz w:val="24"/>
          <w:szCs w:val="24"/>
        </w:rPr>
        <w:t xml:space="preserve"> </w:t>
      </w:r>
      <w:r w:rsidR="002A719E">
        <w:rPr>
          <w:rFonts w:eastAsiaTheme="minorEastAsia"/>
          <w:sz w:val="24"/>
          <w:szCs w:val="24"/>
        </w:rPr>
        <w:t>indicators</w:t>
      </w:r>
      <w:r w:rsidR="00C068A9" w:rsidRPr="00A968C2">
        <w:rPr>
          <w:rFonts w:eastAsiaTheme="minorEastAsia"/>
          <w:sz w:val="24"/>
          <w:szCs w:val="24"/>
        </w:rPr>
        <w:t xml:space="preserve"> suggest</w:t>
      </w:r>
      <w:r w:rsidR="00C068A9">
        <w:rPr>
          <w:rFonts w:eastAsiaTheme="minorEastAsia"/>
          <w:sz w:val="24"/>
          <w:szCs w:val="24"/>
        </w:rPr>
        <w:t>s</w:t>
      </w:r>
      <w:r w:rsidR="00C068A9" w:rsidRPr="00A968C2">
        <w:rPr>
          <w:rFonts w:eastAsiaTheme="minorEastAsia"/>
          <w:sz w:val="24"/>
          <w:szCs w:val="24"/>
        </w:rPr>
        <w:t xml:space="preserve"> that main conclusions and r</w:t>
      </w:r>
      <w:r w:rsidR="00C068A9">
        <w:rPr>
          <w:rFonts w:eastAsiaTheme="minorEastAsia"/>
          <w:sz w:val="24"/>
          <w:szCs w:val="24"/>
        </w:rPr>
        <w:t xml:space="preserve">esults would not differ regardless of the </w:t>
      </w:r>
      <w:r w:rsidR="002A719E">
        <w:rPr>
          <w:rFonts w:eastAsiaTheme="minorEastAsia"/>
          <w:sz w:val="24"/>
          <w:szCs w:val="24"/>
        </w:rPr>
        <w:t>which one is</w:t>
      </w:r>
      <w:r w:rsidR="00C068A9" w:rsidRPr="00A968C2">
        <w:rPr>
          <w:rFonts w:eastAsiaTheme="minorEastAsia"/>
          <w:sz w:val="24"/>
          <w:szCs w:val="24"/>
        </w:rPr>
        <w:t xml:space="preserve"> used </w:t>
      </w:r>
      <w:r w:rsidR="00C068A9" w:rsidRPr="00A968C2">
        <w:rPr>
          <w:rFonts w:eastAsiaTheme="minorEastAsia"/>
          <w:sz w:val="24"/>
          <w:szCs w:val="24"/>
        </w:rPr>
        <w:fldChar w:fldCharType="begin">
          <w:fldData xml:space="preserve">PEVuZE5vdGU+PENpdGU+PEF1dGhvcj52YW4gUmFhbHRlPC9BdXRob3I+PFllYXI+MjAxMzwvWWVh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</w:fldData>
        </w:fldChar>
      </w:r>
      <w:r w:rsidR="00C068A9">
        <w:rPr>
          <w:rFonts w:eastAsiaTheme="minorEastAsia"/>
          <w:sz w:val="24"/>
          <w:szCs w:val="24"/>
        </w:rPr>
        <w:instrText xml:space="preserve"> ADDIN EN.CITE </w:instrText>
      </w:r>
      <w:r w:rsidR="00C068A9">
        <w:rPr>
          <w:rFonts w:eastAsiaTheme="minorEastAsia"/>
          <w:sz w:val="24"/>
          <w:szCs w:val="24"/>
        </w:rPr>
        <w:fldChar w:fldCharType="begin">
          <w:fldData xml:space="preserve">PEVuZE5vdGU+PENpdGU+PEF1dGhvcj52YW4gUmFhbHRlPC9BdXRob3I+PFllYXI+MjAxMzwvWWVh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</w:fldData>
        </w:fldChar>
      </w:r>
      <w:r w:rsidR="00C068A9">
        <w:rPr>
          <w:rFonts w:eastAsiaTheme="minorEastAsia"/>
          <w:sz w:val="24"/>
          <w:szCs w:val="24"/>
        </w:rPr>
        <w:instrText xml:space="preserve"> ADDIN EN.CITE.DATA </w:instrText>
      </w:r>
      <w:r w:rsidR="00C068A9">
        <w:rPr>
          <w:rFonts w:eastAsiaTheme="minorEastAsia"/>
          <w:sz w:val="24"/>
          <w:szCs w:val="24"/>
        </w:rPr>
      </w:r>
      <w:r w:rsidR="00C068A9">
        <w:rPr>
          <w:rFonts w:eastAsiaTheme="minorEastAsia"/>
          <w:sz w:val="24"/>
          <w:szCs w:val="24"/>
        </w:rPr>
        <w:fldChar w:fldCharType="end"/>
      </w:r>
      <w:r w:rsidR="00C068A9" w:rsidRPr="00A968C2">
        <w:rPr>
          <w:rFonts w:eastAsiaTheme="minorEastAsia"/>
          <w:sz w:val="24"/>
          <w:szCs w:val="24"/>
        </w:rPr>
        <w:fldChar w:fldCharType="separate"/>
      </w:r>
      <w:r w:rsidR="00C068A9">
        <w:rPr>
          <w:rFonts w:eastAsiaTheme="minorEastAsia"/>
          <w:noProof/>
          <w:sz w:val="24"/>
          <w:szCs w:val="24"/>
        </w:rPr>
        <w:t>(10-12)</w:t>
      </w:r>
      <w:r w:rsidR="00C068A9" w:rsidRPr="00A968C2">
        <w:rPr>
          <w:rFonts w:eastAsiaTheme="minorEastAsia"/>
          <w:sz w:val="24"/>
          <w:szCs w:val="24"/>
        </w:rPr>
        <w:fldChar w:fldCharType="end"/>
      </w:r>
      <w:r w:rsidR="00C068A9" w:rsidRPr="00A968C2">
        <w:rPr>
          <w:rFonts w:eastAsiaTheme="minorEastAsia"/>
          <w:sz w:val="24"/>
          <w:szCs w:val="24"/>
        </w:rPr>
        <w:t>.</w:t>
      </w:r>
    </w:p>
    <w:p w14:paraId="5C84E235" w14:textId="77777777" w:rsidR="003C22DE" w:rsidRDefault="003C22DE" w:rsidP="003C22DE">
      <w:pPr>
        <w:autoSpaceDE w:val="0"/>
        <w:autoSpaceDN w:val="0"/>
        <w:adjustRightInd w:val="0"/>
        <w:spacing w:after="100" w:afterAutospacing="1" w:line="480" w:lineRule="auto"/>
        <w:jc w:val="both"/>
        <w:rPr>
          <w:rFonts w:cs="Times New Roman"/>
          <w:b/>
          <w:i/>
        </w:rPr>
      </w:pPr>
      <w:r>
        <w:rPr>
          <w:rFonts w:cs="Times New Roman"/>
          <w:b/>
          <w:i/>
        </w:rPr>
        <w:t>Decomposition techniques</w:t>
      </w:r>
    </w:p>
    <w:p w14:paraId="38555754" w14:textId="46217B55" w:rsidR="00011D23" w:rsidRPr="003C22DE" w:rsidRDefault="003C22DE" w:rsidP="003C22DE">
      <w:pPr>
        <w:autoSpaceDE w:val="0"/>
        <w:autoSpaceDN w:val="0"/>
        <w:adjustRightInd w:val="0"/>
        <w:spacing w:after="100" w:afterAutospacing="1" w:line="480" w:lineRule="auto"/>
        <w:jc w:val="both"/>
        <w:rPr>
          <w:rFonts w:cs="Times New Roman"/>
          <w:b/>
          <w:i/>
        </w:rPr>
      </w:pPr>
      <w:r w:rsidRPr="003C22DE">
        <w:rPr>
          <w:rFonts w:cs="Times New Roman"/>
          <w:iCs/>
        </w:rPr>
        <w:lastRenderedPageBreak/>
        <w:t xml:space="preserve">Lifespan inequality may increase or decrease while life expectancy is stagnating, this depends on the balance between reducing mortality at early ages, which compresses lifespan inequality, and saving lives at older ages, which increases inequality in lifespans </w:t>
      </w:r>
      <w:r w:rsidRPr="003C22DE">
        <w:rPr>
          <w:rFonts w:cs="Times New Roman"/>
          <w:iCs/>
        </w:rPr>
        <w:fldChar w:fldCharType="begin"/>
      </w:r>
      <w:r>
        <w:rPr>
          <w:rFonts w:cs="Times New Roman"/>
          <w:iCs/>
        </w:rPr>
        <w:instrText xml:space="preserve"> ADDIN EN.CITE &lt;EndNote&gt;&lt;Cite&gt;&lt;Author&gt;Gillespie&lt;/Author&gt;&lt;Year&gt;2014&lt;/Year&gt;&lt;RecNum&gt;70&lt;/RecNum&gt;&lt;DisplayText&gt;(13, 14)&lt;/DisplayText&gt;&lt;record&gt;&lt;rec-number&gt;70&lt;/rec-number&gt;&lt;foreign-keys&gt;&lt;key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Zhang&lt;/Author&gt;&lt;Year&gt;2009&lt;/Year&gt;&lt;RecNum&gt;23&lt;/RecNum&gt;&lt;record&gt;&lt;rec-number&gt;23&lt;/rec-number&gt;&lt;foreign-keys&gt;&lt;key app="EN" db-id="pdtewsetrssszaepssypw0pjxx5d29tdt2d9" timestamp="1478167841"&gt;23&lt;/key&gt;&lt;/foreign-keys&gt;&lt;ref-type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3C22DE">
        <w:rPr>
          <w:rFonts w:cs="Times New Roman"/>
          <w:iCs/>
        </w:rPr>
        <w:fldChar w:fldCharType="separate"/>
      </w:r>
      <w:r>
        <w:rPr>
          <w:rFonts w:cs="Times New Roman"/>
          <w:iCs/>
          <w:noProof/>
        </w:rPr>
        <w:t>(13, 14)</w:t>
      </w:r>
      <w:r w:rsidRPr="003C22DE">
        <w:rPr>
          <w:rFonts w:cs="Times New Roman"/>
          <w:iCs/>
        </w:rPr>
        <w:fldChar w:fldCharType="end"/>
      </w:r>
      <w:r>
        <w:rPr>
          <w:rFonts w:cs="Times New Roman"/>
          <w:iCs/>
        </w:rPr>
        <w:t xml:space="preserve">. To get a better interpretations of the reasons behind changes in lifespan inequality over time, we decompose lifespan inequality differences before, during, and after the stagnation of life expectancy by age and causes of death using standard decomposition techniques </w:t>
      </w:r>
      <w:r>
        <w:rPr>
          <w:rFonts w:cs="Times New Roman"/>
          <w:iCs/>
        </w:rPr>
        <w:fldChar w:fldCharType="begin"/>
      </w:r>
      <w:r>
        <w:rPr>
          <w:rFonts w:cs="Times New Roman"/>
          <w:iCs/>
        </w:rPr>
        <w:instrText xml:space="preserve"> ADDIN EN.CITE &lt;EndNote&gt;&lt;Cite&gt;&lt;Author&gt;Horiuchi&lt;/Author&gt;&lt;Year&gt;2008&lt;/Year&gt;&lt;RecNum&gt;29&lt;/RecNum&gt;&lt;DisplayText&gt;(15)&lt;/DisplayText&gt;&lt;record&gt;&lt;rec-number&gt;29&lt;/rec-number&gt;&lt;foreign-keys&gt;&lt;key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Pr>
          <w:rFonts w:cs="Times New Roman"/>
          <w:iCs/>
        </w:rPr>
        <w:fldChar w:fldCharType="separate"/>
      </w:r>
      <w:r>
        <w:rPr>
          <w:rFonts w:cs="Times New Roman"/>
          <w:iCs/>
          <w:noProof/>
        </w:rPr>
        <w:t>(15)</w:t>
      </w:r>
      <w:r>
        <w:rPr>
          <w:rFonts w:cs="Times New Roman"/>
          <w:iCs/>
        </w:rPr>
        <w:fldChar w:fldCharType="end"/>
      </w:r>
      <w:r>
        <w:rPr>
          <w:rFonts w:cs="Times New Roman"/>
          <w:iCs/>
        </w:rPr>
        <w:t>.</w:t>
      </w:r>
      <w:r w:rsidR="00AD66A7" w:rsidRPr="00981D30">
        <w:rPr>
          <w:rFonts w:cs="Times New Roman"/>
        </w:rPr>
        <w:t xml:space="preserve"> </w:t>
      </w:r>
    </w:p>
    <w:p w14:paraId="75B9E0C5" w14:textId="306F599A" w:rsidR="007337A4" w:rsidRDefault="002A719E" w:rsidP="002A719E">
      <w:pPr>
        <w:pStyle w:val="Subtitle"/>
        <w:rPr>
          <w:rFonts w:asciiTheme="minorHAnsi" w:eastAsiaTheme="minorHAnsi" w:hAnsiTheme="minorHAnsi" w:cs="Times New Roman"/>
          <w:b/>
          <w:i w:val="0"/>
          <w:iCs w:val="0"/>
          <w:color w:val="auto"/>
          <w:spacing w:val="0"/>
          <w:sz w:val="22"/>
          <w:szCs w:val="22"/>
        </w:rPr>
      </w:pPr>
      <w:r w:rsidRPr="002A719E">
        <w:rPr>
          <w:rFonts w:asciiTheme="minorHAnsi" w:eastAsiaTheme="minorHAnsi" w:hAnsiTheme="minorHAnsi" w:cs="Times New Roman"/>
          <w:b/>
          <w:i w:val="0"/>
          <w:iCs w:val="0"/>
          <w:color w:val="auto"/>
          <w:spacing w:val="0"/>
          <w:sz w:val="22"/>
          <w:szCs w:val="22"/>
        </w:rPr>
        <w:t>Results</w:t>
      </w:r>
    </w:p>
    <w:p w14:paraId="3ACD233D" w14:textId="77777777" w:rsidR="002A719E" w:rsidRPr="002A719E" w:rsidRDefault="002A719E" w:rsidP="002A719E"/>
    <w:p w14:paraId="76F0CB04" w14:textId="69928237" w:rsidR="007543CE" w:rsidRDefault="00B62339" w:rsidP="002A719E">
      <w:pPr>
        <w:pStyle w:val="Subtitle"/>
        <w:rPr>
          <w:rFonts w:asciiTheme="minorHAnsi" w:eastAsiaTheme="minorHAnsi" w:hAnsiTheme="minorHAnsi" w:cs="Times New Roman"/>
          <w:b/>
          <w:i w:val="0"/>
          <w:iCs w:val="0"/>
          <w:color w:val="auto"/>
          <w:spacing w:val="0"/>
          <w:sz w:val="22"/>
          <w:szCs w:val="22"/>
        </w:rPr>
      </w:pPr>
      <w:r w:rsidRPr="002A719E">
        <w:rPr>
          <w:rFonts w:asciiTheme="minorHAnsi" w:eastAsiaTheme="minorHAnsi" w:hAnsiTheme="minorHAnsi" w:cs="Times New Roman"/>
          <w:b/>
          <w:i w:val="0"/>
          <w:iCs w:val="0"/>
          <w:color w:val="auto"/>
          <w:spacing w:val="0"/>
          <w:sz w:val="22"/>
          <w:szCs w:val="22"/>
        </w:rPr>
        <w:t>References</w:t>
      </w:r>
    </w:p>
    <w:p w14:paraId="349A6D52" w14:textId="77777777" w:rsidR="002A719E" w:rsidRPr="002A719E" w:rsidRDefault="002A719E" w:rsidP="002A719E"/>
    <w:p w14:paraId="2BE61477" w14:textId="77777777" w:rsidR="003C22DE" w:rsidRPr="003C22DE" w:rsidRDefault="007543CE" w:rsidP="003C22DE">
      <w:pPr>
        <w:pStyle w:val="EndNoteBibliography"/>
      </w:pPr>
      <w:r w:rsidRPr="00981D30">
        <w:rPr>
          <w:rFonts w:asciiTheme="minorHAnsi" w:hAnsiTheme="minorHAnsi" w:cs="Times New Roman"/>
          <w:noProof w:val="0"/>
        </w:rPr>
        <w:fldChar w:fldCharType="begin"/>
      </w:r>
      <w:r w:rsidRPr="00981D30">
        <w:rPr>
          <w:rFonts w:asciiTheme="minorHAnsi" w:hAnsiTheme="minorHAnsi" w:cs="Times New Roman"/>
          <w:noProof w:val="0"/>
        </w:rPr>
        <w:instrText xml:space="preserve"> ADDIN EN.REFLIST </w:instrText>
      </w:r>
      <w:r w:rsidRPr="00981D30">
        <w:rPr>
          <w:rFonts w:asciiTheme="minorHAnsi" w:hAnsiTheme="minorHAnsi" w:cs="Times New Roman"/>
          <w:noProof w:val="0"/>
        </w:rPr>
        <w:fldChar w:fldCharType="separate"/>
      </w:r>
      <w:r w:rsidR="003C22DE" w:rsidRPr="003C22DE">
        <w:t>1.</w:t>
      </w:r>
      <w:r w:rsidR="003C22DE" w:rsidRPr="003C22DE">
        <w:tab/>
        <w:t>Jacobsen R, Von Euler M, Osler M, Lynge E, Keiding N. Women's death in Scandinavia—what makes Denmark different? European journal of epidemiology. 2004;19(2):117-21.</w:t>
      </w:r>
    </w:p>
    <w:p w14:paraId="6DDB9FC7" w14:textId="77777777" w:rsidR="003C22DE" w:rsidRPr="003C22DE" w:rsidRDefault="003C22DE" w:rsidP="003C22DE">
      <w:pPr>
        <w:pStyle w:val="EndNoteBibliography"/>
      </w:pPr>
      <w:r w:rsidRPr="003C22DE">
        <w:t>2.</w:t>
      </w:r>
      <w:r w:rsidRPr="003C22DE">
        <w:tab/>
        <w:t>Lindahl-Jacobsen R, Oeppen J, Rizzi S, Möller S, Zarulli V, Christensen K, et al. Why did Danish women’s life expectancy stagnate? The influence of interwar generations’ smoking behaviour. European Journal of Epidemiology. 2016:1-5.</w:t>
      </w:r>
    </w:p>
    <w:p w14:paraId="59D8922C" w14:textId="77777777" w:rsidR="003C22DE" w:rsidRPr="003C22DE" w:rsidRDefault="003C22DE" w:rsidP="003C22DE">
      <w:pPr>
        <w:pStyle w:val="EndNoteBibliography"/>
      </w:pPr>
      <w:r w:rsidRPr="003C22DE">
        <w:t>3.</w:t>
      </w:r>
      <w:r w:rsidRPr="003C22DE">
        <w:tab/>
        <w:t>Lindahl-Jacobsen R, Rau R, Jeune B, Canudas-Romo V, Lenart A, Christensen K, et al. Rise, stagnation, and rise of Danish women’s life expectancy. Proceedings of the National Academy of Sciences. 2016;113(15):4015-20.</w:t>
      </w:r>
    </w:p>
    <w:p w14:paraId="3418B9D2" w14:textId="77777777" w:rsidR="003C22DE" w:rsidRPr="003C22DE" w:rsidRDefault="003C22DE" w:rsidP="003C22DE">
      <w:pPr>
        <w:pStyle w:val="EndNoteBibliography"/>
      </w:pPr>
      <w:r w:rsidRPr="003C22DE">
        <w:t>4.</w:t>
      </w:r>
      <w:r w:rsidRPr="003C22DE">
        <w:tab/>
        <w:t>Tuljapurkar S. The final inequality. Demography and the Economy. 2011:209.</w:t>
      </w:r>
    </w:p>
    <w:p w14:paraId="70CB43F7" w14:textId="77777777" w:rsidR="003C22DE" w:rsidRPr="003C22DE" w:rsidRDefault="003C22DE" w:rsidP="003C22DE">
      <w:pPr>
        <w:pStyle w:val="EndNoteBibliography"/>
      </w:pPr>
      <w:r w:rsidRPr="003C22DE">
        <w:t>5.</w:t>
      </w:r>
      <w:r w:rsidRPr="003C22DE">
        <w:tab/>
        <w:t>Smits J, Monden C. Length of life inequality around the globe. Social Science &amp; Medicine. 2009;68(6):1114-23.</w:t>
      </w:r>
    </w:p>
    <w:p w14:paraId="05273CA6" w14:textId="77777777" w:rsidR="003C22DE" w:rsidRPr="003C22DE" w:rsidRDefault="003C22DE" w:rsidP="003C22DE">
      <w:pPr>
        <w:pStyle w:val="EndNoteBibliography"/>
      </w:pPr>
      <w:r w:rsidRPr="003C22DE">
        <w:t>6.</w:t>
      </w:r>
      <w:r w:rsidRPr="003C22DE">
        <w:tab/>
        <w:t>Vaupel JW, Zhang Z, van Raalte AA. Life expectancy and disparity: an international comparison of life table data. BMJ open. 2011;1(1):e000128.</w:t>
      </w:r>
    </w:p>
    <w:p w14:paraId="6AEAB492" w14:textId="77777777" w:rsidR="003C22DE" w:rsidRPr="003C22DE" w:rsidRDefault="003C22DE" w:rsidP="003C22DE">
      <w:pPr>
        <w:pStyle w:val="EndNoteBibliography"/>
      </w:pPr>
      <w:r w:rsidRPr="003C22DE">
        <w:t>7.</w:t>
      </w:r>
      <w:r w:rsidRPr="003C22DE">
        <w:tab/>
        <w:t>Marmot M. Inequalities in health. New England Journal of Medicine. 2001;345(2):134-5.</w:t>
      </w:r>
    </w:p>
    <w:p w14:paraId="2650CFEE" w14:textId="77777777" w:rsidR="003C22DE" w:rsidRPr="003C22DE" w:rsidRDefault="003C22DE" w:rsidP="003C22DE">
      <w:pPr>
        <w:pStyle w:val="EndNoteBibliography"/>
      </w:pPr>
      <w:r w:rsidRPr="003C22DE">
        <w:t>8.</w:t>
      </w:r>
      <w:r w:rsidRPr="003C22DE">
        <w:tab/>
        <w:t>Human Mortality Database. University of California BU, and Max Planck Institute for Demographic Research (Germany). Human Mortality Database. 2017.</w:t>
      </w:r>
    </w:p>
    <w:p w14:paraId="2991A1A1" w14:textId="65EC8D13" w:rsidR="003C22DE" w:rsidRPr="003C22DE" w:rsidRDefault="003C22DE" w:rsidP="003C22DE">
      <w:pPr>
        <w:pStyle w:val="EndNoteBibliography"/>
      </w:pPr>
      <w:r w:rsidRPr="003C22DE">
        <w:t>9.</w:t>
      </w:r>
      <w:r w:rsidRPr="003C22DE">
        <w:tab/>
        <w:t xml:space="preserve">Organization WH. Health statistics and information systems 2017 [Available from: </w:t>
      </w:r>
      <w:hyperlink r:id="rId10" w:history="1">
        <w:r w:rsidRPr="003C22DE">
          <w:rPr>
            <w:rStyle w:val="Hyperlink"/>
          </w:rPr>
          <w:t>http://www.who.int/healthinfo/mortality_data/en/</w:t>
        </w:r>
      </w:hyperlink>
      <w:r w:rsidRPr="003C22DE">
        <w:t>.</w:t>
      </w:r>
    </w:p>
    <w:p w14:paraId="37ED44D0" w14:textId="77777777" w:rsidR="003C22DE" w:rsidRPr="003C22DE" w:rsidRDefault="003C22DE" w:rsidP="003C22DE">
      <w:pPr>
        <w:pStyle w:val="EndNoteBibliography"/>
      </w:pPr>
      <w:r w:rsidRPr="003C22DE">
        <w:t>10.</w:t>
      </w:r>
      <w:r w:rsidRPr="003C22DE">
        <w:tab/>
        <w:t>van Raalte AA, Caswell H. Perturbation analysis of indices of lifespan variability. Demography. 2013;50(5):1615-40.</w:t>
      </w:r>
    </w:p>
    <w:p w14:paraId="1F6FCA57" w14:textId="77777777" w:rsidR="003C22DE" w:rsidRPr="003C22DE" w:rsidRDefault="003C22DE" w:rsidP="003C22DE">
      <w:pPr>
        <w:pStyle w:val="EndNoteBibliography"/>
      </w:pPr>
      <w:r w:rsidRPr="003C22DE">
        <w:t>11.</w:t>
      </w:r>
      <w:r w:rsidRPr="003C22DE">
        <w:tab/>
        <w:t>Wilmoth JR, Horiuchi S. Rectangularization revisited: Variability of age at death within human populations*. Demography. 1999;36(4):475-95.</w:t>
      </w:r>
    </w:p>
    <w:p w14:paraId="3405C74A" w14:textId="77777777" w:rsidR="003C22DE" w:rsidRPr="003C22DE" w:rsidRDefault="003C22DE" w:rsidP="003C22DE">
      <w:pPr>
        <w:pStyle w:val="EndNoteBibliography"/>
      </w:pPr>
      <w:r w:rsidRPr="003C22DE">
        <w:t>12.</w:t>
      </w:r>
      <w:r w:rsidRPr="003C22DE">
        <w:tab/>
        <w:t>Colchero F, Rau R, Jones OR, Barthold JA, Conde DA, Lenart A, et al. The emergence of longevous populations. Proceedings of the National Academy of Sciences. 2016.</w:t>
      </w:r>
    </w:p>
    <w:p w14:paraId="0DBCCD17" w14:textId="77777777" w:rsidR="003C22DE" w:rsidRPr="003C22DE" w:rsidRDefault="003C22DE" w:rsidP="003C22DE">
      <w:pPr>
        <w:pStyle w:val="EndNoteBibliography"/>
      </w:pPr>
      <w:r w:rsidRPr="003C22DE">
        <w:t>13.</w:t>
      </w:r>
      <w:r w:rsidRPr="003C22DE">
        <w:tab/>
        <w:t>Gillespie DO, Trotter MV, Tuljapurkar SD. Divergence in age patterns of mortality change drives international divergence in lifespan inequality. Demography. 2014;51(3):1003-17.</w:t>
      </w:r>
    </w:p>
    <w:p w14:paraId="57A480D3" w14:textId="77777777" w:rsidR="003C22DE" w:rsidRPr="003C22DE" w:rsidRDefault="003C22DE" w:rsidP="003C22DE">
      <w:pPr>
        <w:pStyle w:val="EndNoteBibliography"/>
      </w:pPr>
      <w:r w:rsidRPr="003C22DE">
        <w:t>14.</w:t>
      </w:r>
      <w:r w:rsidRPr="003C22DE">
        <w:tab/>
        <w:t>Zhang Z, Vaupel JW. The age separating early deaths from late deaths. Demographic Research. 2009;20(29):721-30.</w:t>
      </w:r>
    </w:p>
    <w:p w14:paraId="576C43AF" w14:textId="77777777" w:rsidR="003C22DE" w:rsidRPr="003C22DE" w:rsidRDefault="003C22DE" w:rsidP="003C22DE">
      <w:pPr>
        <w:pStyle w:val="EndNoteBibliography"/>
      </w:pPr>
      <w:r w:rsidRPr="003C22DE">
        <w:t>15.</w:t>
      </w:r>
      <w:r w:rsidRPr="003C22DE">
        <w:tab/>
        <w:t>Horiuchi S, Wilmoth JR, Pletcher SD. A decomposition method based on a model of continuous change. Demography. 2008;45(4):785-801.</w:t>
      </w:r>
    </w:p>
    <w:p w14:paraId="31FBEBDD" w14:textId="5CEEFCFC" w:rsidR="007E0D66" w:rsidRPr="00981D30" w:rsidRDefault="007543CE" w:rsidP="00E24D0D">
      <w:pPr>
        <w:contextualSpacing/>
        <w:jc w:val="both"/>
        <w:rPr>
          <w:rFonts w:cs="Times New Roman"/>
        </w:rPr>
      </w:pPr>
      <w:r w:rsidRPr="00981D30">
        <w:rPr>
          <w:rFonts w:cs="Times New Roman"/>
        </w:rPr>
        <w:fldChar w:fldCharType="end"/>
      </w:r>
    </w:p>
    <w:sectPr w:rsidR="007E0D66" w:rsidRPr="00981D30" w:rsidSect="00DE24EB">
      <w:headerReference w:type="default" r:id="rId11"/>
      <w:footerReference w:type="default" r:id="rId12"/>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7-07-04T14:42:00Z" w:initials="JMA">
    <w:p w14:paraId="3441E742" w14:textId="77777777" w:rsidR="00893CC8" w:rsidRDefault="00893CC8">
      <w:pPr>
        <w:pStyle w:val="CommentText"/>
      </w:pPr>
      <w:r>
        <w:rPr>
          <w:rStyle w:val="CommentReference"/>
        </w:rPr>
        <w:annotationRef/>
      </w:r>
      <w:r>
        <w:t>Best age to start analysis Maarten? Do we want to capture smoking behavior? We need a good reason to condition on survival to some age.</w:t>
      </w:r>
    </w:p>
  </w:comment>
  <w:comment w:id="2" w:author="José Manuel Aburto" w:date="2017-07-04T15:07:00Z" w:initials="JMA">
    <w:p w14:paraId="11549384" w14:textId="5193AEA3" w:rsidR="009E6E4E" w:rsidRDefault="009E6E4E">
      <w:pPr>
        <w:pStyle w:val="CommentText"/>
      </w:pPr>
      <w:r>
        <w:rPr>
          <w:rStyle w:val="CommentReference"/>
        </w:rPr>
        <w:annotationRef/>
      </w:r>
      <w:r>
        <w:t xml:space="preserve">We </w:t>
      </w:r>
      <w:proofErr w:type="gramStart"/>
      <w:r>
        <w:t>have to</w:t>
      </w:r>
      <w:proofErr w:type="gramEnd"/>
      <w:r>
        <w:t xml:space="preserve"> decide if we do the same as </w:t>
      </w:r>
      <w:proofErr w:type="spellStart"/>
      <w:r>
        <w:t>Lindahl-Jacobse</w:t>
      </w:r>
      <w:proofErr w:type="spellEnd"/>
      <w:r>
        <w:t xml:space="preserve"> </w:t>
      </w:r>
      <w:proofErr w:type="spellStart"/>
      <w:r>
        <w:t>etal</w:t>
      </w:r>
      <w:proofErr w:type="spellEnd"/>
      <w:r>
        <w:t>. Smoking related mortality with the PGW method and then Silvia’s method. Or just Silvia’s method and then analyze broad causes of death.</w:t>
      </w:r>
    </w:p>
  </w:comment>
  <w:comment w:id="3" w:author="José Manuel Aburto" w:date="2017-07-04T15:11:00Z" w:initials="JMA">
    <w:p w14:paraId="551B7647" w14:textId="3F7BFA2C" w:rsidR="00B271DB" w:rsidRDefault="00B271DB">
      <w:pPr>
        <w:pStyle w:val="CommentText"/>
      </w:pPr>
      <w:r>
        <w:rPr>
          <w:rStyle w:val="CommentReference"/>
        </w:rPr>
        <w:annotationRef/>
      </w:r>
      <w:r>
        <w:t xml:space="preserve">I suggest the coefficient of variation or the Gini coefficient. I prefer the cv since people are more related to it since it is widely used in health research. At least more than Gini, </w:t>
      </w:r>
      <w:proofErr w:type="spellStart"/>
      <w:r>
        <w:t>e_dagger</w:t>
      </w:r>
      <w:proofErr w:type="spellEnd"/>
      <w:r>
        <w:t>, entropy,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41E742" w15:done="0"/>
  <w15:commentEx w15:paraId="11549384" w15:done="0"/>
  <w15:commentEx w15:paraId="551B764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59535" w14:textId="77777777" w:rsidR="000C0F2F" w:rsidRDefault="000C0F2F" w:rsidP="008626B5">
      <w:r>
        <w:separator/>
      </w:r>
    </w:p>
  </w:endnote>
  <w:endnote w:type="continuationSeparator" w:id="0">
    <w:p w14:paraId="1116FAC5" w14:textId="77777777" w:rsidR="000C0F2F" w:rsidRDefault="000C0F2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3B70A881" w:rsidR="00893CC8" w:rsidRDefault="00893CC8">
        <w:pPr>
          <w:pStyle w:val="Footer"/>
          <w:jc w:val="right"/>
        </w:pPr>
        <w:r>
          <w:fldChar w:fldCharType="begin"/>
        </w:r>
        <w:r>
          <w:instrText xml:space="preserve"> PAGE   \* MERGEFORMAT </w:instrText>
        </w:r>
        <w:r>
          <w:fldChar w:fldCharType="separate"/>
        </w:r>
        <w:r w:rsidR="00B054F4">
          <w:rPr>
            <w:noProof/>
          </w:rPr>
          <w:t>4</w:t>
        </w:r>
        <w:r>
          <w:rPr>
            <w:noProof/>
          </w:rPr>
          <w:fldChar w:fldCharType="end"/>
        </w:r>
      </w:p>
    </w:sdtContent>
  </w:sdt>
  <w:p w14:paraId="56B8FCA3" w14:textId="77777777" w:rsidR="00893CC8" w:rsidRDefault="00893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433FF" w14:textId="77777777" w:rsidR="000C0F2F" w:rsidRDefault="000C0F2F" w:rsidP="008626B5">
      <w:r>
        <w:separator/>
      </w:r>
    </w:p>
  </w:footnote>
  <w:footnote w:type="continuationSeparator" w:id="0">
    <w:p w14:paraId="66C526B5" w14:textId="77777777" w:rsidR="000C0F2F" w:rsidRDefault="000C0F2F"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77777777" w:rsidR="00893CC8" w:rsidRPr="00FB05AD" w:rsidRDefault="00893CC8" w:rsidP="008626B5">
        <w:pPr>
          <w:pStyle w:val="Header"/>
        </w:pPr>
        <w:r w:rsidRPr="00FB05AD">
          <w:t xml:space="preserve">Aburto, Wensink, Lindahl-Jacobsen, </w:t>
        </w:r>
        <w:proofErr w:type="spellStart"/>
        <w:r w:rsidRPr="00FB05AD">
          <w:t>Vaupel</w:t>
        </w:r>
        <w:proofErr w:type="spellEnd"/>
        <w:r w:rsidRPr="00FB05AD">
          <w:t>. Lifespan i</w:t>
        </w:r>
        <w:r>
          <w:t>nequality in Denmark</w:t>
        </w:r>
      </w:p>
    </w:sdtContent>
  </w:sdt>
  <w:p w14:paraId="60E2E9D7" w14:textId="77777777" w:rsidR="00893CC8" w:rsidRPr="00991CA3" w:rsidRDefault="00893CC8">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4&lt;/item&gt;&lt;item&gt;6&lt;/item&gt;&lt;item&gt;9&lt;/item&gt;&lt;item&gt;13&lt;/item&gt;&lt;item&gt;23&lt;/item&gt;&lt;item&gt;24&lt;/item&gt;&lt;item&gt;29&lt;/item&gt;&lt;item&gt;43&lt;/item&gt;&lt;item&gt;44&lt;/item&gt;&lt;item&gt;69&lt;/item&gt;&lt;item&gt;70&lt;/item&gt;&lt;item&gt;81&lt;/item&gt;&lt;item&gt;110&lt;/item&gt;&lt;item&gt;111&lt;/item&gt;&lt;item&gt;112&lt;/item&gt;&lt;/record-ids&gt;&lt;/item&gt;&lt;/Libraries&gt;"/>
  </w:docVars>
  <w:rsids>
    <w:rsidRoot w:val="00897FA5"/>
    <w:rsid w:val="0000056F"/>
    <w:rsid w:val="000052D1"/>
    <w:rsid w:val="00011D23"/>
    <w:rsid w:val="000133A2"/>
    <w:rsid w:val="000140A4"/>
    <w:rsid w:val="00023253"/>
    <w:rsid w:val="00024C0A"/>
    <w:rsid w:val="00030E6E"/>
    <w:rsid w:val="00034D1D"/>
    <w:rsid w:val="00035F7D"/>
    <w:rsid w:val="00053A64"/>
    <w:rsid w:val="00057052"/>
    <w:rsid w:val="000610F5"/>
    <w:rsid w:val="000623C6"/>
    <w:rsid w:val="000652F3"/>
    <w:rsid w:val="0007098C"/>
    <w:rsid w:val="00070F33"/>
    <w:rsid w:val="0007160B"/>
    <w:rsid w:val="000751FF"/>
    <w:rsid w:val="00093F2C"/>
    <w:rsid w:val="00096503"/>
    <w:rsid w:val="0009676B"/>
    <w:rsid w:val="000976B1"/>
    <w:rsid w:val="000A2B79"/>
    <w:rsid w:val="000A7C70"/>
    <w:rsid w:val="000B163F"/>
    <w:rsid w:val="000B1F3F"/>
    <w:rsid w:val="000B29F0"/>
    <w:rsid w:val="000B5931"/>
    <w:rsid w:val="000C0F2F"/>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23052"/>
    <w:rsid w:val="0013165F"/>
    <w:rsid w:val="00133EFE"/>
    <w:rsid w:val="00147C2A"/>
    <w:rsid w:val="001520C4"/>
    <w:rsid w:val="00152715"/>
    <w:rsid w:val="0015540E"/>
    <w:rsid w:val="001815A2"/>
    <w:rsid w:val="00182E0F"/>
    <w:rsid w:val="00184A14"/>
    <w:rsid w:val="00185EDC"/>
    <w:rsid w:val="00186759"/>
    <w:rsid w:val="00190B5F"/>
    <w:rsid w:val="00196DF0"/>
    <w:rsid w:val="001B4A59"/>
    <w:rsid w:val="001B5964"/>
    <w:rsid w:val="001B5AE5"/>
    <w:rsid w:val="001C18C8"/>
    <w:rsid w:val="001D3A4E"/>
    <w:rsid w:val="001E3927"/>
    <w:rsid w:val="001E562B"/>
    <w:rsid w:val="001E58D9"/>
    <w:rsid w:val="00203866"/>
    <w:rsid w:val="00211E35"/>
    <w:rsid w:val="00212E6B"/>
    <w:rsid w:val="00214128"/>
    <w:rsid w:val="0021479E"/>
    <w:rsid w:val="0022329A"/>
    <w:rsid w:val="00230647"/>
    <w:rsid w:val="0023597C"/>
    <w:rsid w:val="00237F54"/>
    <w:rsid w:val="00241894"/>
    <w:rsid w:val="002463B3"/>
    <w:rsid w:val="002550BE"/>
    <w:rsid w:val="00256CCC"/>
    <w:rsid w:val="00267B7B"/>
    <w:rsid w:val="002812A4"/>
    <w:rsid w:val="0028674F"/>
    <w:rsid w:val="00292D6F"/>
    <w:rsid w:val="00292DD8"/>
    <w:rsid w:val="00293E5A"/>
    <w:rsid w:val="00294234"/>
    <w:rsid w:val="00296F8E"/>
    <w:rsid w:val="00297BED"/>
    <w:rsid w:val="002A3461"/>
    <w:rsid w:val="002A719E"/>
    <w:rsid w:val="002B3A7F"/>
    <w:rsid w:val="002B515A"/>
    <w:rsid w:val="002B5CC4"/>
    <w:rsid w:val="002B5E56"/>
    <w:rsid w:val="002B6154"/>
    <w:rsid w:val="002C5B6D"/>
    <w:rsid w:val="002D3CB1"/>
    <w:rsid w:val="002E059C"/>
    <w:rsid w:val="002E1363"/>
    <w:rsid w:val="002E5917"/>
    <w:rsid w:val="002E61E9"/>
    <w:rsid w:val="002F3ACA"/>
    <w:rsid w:val="002F491B"/>
    <w:rsid w:val="002F5300"/>
    <w:rsid w:val="00300272"/>
    <w:rsid w:val="00301966"/>
    <w:rsid w:val="00306181"/>
    <w:rsid w:val="00312221"/>
    <w:rsid w:val="00312C8E"/>
    <w:rsid w:val="003145A2"/>
    <w:rsid w:val="00322AB3"/>
    <w:rsid w:val="003269C6"/>
    <w:rsid w:val="00327149"/>
    <w:rsid w:val="00330988"/>
    <w:rsid w:val="003347D9"/>
    <w:rsid w:val="00340C1C"/>
    <w:rsid w:val="00340C80"/>
    <w:rsid w:val="00344ABF"/>
    <w:rsid w:val="0034584C"/>
    <w:rsid w:val="00345C88"/>
    <w:rsid w:val="003467D2"/>
    <w:rsid w:val="00346F99"/>
    <w:rsid w:val="0035474E"/>
    <w:rsid w:val="0035669C"/>
    <w:rsid w:val="003576E6"/>
    <w:rsid w:val="00357D2E"/>
    <w:rsid w:val="0036116F"/>
    <w:rsid w:val="00361AF1"/>
    <w:rsid w:val="00374DAD"/>
    <w:rsid w:val="00375441"/>
    <w:rsid w:val="00375BF4"/>
    <w:rsid w:val="00381F01"/>
    <w:rsid w:val="00382A4A"/>
    <w:rsid w:val="00382B51"/>
    <w:rsid w:val="00385E11"/>
    <w:rsid w:val="003A0237"/>
    <w:rsid w:val="003A0827"/>
    <w:rsid w:val="003A160D"/>
    <w:rsid w:val="003A7066"/>
    <w:rsid w:val="003B0A16"/>
    <w:rsid w:val="003B54D7"/>
    <w:rsid w:val="003C22DE"/>
    <w:rsid w:val="003C3797"/>
    <w:rsid w:val="003C5029"/>
    <w:rsid w:val="003C5036"/>
    <w:rsid w:val="003E1A3A"/>
    <w:rsid w:val="003E7D93"/>
    <w:rsid w:val="003F41E2"/>
    <w:rsid w:val="004071CC"/>
    <w:rsid w:val="00410FFF"/>
    <w:rsid w:val="00413168"/>
    <w:rsid w:val="00414E48"/>
    <w:rsid w:val="00422417"/>
    <w:rsid w:val="00430B3C"/>
    <w:rsid w:val="00432140"/>
    <w:rsid w:val="00437748"/>
    <w:rsid w:val="00437DFC"/>
    <w:rsid w:val="004404A1"/>
    <w:rsid w:val="00441B22"/>
    <w:rsid w:val="00442C84"/>
    <w:rsid w:val="0044355A"/>
    <w:rsid w:val="00444CE0"/>
    <w:rsid w:val="00446E05"/>
    <w:rsid w:val="00463AF3"/>
    <w:rsid w:val="004754A8"/>
    <w:rsid w:val="0047614E"/>
    <w:rsid w:val="00483D85"/>
    <w:rsid w:val="00486FE4"/>
    <w:rsid w:val="004901DE"/>
    <w:rsid w:val="004939C9"/>
    <w:rsid w:val="00496D8D"/>
    <w:rsid w:val="004A4D36"/>
    <w:rsid w:val="004A664C"/>
    <w:rsid w:val="004A763C"/>
    <w:rsid w:val="004C4EA6"/>
    <w:rsid w:val="004D1134"/>
    <w:rsid w:val="004D3C1C"/>
    <w:rsid w:val="004D7A20"/>
    <w:rsid w:val="004E2A3E"/>
    <w:rsid w:val="004F13CE"/>
    <w:rsid w:val="004F3A00"/>
    <w:rsid w:val="004F43B3"/>
    <w:rsid w:val="004F4E17"/>
    <w:rsid w:val="004F5F7B"/>
    <w:rsid w:val="00505200"/>
    <w:rsid w:val="0051024E"/>
    <w:rsid w:val="005127DC"/>
    <w:rsid w:val="00515843"/>
    <w:rsid w:val="00521967"/>
    <w:rsid w:val="00524AC0"/>
    <w:rsid w:val="00525247"/>
    <w:rsid w:val="00530A90"/>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5671"/>
    <w:rsid w:val="0059737B"/>
    <w:rsid w:val="005A626C"/>
    <w:rsid w:val="005B02EC"/>
    <w:rsid w:val="005B3F32"/>
    <w:rsid w:val="005B45D9"/>
    <w:rsid w:val="005B5B35"/>
    <w:rsid w:val="005C775B"/>
    <w:rsid w:val="005C78C1"/>
    <w:rsid w:val="005C7E5B"/>
    <w:rsid w:val="005D1509"/>
    <w:rsid w:val="005D44B2"/>
    <w:rsid w:val="005D68A9"/>
    <w:rsid w:val="005E0526"/>
    <w:rsid w:val="005E392D"/>
    <w:rsid w:val="005E4AC8"/>
    <w:rsid w:val="005F2A5A"/>
    <w:rsid w:val="005F7F34"/>
    <w:rsid w:val="006158DC"/>
    <w:rsid w:val="006218DF"/>
    <w:rsid w:val="00623083"/>
    <w:rsid w:val="0062481F"/>
    <w:rsid w:val="00624AC6"/>
    <w:rsid w:val="006343C1"/>
    <w:rsid w:val="00637015"/>
    <w:rsid w:val="0063729C"/>
    <w:rsid w:val="00637863"/>
    <w:rsid w:val="006556AD"/>
    <w:rsid w:val="00657D87"/>
    <w:rsid w:val="00660553"/>
    <w:rsid w:val="00664278"/>
    <w:rsid w:val="006763A3"/>
    <w:rsid w:val="00680D32"/>
    <w:rsid w:val="006815B5"/>
    <w:rsid w:val="006825DF"/>
    <w:rsid w:val="00687492"/>
    <w:rsid w:val="00691510"/>
    <w:rsid w:val="0069185B"/>
    <w:rsid w:val="00695911"/>
    <w:rsid w:val="006A1BDD"/>
    <w:rsid w:val="006A67ED"/>
    <w:rsid w:val="006B0500"/>
    <w:rsid w:val="006B646A"/>
    <w:rsid w:val="006C0220"/>
    <w:rsid w:val="006C0332"/>
    <w:rsid w:val="006C2776"/>
    <w:rsid w:val="006D27D1"/>
    <w:rsid w:val="006D4C44"/>
    <w:rsid w:val="006D63B1"/>
    <w:rsid w:val="006D7692"/>
    <w:rsid w:val="006E30EE"/>
    <w:rsid w:val="006E5308"/>
    <w:rsid w:val="006F2D06"/>
    <w:rsid w:val="006F31FB"/>
    <w:rsid w:val="006F69D9"/>
    <w:rsid w:val="00701C71"/>
    <w:rsid w:val="007021A3"/>
    <w:rsid w:val="00703EDC"/>
    <w:rsid w:val="00706116"/>
    <w:rsid w:val="007142DA"/>
    <w:rsid w:val="00714651"/>
    <w:rsid w:val="00721BA4"/>
    <w:rsid w:val="007238B0"/>
    <w:rsid w:val="00723B8A"/>
    <w:rsid w:val="00724004"/>
    <w:rsid w:val="007307BC"/>
    <w:rsid w:val="0073172D"/>
    <w:rsid w:val="007337A4"/>
    <w:rsid w:val="007362CE"/>
    <w:rsid w:val="00736F9C"/>
    <w:rsid w:val="007452CB"/>
    <w:rsid w:val="0075108C"/>
    <w:rsid w:val="007543CE"/>
    <w:rsid w:val="00756D74"/>
    <w:rsid w:val="00760823"/>
    <w:rsid w:val="0076399E"/>
    <w:rsid w:val="007640CF"/>
    <w:rsid w:val="0077105C"/>
    <w:rsid w:val="00774C06"/>
    <w:rsid w:val="00776629"/>
    <w:rsid w:val="0077758E"/>
    <w:rsid w:val="00781EA2"/>
    <w:rsid w:val="0079067C"/>
    <w:rsid w:val="00797EDD"/>
    <w:rsid w:val="007A35CE"/>
    <w:rsid w:val="007A6233"/>
    <w:rsid w:val="007A7C9E"/>
    <w:rsid w:val="007B18DA"/>
    <w:rsid w:val="007B1A04"/>
    <w:rsid w:val="007B5189"/>
    <w:rsid w:val="007C0507"/>
    <w:rsid w:val="007C17E2"/>
    <w:rsid w:val="007C4A1C"/>
    <w:rsid w:val="007C54A1"/>
    <w:rsid w:val="007D1DA6"/>
    <w:rsid w:val="007D4970"/>
    <w:rsid w:val="007E0D66"/>
    <w:rsid w:val="007E2FAE"/>
    <w:rsid w:val="007E7562"/>
    <w:rsid w:val="007F36D4"/>
    <w:rsid w:val="007F3CD3"/>
    <w:rsid w:val="007F4E3F"/>
    <w:rsid w:val="00800EDF"/>
    <w:rsid w:val="008013ED"/>
    <w:rsid w:val="00802F99"/>
    <w:rsid w:val="00813155"/>
    <w:rsid w:val="008143C4"/>
    <w:rsid w:val="00814E48"/>
    <w:rsid w:val="0082005B"/>
    <w:rsid w:val="00823A5D"/>
    <w:rsid w:val="00825E78"/>
    <w:rsid w:val="00831DA6"/>
    <w:rsid w:val="00841CDF"/>
    <w:rsid w:val="00852D81"/>
    <w:rsid w:val="00855DAF"/>
    <w:rsid w:val="0085740F"/>
    <w:rsid w:val="008626B5"/>
    <w:rsid w:val="00865035"/>
    <w:rsid w:val="008818A6"/>
    <w:rsid w:val="00885957"/>
    <w:rsid w:val="00885DB7"/>
    <w:rsid w:val="0089076E"/>
    <w:rsid w:val="00893CC8"/>
    <w:rsid w:val="00897FA5"/>
    <w:rsid w:val="008A1093"/>
    <w:rsid w:val="008A175B"/>
    <w:rsid w:val="008A35B4"/>
    <w:rsid w:val="008B1ED9"/>
    <w:rsid w:val="008B50F5"/>
    <w:rsid w:val="008B5B0F"/>
    <w:rsid w:val="008C2CFB"/>
    <w:rsid w:val="008C5F7F"/>
    <w:rsid w:val="008D6171"/>
    <w:rsid w:val="008D6987"/>
    <w:rsid w:val="008D794C"/>
    <w:rsid w:val="008E345E"/>
    <w:rsid w:val="008E4345"/>
    <w:rsid w:val="008E5FAB"/>
    <w:rsid w:val="008E6DD5"/>
    <w:rsid w:val="008F26BD"/>
    <w:rsid w:val="008F6120"/>
    <w:rsid w:val="008F67A1"/>
    <w:rsid w:val="008F769B"/>
    <w:rsid w:val="00900AEB"/>
    <w:rsid w:val="00901147"/>
    <w:rsid w:val="00926C45"/>
    <w:rsid w:val="00930804"/>
    <w:rsid w:val="0093127D"/>
    <w:rsid w:val="00941996"/>
    <w:rsid w:val="00955939"/>
    <w:rsid w:val="00966D84"/>
    <w:rsid w:val="00970888"/>
    <w:rsid w:val="00974ACD"/>
    <w:rsid w:val="00976EDA"/>
    <w:rsid w:val="0098075F"/>
    <w:rsid w:val="00981027"/>
    <w:rsid w:val="00981D30"/>
    <w:rsid w:val="00983394"/>
    <w:rsid w:val="0098561F"/>
    <w:rsid w:val="00987F65"/>
    <w:rsid w:val="00990BFC"/>
    <w:rsid w:val="00991CA3"/>
    <w:rsid w:val="0099251E"/>
    <w:rsid w:val="009939A4"/>
    <w:rsid w:val="00995756"/>
    <w:rsid w:val="009967BC"/>
    <w:rsid w:val="009971ED"/>
    <w:rsid w:val="00997FE3"/>
    <w:rsid w:val="009A35CA"/>
    <w:rsid w:val="009B402C"/>
    <w:rsid w:val="009B72AE"/>
    <w:rsid w:val="009D4EE9"/>
    <w:rsid w:val="009D5CF0"/>
    <w:rsid w:val="009E4F13"/>
    <w:rsid w:val="009E6414"/>
    <w:rsid w:val="009E6E4E"/>
    <w:rsid w:val="009E791B"/>
    <w:rsid w:val="009F25EB"/>
    <w:rsid w:val="009F4B44"/>
    <w:rsid w:val="00A10B18"/>
    <w:rsid w:val="00A122F8"/>
    <w:rsid w:val="00A16BDF"/>
    <w:rsid w:val="00A25E77"/>
    <w:rsid w:val="00A309BD"/>
    <w:rsid w:val="00A33A4F"/>
    <w:rsid w:val="00A47DA0"/>
    <w:rsid w:val="00A51624"/>
    <w:rsid w:val="00A519CD"/>
    <w:rsid w:val="00A60E9F"/>
    <w:rsid w:val="00A67AA2"/>
    <w:rsid w:val="00A72E0F"/>
    <w:rsid w:val="00A757DB"/>
    <w:rsid w:val="00A76246"/>
    <w:rsid w:val="00A82186"/>
    <w:rsid w:val="00A830E0"/>
    <w:rsid w:val="00A85929"/>
    <w:rsid w:val="00A86A02"/>
    <w:rsid w:val="00A91859"/>
    <w:rsid w:val="00A91EF0"/>
    <w:rsid w:val="00AA63FC"/>
    <w:rsid w:val="00AB3979"/>
    <w:rsid w:val="00AD15FB"/>
    <w:rsid w:val="00AD5099"/>
    <w:rsid w:val="00AD66A7"/>
    <w:rsid w:val="00AD6EB1"/>
    <w:rsid w:val="00AD79ED"/>
    <w:rsid w:val="00AF5790"/>
    <w:rsid w:val="00AF7B1D"/>
    <w:rsid w:val="00B02AEF"/>
    <w:rsid w:val="00B03219"/>
    <w:rsid w:val="00B03D12"/>
    <w:rsid w:val="00B041F0"/>
    <w:rsid w:val="00B04450"/>
    <w:rsid w:val="00B0457F"/>
    <w:rsid w:val="00B0490E"/>
    <w:rsid w:val="00B054F4"/>
    <w:rsid w:val="00B12350"/>
    <w:rsid w:val="00B25ECB"/>
    <w:rsid w:val="00B271DB"/>
    <w:rsid w:val="00B2783C"/>
    <w:rsid w:val="00B347B2"/>
    <w:rsid w:val="00B37C3E"/>
    <w:rsid w:val="00B4142C"/>
    <w:rsid w:val="00B421AB"/>
    <w:rsid w:val="00B44767"/>
    <w:rsid w:val="00B516BA"/>
    <w:rsid w:val="00B62339"/>
    <w:rsid w:val="00B62851"/>
    <w:rsid w:val="00B6532B"/>
    <w:rsid w:val="00B66DBA"/>
    <w:rsid w:val="00B70301"/>
    <w:rsid w:val="00B73C4D"/>
    <w:rsid w:val="00B87A2F"/>
    <w:rsid w:val="00B94BE0"/>
    <w:rsid w:val="00B97962"/>
    <w:rsid w:val="00B97C33"/>
    <w:rsid w:val="00BA1202"/>
    <w:rsid w:val="00BB099E"/>
    <w:rsid w:val="00BB58A7"/>
    <w:rsid w:val="00BB58FA"/>
    <w:rsid w:val="00BB785E"/>
    <w:rsid w:val="00BC0CC7"/>
    <w:rsid w:val="00BC188E"/>
    <w:rsid w:val="00BC763F"/>
    <w:rsid w:val="00BD0F15"/>
    <w:rsid w:val="00BD4760"/>
    <w:rsid w:val="00BE15C0"/>
    <w:rsid w:val="00BE2458"/>
    <w:rsid w:val="00BE288B"/>
    <w:rsid w:val="00BE3082"/>
    <w:rsid w:val="00BE5969"/>
    <w:rsid w:val="00BE6467"/>
    <w:rsid w:val="00BF0DD1"/>
    <w:rsid w:val="00C068A9"/>
    <w:rsid w:val="00C108E9"/>
    <w:rsid w:val="00C175CE"/>
    <w:rsid w:val="00C24065"/>
    <w:rsid w:val="00C311C7"/>
    <w:rsid w:val="00C3613E"/>
    <w:rsid w:val="00C36397"/>
    <w:rsid w:val="00C3799B"/>
    <w:rsid w:val="00C44080"/>
    <w:rsid w:val="00C458A5"/>
    <w:rsid w:val="00C535AE"/>
    <w:rsid w:val="00C5680A"/>
    <w:rsid w:val="00C66D21"/>
    <w:rsid w:val="00C722C6"/>
    <w:rsid w:val="00C8691D"/>
    <w:rsid w:val="00C97F41"/>
    <w:rsid w:val="00CA0A74"/>
    <w:rsid w:val="00CA198F"/>
    <w:rsid w:val="00CA1BC0"/>
    <w:rsid w:val="00CA7710"/>
    <w:rsid w:val="00CA7E48"/>
    <w:rsid w:val="00CB04CC"/>
    <w:rsid w:val="00CB2F9A"/>
    <w:rsid w:val="00CB3B37"/>
    <w:rsid w:val="00CC31CF"/>
    <w:rsid w:val="00CC43E7"/>
    <w:rsid w:val="00CC5927"/>
    <w:rsid w:val="00CC59F4"/>
    <w:rsid w:val="00CC658F"/>
    <w:rsid w:val="00CC6CB8"/>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13D70"/>
    <w:rsid w:val="00D2173D"/>
    <w:rsid w:val="00D33718"/>
    <w:rsid w:val="00D34ACD"/>
    <w:rsid w:val="00D3712D"/>
    <w:rsid w:val="00D4032F"/>
    <w:rsid w:val="00D43270"/>
    <w:rsid w:val="00D461FC"/>
    <w:rsid w:val="00D53A0F"/>
    <w:rsid w:val="00D55053"/>
    <w:rsid w:val="00D557AA"/>
    <w:rsid w:val="00D557F4"/>
    <w:rsid w:val="00D57231"/>
    <w:rsid w:val="00D625B4"/>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31B5"/>
    <w:rsid w:val="00DC4AB2"/>
    <w:rsid w:val="00DC6E30"/>
    <w:rsid w:val="00DE24EB"/>
    <w:rsid w:val="00DF3CA7"/>
    <w:rsid w:val="00E07198"/>
    <w:rsid w:val="00E10F2E"/>
    <w:rsid w:val="00E22012"/>
    <w:rsid w:val="00E24D0D"/>
    <w:rsid w:val="00E32FC8"/>
    <w:rsid w:val="00E34DC0"/>
    <w:rsid w:val="00E360C2"/>
    <w:rsid w:val="00E52F67"/>
    <w:rsid w:val="00E54FCA"/>
    <w:rsid w:val="00E67EAE"/>
    <w:rsid w:val="00E70C29"/>
    <w:rsid w:val="00E70CB2"/>
    <w:rsid w:val="00E76E8F"/>
    <w:rsid w:val="00E77D66"/>
    <w:rsid w:val="00E816C3"/>
    <w:rsid w:val="00E83AB5"/>
    <w:rsid w:val="00E83D54"/>
    <w:rsid w:val="00E855E0"/>
    <w:rsid w:val="00E91351"/>
    <w:rsid w:val="00E943AC"/>
    <w:rsid w:val="00EA4EB0"/>
    <w:rsid w:val="00EA65B4"/>
    <w:rsid w:val="00EB0090"/>
    <w:rsid w:val="00EB1435"/>
    <w:rsid w:val="00EB25AE"/>
    <w:rsid w:val="00EB5AAE"/>
    <w:rsid w:val="00EC3276"/>
    <w:rsid w:val="00EC6E93"/>
    <w:rsid w:val="00ED10EE"/>
    <w:rsid w:val="00ED5363"/>
    <w:rsid w:val="00ED6F62"/>
    <w:rsid w:val="00ED725A"/>
    <w:rsid w:val="00EE5574"/>
    <w:rsid w:val="00EE60B6"/>
    <w:rsid w:val="00EF3E82"/>
    <w:rsid w:val="00EF6D66"/>
    <w:rsid w:val="00F01698"/>
    <w:rsid w:val="00F02835"/>
    <w:rsid w:val="00F03ADE"/>
    <w:rsid w:val="00F04F11"/>
    <w:rsid w:val="00F129F8"/>
    <w:rsid w:val="00F17DF1"/>
    <w:rsid w:val="00F2459F"/>
    <w:rsid w:val="00F25F63"/>
    <w:rsid w:val="00F26C7F"/>
    <w:rsid w:val="00F35192"/>
    <w:rsid w:val="00F4012A"/>
    <w:rsid w:val="00F51F22"/>
    <w:rsid w:val="00F57059"/>
    <w:rsid w:val="00F63D5B"/>
    <w:rsid w:val="00F64CC0"/>
    <w:rsid w:val="00F66652"/>
    <w:rsid w:val="00F66A0C"/>
    <w:rsid w:val="00F715BC"/>
    <w:rsid w:val="00F72DF8"/>
    <w:rsid w:val="00F7503A"/>
    <w:rsid w:val="00F77B3E"/>
    <w:rsid w:val="00F80187"/>
    <w:rsid w:val="00F827F9"/>
    <w:rsid w:val="00F847B3"/>
    <w:rsid w:val="00F8569E"/>
    <w:rsid w:val="00F93781"/>
    <w:rsid w:val="00F93E3B"/>
    <w:rsid w:val="00F97CB1"/>
    <w:rsid w:val="00FA2BAD"/>
    <w:rsid w:val="00FB05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44FA3D66-5E3A-4EF6-98AB-B912455C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ho.int/healthinfo/mortality_data/en/"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91C15-EBB0-40BC-89F4-A3B3A6CF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4</Pages>
  <Words>2572</Words>
  <Characters>15695</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158</cp:revision>
  <dcterms:created xsi:type="dcterms:W3CDTF">2016-11-30T09:15:00Z</dcterms:created>
  <dcterms:modified xsi:type="dcterms:W3CDTF">2017-07-04T13:46:00Z</dcterms:modified>
</cp:coreProperties>
</file>