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A0" w:rsidRPr="008E1DFC" w:rsidRDefault="005B75A0" w:rsidP="005B75A0">
      <w:pPr>
        <w:rPr>
          <w:rFonts w:ascii="Garamond" w:hAnsi="Garamond" w:cs="Times New Roman"/>
          <w:b/>
          <w:sz w:val="24"/>
          <w:szCs w:val="24"/>
          <w:lang w:val="en-US"/>
        </w:rPr>
      </w:pPr>
      <w:r w:rsidRPr="008E1DFC">
        <w:rPr>
          <w:rFonts w:ascii="Garamond" w:hAnsi="Garamond" w:cs="Times New Roman"/>
          <w:b/>
          <w:sz w:val="24"/>
          <w:szCs w:val="24"/>
          <w:lang w:val="en-US"/>
        </w:rPr>
        <w:t>Supplemental information file for the paper ‘The increase in lifespan inequality in inter-war female cohorts in Denmark?’</w:t>
      </w:r>
    </w:p>
    <w:p w:rsidR="005B75A0" w:rsidRPr="008E1DFC" w:rsidRDefault="005B75A0" w:rsidP="005B75A0">
      <w:pPr>
        <w:rPr>
          <w:rFonts w:ascii="Garamond" w:hAnsi="Garamond" w:cs="Times New Roman"/>
          <w:sz w:val="24"/>
          <w:szCs w:val="24"/>
          <w:lang w:val="en-US"/>
        </w:rPr>
      </w:pPr>
      <w:r w:rsidRPr="008E1DFC">
        <w:rPr>
          <w:rFonts w:ascii="Garamond" w:hAnsi="Garamond" w:cs="Times New Roman"/>
          <w:b/>
          <w:sz w:val="24"/>
          <w:szCs w:val="24"/>
          <w:lang w:val="en-US"/>
        </w:rPr>
        <w:t>Authors:</w:t>
      </w:r>
      <w:r w:rsidRPr="008E1DFC">
        <w:rPr>
          <w:rFonts w:ascii="Garamond" w:hAnsi="Garamond" w:cs="Times New Roman"/>
          <w:sz w:val="24"/>
          <w:szCs w:val="24"/>
          <w:lang w:val="en-US"/>
        </w:rPr>
        <w:t xml:space="preserve"> José Manuel Aburto </w:t>
      </w:r>
      <w:r w:rsidRPr="008E1DFC">
        <w:rPr>
          <w:rFonts w:ascii="Garamond" w:hAnsi="Garamond" w:cs="Times New Roman"/>
          <w:sz w:val="24"/>
          <w:szCs w:val="24"/>
          <w:vertAlign w:val="superscript"/>
          <w:lang w:val="en-US"/>
        </w:rPr>
        <w:t>a*</w:t>
      </w:r>
      <w:r w:rsidRPr="008E1DFC">
        <w:rPr>
          <w:rFonts w:ascii="Garamond" w:hAnsi="Garamond" w:cs="Times New Roman"/>
          <w:sz w:val="24"/>
          <w:szCs w:val="24"/>
          <w:lang w:val="en-US"/>
        </w:rPr>
        <w:t xml:space="preserve">, Maarten Wensink </w:t>
      </w:r>
      <w:r w:rsidRPr="008E1DFC">
        <w:rPr>
          <w:rFonts w:ascii="Garamond" w:hAnsi="Garamond" w:cs="Times New Roman"/>
          <w:sz w:val="24"/>
          <w:szCs w:val="24"/>
          <w:vertAlign w:val="superscript"/>
          <w:lang w:val="en-US"/>
        </w:rPr>
        <w:t>a*</w:t>
      </w:r>
      <w:r w:rsidRPr="008E1DFC">
        <w:rPr>
          <w:rFonts w:ascii="Garamond" w:hAnsi="Garamond" w:cs="Times New Roman"/>
          <w:sz w:val="24"/>
          <w:szCs w:val="24"/>
          <w:lang w:val="en-US"/>
        </w:rPr>
        <w:t xml:space="preserve">, James W. Vaupel </w:t>
      </w:r>
      <w:proofErr w:type="spellStart"/>
      <w:r w:rsidRPr="008E1DFC">
        <w:rPr>
          <w:rFonts w:ascii="Garamond" w:hAnsi="Garamond" w:cs="Times New Roman"/>
          <w:sz w:val="24"/>
          <w:szCs w:val="24"/>
          <w:vertAlign w:val="superscript"/>
          <w:lang w:val="en-US"/>
        </w:rPr>
        <w:t>a,c</w:t>
      </w:r>
      <w:proofErr w:type="spellEnd"/>
      <w:r w:rsidRPr="008E1DFC">
        <w:rPr>
          <w:rFonts w:ascii="Garamond" w:hAnsi="Garamond" w:cs="Times New Roman"/>
          <w:sz w:val="24"/>
          <w:szCs w:val="24"/>
          <w:lang w:val="en-US"/>
        </w:rPr>
        <w:t xml:space="preserve"> &amp; Rune Lindahl-Jacobsen </w:t>
      </w:r>
      <w:r w:rsidRPr="008E1DFC">
        <w:rPr>
          <w:rFonts w:ascii="Garamond" w:hAnsi="Garamond" w:cs="Times New Roman"/>
          <w:sz w:val="24"/>
          <w:szCs w:val="24"/>
          <w:vertAlign w:val="superscript"/>
          <w:lang w:val="en-US"/>
        </w:rPr>
        <w:t>a</w:t>
      </w:r>
      <w:r w:rsidRPr="008E1DFC">
        <w:rPr>
          <w:rFonts w:ascii="Garamond" w:hAnsi="Garamond" w:cs="Times New Roman"/>
          <w:sz w:val="24"/>
          <w:szCs w:val="24"/>
          <w:vertAlign w:val="superscript"/>
          <w:lang w:val="en-US"/>
        </w:rPr>
        <w:tab/>
      </w:r>
    </w:p>
    <w:p w:rsidR="005B75A0" w:rsidRPr="008E1DFC" w:rsidRDefault="005B75A0" w:rsidP="005B75A0">
      <w:pPr>
        <w:rPr>
          <w:rFonts w:ascii="Garamond" w:hAnsi="Garamond" w:cs="Times New Roman"/>
          <w:b/>
          <w:sz w:val="24"/>
          <w:szCs w:val="24"/>
          <w:lang w:val="en-US"/>
        </w:rPr>
      </w:pPr>
      <w:r w:rsidRPr="008E1DFC">
        <w:rPr>
          <w:rFonts w:ascii="Garamond" w:hAnsi="Garamond" w:cs="Times New Roman"/>
          <w:b/>
          <w:sz w:val="24"/>
          <w:szCs w:val="24"/>
          <w:lang w:val="en-US"/>
        </w:rPr>
        <w:t>Author affiliations:</w:t>
      </w:r>
    </w:p>
    <w:p w:rsidR="005B75A0" w:rsidRPr="008E1DFC" w:rsidRDefault="005B75A0" w:rsidP="005B75A0">
      <w:pPr>
        <w:rPr>
          <w:rFonts w:ascii="Garamond" w:hAnsi="Garamond" w:cs="Times New Roman"/>
          <w:sz w:val="24"/>
          <w:szCs w:val="24"/>
          <w:lang w:val="en-US"/>
        </w:rPr>
      </w:pPr>
      <w:r w:rsidRPr="008E1DFC">
        <w:rPr>
          <w:rFonts w:ascii="Garamond" w:hAnsi="Garamond" w:cs="Times New Roman"/>
          <w:sz w:val="24"/>
          <w:szCs w:val="24"/>
          <w:vertAlign w:val="superscript"/>
          <w:lang w:val="en-US"/>
        </w:rPr>
        <w:t xml:space="preserve">a </w:t>
      </w:r>
      <w:r w:rsidRPr="008E1DFC">
        <w:rPr>
          <w:rFonts w:ascii="Garamond" w:hAnsi="Garamond" w:cs="Times New Roman"/>
          <w:sz w:val="24"/>
          <w:szCs w:val="24"/>
          <w:lang w:val="en-US"/>
        </w:rPr>
        <w:t>Max-Planck Odense Center on the Biodemography of Aging, Department of Public Health- Epidemiology, Biostatistics and Biodemography, University of Southern Denmark, Odense 5000, Denmark.</w:t>
      </w:r>
    </w:p>
    <w:p w:rsidR="005B75A0" w:rsidRPr="008E1DFC" w:rsidRDefault="005B75A0" w:rsidP="005B75A0">
      <w:pPr>
        <w:rPr>
          <w:rFonts w:ascii="Garamond" w:hAnsi="Garamond" w:cs="Times New Roman"/>
          <w:sz w:val="24"/>
          <w:szCs w:val="24"/>
          <w:lang w:val="en-US"/>
        </w:rPr>
      </w:pPr>
      <w:r w:rsidRPr="008E1DFC">
        <w:rPr>
          <w:rFonts w:ascii="Garamond" w:hAnsi="Garamond" w:cs="Times New Roman"/>
          <w:sz w:val="24"/>
          <w:szCs w:val="24"/>
          <w:vertAlign w:val="superscript"/>
          <w:lang w:val="en-US"/>
        </w:rPr>
        <w:t xml:space="preserve">c </w:t>
      </w:r>
      <w:r w:rsidRPr="008E1DFC">
        <w:rPr>
          <w:rFonts w:ascii="Garamond" w:hAnsi="Garamond" w:cs="Times New Roman"/>
          <w:sz w:val="24"/>
          <w:szCs w:val="24"/>
          <w:lang w:val="en-US"/>
        </w:rPr>
        <w:t>Max Planck Institute for Demographic Research, Rostock 18057, Germany</w:t>
      </w:r>
    </w:p>
    <w:p w:rsidR="005B75A0" w:rsidRPr="008E1DFC" w:rsidRDefault="005B75A0" w:rsidP="005B75A0">
      <w:pPr>
        <w:rPr>
          <w:rFonts w:ascii="Garamond" w:hAnsi="Garamond" w:cs="Times New Roman"/>
          <w:sz w:val="24"/>
          <w:szCs w:val="24"/>
          <w:lang w:val="en-US"/>
        </w:rPr>
      </w:pPr>
      <w:r w:rsidRPr="008E1DFC">
        <w:rPr>
          <w:rFonts w:ascii="Garamond" w:hAnsi="Garamond" w:cs="Times New Roman"/>
          <w:sz w:val="24"/>
          <w:szCs w:val="24"/>
          <w:lang w:val="en-US"/>
        </w:rPr>
        <w:t>* These authors contributed equally to the paper</w:t>
      </w:r>
    </w:p>
    <w:p w:rsidR="005B75A0" w:rsidRPr="008E1DFC" w:rsidRDefault="005B75A0" w:rsidP="005B75A0">
      <w:pPr>
        <w:rPr>
          <w:rFonts w:ascii="Garamond" w:hAnsi="Garamond" w:cs="Times New Roman"/>
          <w:b/>
          <w:sz w:val="24"/>
          <w:szCs w:val="24"/>
          <w:lang w:val="en-US"/>
        </w:rPr>
      </w:pPr>
      <w:r w:rsidRPr="008E1DFC">
        <w:rPr>
          <w:rFonts w:ascii="Garamond" w:hAnsi="Garamond" w:cs="Times New Roman"/>
          <w:b/>
          <w:sz w:val="24"/>
          <w:szCs w:val="24"/>
          <w:lang w:val="en-US"/>
        </w:rPr>
        <w:t xml:space="preserve">Keywords: </w:t>
      </w:r>
      <w:r w:rsidRPr="008E1DFC">
        <w:rPr>
          <w:rFonts w:ascii="Garamond" w:hAnsi="Garamond" w:cs="Times New Roman"/>
          <w:sz w:val="24"/>
          <w:szCs w:val="24"/>
          <w:lang w:val="en-US"/>
        </w:rPr>
        <w:t>Demography, life expectancy, lifespan variability, aging, mortality.</w:t>
      </w:r>
    </w:p>
    <w:p w:rsidR="005B75A0" w:rsidRPr="008E1DFC" w:rsidRDefault="005B75A0" w:rsidP="005B75A0">
      <w:pPr>
        <w:jc w:val="center"/>
        <w:rPr>
          <w:rFonts w:ascii="Garamond" w:hAnsi="Garamond" w:cs="Times New Roman"/>
          <w:b/>
          <w:sz w:val="24"/>
          <w:szCs w:val="24"/>
          <w:lang w:val="en-US"/>
        </w:rPr>
      </w:pPr>
    </w:p>
    <w:p w:rsidR="005B75A0" w:rsidRPr="008E1DFC" w:rsidRDefault="005B75A0" w:rsidP="005B75A0">
      <w:pPr>
        <w:jc w:val="center"/>
        <w:rPr>
          <w:rFonts w:ascii="Garamond" w:hAnsi="Garamond" w:cs="Times New Roman"/>
          <w:b/>
          <w:sz w:val="24"/>
          <w:szCs w:val="24"/>
          <w:lang w:val="en-US"/>
        </w:rPr>
      </w:pPr>
      <w:r w:rsidRPr="008E1DFC">
        <w:rPr>
          <w:rFonts w:ascii="Garamond" w:hAnsi="Garamond" w:cs="Times New Roman"/>
          <w:b/>
          <w:sz w:val="24"/>
          <w:szCs w:val="24"/>
          <w:lang w:val="en-US"/>
        </w:rPr>
        <w:t xml:space="preserve">Abstract </w:t>
      </w:r>
    </w:p>
    <w:p w:rsidR="005B75A0" w:rsidRPr="008E1DFC" w:rsidRDefault="005B75A0" w:rsidP="005B75A0">
      <w:pPr>
        <w:jc w:val="both"/>
        <w:rPr>
          <w:rFonts w:ascii="Garamond" w:hAnsi="Garamond" w:cs="Times New Roman"/>
          <w:b/>
          <w:sz w:val="24"/>
          <w:szCs w:val="24"/>
          <w:lang w:val="en-US"/>
        </w:rPr>
      </w:pPr>
      <w:r w:rsidRPr="008E1DFC">
        <w:rPr>
          <w:rFonts w:ascii="Garamond" w:hAnsi="Garamond" w:cs="Times New Roman"/>
          <w:b/>
          <w:sz w:val="24"/>
          <w:szCs w:val="24"/>
          <w:lang w:val="en-US"/>
        </w:rPr>
        <w:t>Background</w:t>
      </w:r>
    </w:p>
    <w:p w:rsidR="005B75A0" w:rsidRPr="008E1DFC" w:rsidRDefault="005B75A0" w:rsidP="005B75A0">
      <w:pPr>
        <w:jc w:val="both"/>
        <w:rPr>
          <w:rFonts w:ascii="Garamond" w:hAnsi="Garamond" w:cs="Times New Roman"/>
          <w:b/>
          <w:sz w:val="24"/>
          <w:szCs w:val="24"/>
          <w:lang w:val="en-US"/>
        </w:rPr>
      </w:pPr>
      <w:r w:rsidRPr="008E1DFC">
        <w:rPr>
          <w:rFonts w:ascii="Garamond" w:hAnsi="Garamond" w:cs="Times New Roman"/>
          <w:b/>
          <w:sz w:val="24"/>
          <w:szCs w:val="24"/>
          <w:lang w:val="en-US"/>
        </w:rPr>
        <w:t>Methods</w:t>
      </w:r>
    </w:p>
    <w:p w:rsidR="005B75A0" w:rsidRPr="008E1DFC" w:rsidRDefault="005B75A0" w:rsidP="005B75A0">
      <w:pPr>
        <w:jc w:val="both"/>
        <w:rPr>
          <w:rFonts w:ascii="Garamond" w:hAnsi="Garamond" w:cs="Times New Roman"/>
          <w:b/>
          <w:sz w:val="24"/>
          <w:szCs w:val="24"/>
          <w:lang w:val="en-US"/>
        </w:rPr>
      </w:pPr>
      <w:r w:rsidRPr="008E1DFC">
        <w:rPr>
          <w:rFonts w:ascii="Garamond" w:hAnsi="Garamond" w:cs="Times New Roman"/>
          <w:b/>
          <w:sz w:val="24"/>
          <w:szCs w:val="24"/>
          <w:lang w:val="en-US"/>
        </w:rPr>
        <w:t>Results</w:t>
      </w:r>
    </w:p>
    <w:p w:rsidR="005B75A0" w:rsidRPr="008E1DFC" w:rsidRDefault="005B75A0" w:rsidP="005B75A0">
      <w:pPr>
        <w:jc w:val="both"/>
        <w:rPr>
          <w:rFonts w:ascii="Garamond" w:hAnsi="Garamond" w:cs="Times New Roman"/>
          <w:b/>
          <w:sz w:val="24"/>
          <w:szCs w:val="24"/>
          <w:lang w:val="en-US"/>
        </w:rPr>
      </w:pPr>
      <w:r w:rsidRPr="008E1DFC">
        <w:rPr>
          <w:rFonts w:ascii="Garamond" w:hAnsi="Garamond" w:cs="Times New Roman"/>
          <w:b/>
          <w:sz w:val="24"/>
          <w:szCs w:val="24"/>
          <w:lang w:val="en-US"/>
        </w:rPr>
        <w:t>Conclusions</w:t>
      </w: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w:t>
            </w:r>
            <w:proofErr w:type="spellStart"/>
            <w:r w:rsidRPr="008E1DFC">
              <w:rPr>
                <w:rFonts w:ascii="Garamond" w:hAnsi="Garamond"/>
                <w:b/>
              </w:rPr>
              <w:t>Sweden</w:t>
            </w:r>
            <w:proofErr w:type="spellEnd"/>
            <w:r w:rsidRPr="008E1DFC">
              <w:rPr>
                <w:rFonts w:ascii="Garamond" w:hAnsi="Garamond"/>
                <w:b/>
              </w:rPr>
              <w:t xml:space="preserve">, </w:t>
            </w:r>
            <w:proofErr w:type="spellStart"/>
            <w:r w:rsidRPr="008E1DFC">
              <w:rPr>
                <w:rFonts w:ascii="Garamond" w:hAnsi="Garamond"/>
                <w:b/>
              </w:rPr>
              <w:t>Norway</w:t>
            </w:r>
            <w:proofErr w:type="spellEnd"/>
            <w:r w:rsidRPr="008E1DFC">
              <w:rPr>
                <w:rFonts w:ascii="Garamond" w:hAnsi="Garamond"/>
                <w:b/>
              </w:rPr>
              <w:t>)</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Borders>
              <w:top w:val="single" w:sz="8" w:space="0" w:color="auto"/>
            </w:tcBorders>
          </w:tcPr>
          <w:p w:rsidR="006E0F64" w:rsidRPr="008E1DFC" w:rsidRDefault="006E0F64" w:rsidP="006E0F64">
            <w:pPr>
              <w:spacing w:line="360" w:lineRule="auto"/>
              <w:rPr>
                <w:rFonts w:ascii="Garamond" w:hAnsi="Garamond"/>
              </w:rPr>
            </w:pPr>
            <w:proofErr w:type="spellStart"/>
            <w:r w:rsidRPr="008E1DFC">
              <w:rPr>
                <w:rFonts w:ascii="Garamond" w:hAnsi="Garamond"/>
              </w:rPr>
              <w:t>Infectious</w:t>
            </w:r>
            <w:proofErr w:type="spellEnd"/>
            <w:r w:rsidRPr="008E1DFC">
              <w:rPr>
                <w:rFonts w:ascii="Garamond" w:hAnsi="Garamond"/>
              </w:rPr>
              <w:t>, non-</w:t>
            </w:r>
            <w:proofErr w:type="spellStart"/>
            <w:r w:rsidRPr="008E1DFC">
              <w:rPr>
                <w:rFonts w:ascii="Garamond" w:hAnsi="Garamond"/>
              </w:rPr>
              <w:t>respiratory</w:t>
            </w:r>
            <w:proofErr w:type="spellEnd"/>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A001-A043</w:t>
            </w:r>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A001-A044</w:t>
            </w:r>
          </w:p>
        </w:tc>
        <w:tc>
          <w:tcPr>
            <w:tcW w:w="252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B01-B07, B184-B185</w:t>
            </w:r>
          </w:p>
        </w:tc>
        <w:tc>
          <w:tcPr>
            <w:tcW w:w="405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A00-B89, B99</w:t>
            </w:r>
          </w:p>
        </w:tc>
      </w:tr>
      <w:tr w:rsidR="006E0F64" w:rsidRPr="008E1DFC" w:rsidTr="006E0F64">
        <w:tc>
          <w:tcPr>
            <w:tcW w:w="2690" w:type="dxa"/>
          </w:tcPr>
          <w:p w:rsidR="006E0F64" w:rsidRPr="008E1DFC" w:rsidRDefault="006E0F64" w:rsidP="006E0F64">
            <w:pPr>
              <w:spacing w:line="360" w:lineRule="auto"/>
              <w:rPr>
                <w:rFonts w:ascii="Garamond" w:hAnsi="Garamond"/>
              </w:rPr>
            </w:pPr>
            <w:r w:rsidRPr="008E1DFC">
              <w:rPr>
                <w:rFonts w:ascii="Garamond" w:hAnsi="Garamond"/>
              </w:rPr>
              <w:t>Cancer, amenable to smoking</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C015CB"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amenable to smoking</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Diabetes mellitus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A063</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A064</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B181</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E10-E14</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A070, A079-A086</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A080-A088</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B25-B30</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C015CB"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A060-A062, A064-A069, A071-A078, A098-A137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A061-A063, A065-A079, A097-A137</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B15-B17, B180, B182-B183, B189, B19-B23, B33-B46</w:t>
            </w:r>
          </w:p>
        </w:tc>
        <w:tc>
          <w:tcPr>
            <w:tcW w:w="4050" w:type="dxa"/>
          </w:tcPr>
          <w:p w:rsidR="006E0F64" w:rsidRPr="008E1DFC" w:rsidRDefault="006E0F64" w:rsidP="006E0F64">
            <w:pPr>
              <w:spacing w:line="360" w:lineRule="auto"/>
              <w:rPr>
                <w:rFonts w:ascii="Garamond" w:hAnsi="Garamond"/>
                <w:lang w:val="es-MX"/>
              </w:rPr>
            </w:pPr>
            <w:r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8E1DFC" w:rsidRDefault="0053340E">
      <w:pPr>
        <w:rPr>
          <w:rFonts w:ascii="Garamond" w:hAnsi="Garamond" w:cs="Times New Roman"/>
          <w:b/>
          <w:lang w:val="en-US"/>
        </w:rPr>
      </w:pPr>
      <w:r w:rsidRPr="008E1DFC">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 xml:space="preserve">Primary malignancies that are amenable to smoking are found predominantly in the respiratory, digestive and genitourinary tracts, in line with the rule that where smoke or its products pass, cancer arises. Primary malignancies in the gastrointestinal tract from mouth to anus were classified as amenable to smoking, as was the respiratory tract.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were classified as being amenable to smoking. </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 xml:space="preserve">The resolution of the ICD classification has grown substantially over the years. As we analyzed deaths from 1960 through 2014, we used ICD-7 through ICD-10. The specifically identified categories “cancer amenable to smoking” and “respiratory infectious”, are based on the smallest common denominator: only if a specific disease could be separately identified across ICD versions did we include it in these groups. For instance, myeloid leukemia has been associated with smoking, but ICD-7 and -8 contain only a category ‘leukemia’, without </w:t>
      </w:r>
      <w:proofErr w:type="spellStart"/>
      <w:r w:rsidRPr="008E1DFC">
        <w:rPr>
          <w:rFonts w:ascii="Garamond" w:hAnsi="Garamond" w:cs="Times New Roman"/>
          <w:sz w:val="24"/>
          <w:szCs w:val="24"/>
          <w:lang w:val="en-US"/>
        </w:rPr>
        <w:t>subclassification</w:t>
      </w:r>
      <w:proofErr w:type="spellEnd"/>
      <w:r w:rsidRPr="008E1DFC">
        <w:rPr>
          <w:rFonts w:ascii="Garamond" w:hAnsi="Garamond" w:cs="Times New Roman"/>
          <w:sz w:val="24"/>
          <w:szCs w:val="24"/>
          <w:lang w:val="en-US"/>
        </w:rPr>
        <w:t>. Hence, for reasons of consistency across classifications, myeloid leukemia is considered as not amenable to smoking throughout. Also, ICD-7 and ICD-8 have an overall rest group for malignant neoplasms, while ICD-9 and ICD-10 have also a rest group for each tract, if known. Because ICD-7 and ICD-8 do not have these detailed rest groups, rest groups were classified as not amenable to smoking for all ICDs.</w:t>
      </w:r>
    </w:p>
    <w:p w:rsidR="0053340E" w:rsidRPr="008E1DFC" w:rsidRDefault="0053340E">
      <w:pPr>
        <w:rPr>
          <w:rFonts w:ascii="Garamond" w:hAnsi="Garamond" w:cs="Times New Roman"/>
          <w:b/>
          <w:lang w:val="en-US"/>
        </w:rPr>
      </w:pPr>
    </w:p>
    <w:p w:rsidR="00B0575B" w:rsidRPr="008E1DFC" w:rsidRDefault="00B0575B">
      <w:pPr>
        <w:rPr>
          <w:rFonts w:ascii="Garamond" w:hAnsi="Garamond" w:cs="Times New Roman"/>
          <w:b/>
          <w:lang w:val="en-US"/>
        </w:rPr>
      </w:pPr>
      <w:r w:rsidRPr="008E1DFC">
        <w:rPr>
          <w:rFonts w:ascii="Garamond" w:hAnsi="Garamond" w:cs="Times New Roman"/>
          <w:b/>
          <w:lang w:val="en-US"/>
        </w:rPr>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Pr="008E1DFC" w:rsidRDefault="00B0575B">
      <w:pPr>
        <w:rPr>
          <w:rFonts w:ascii="Garamond" w:hAnsi="Garamond" w:cs="Times New Roman"/>
          <w:lang w:val="en-US"/>
        </w:rPr>
      </w:pPr>
      <w:r w:rsidRPr="008E1DFC">
        <w:rPr>
          <w:rFonts w:ascii="Garamond" w:hAnsi="Garamond"/>
          <w:sz w:val="24"/>
          <w:szCs w:val="24"/>
          <w:lang w:val="en-US"/>
        </w:rPr>
        <w:lastRenderedPageBreak/>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A87A6B" w:rsidRPr="008E1DFC" w:rsidRDefault="00A87A6B">
      <w:pPr>
        <w:rPr>
          <w:rFonts w:ascii="Garamond" w:hAnsi="Garamond" w:cs="Times New Roman"/>
          <w:lang w:val="en-US"/>
        </w:rPr>
      </w:pPr>
      <w:r w:rsidRPr="008E1DFC">
        <w:rPr>
          <w:rFonts w:ascii="Garamond" w:hAnsi="Garamond" w:cs="Times New Roman"/>
          <w:lang w:val="en-US"/>
        </w:rPr>
        <w:br w:type="page"/>
      </w:r>
    </w:p>
    <w:p w:rsidR="00A87A6B" w:rsidRPr="008E1DFC" w:rsidRDefault="00C015CB">
      <w:pPr>
        <w:rPr>
          <w:rFonts w:ascii="Garamond" w:hAnsi="Garamond" w:cs="Times New Roman"/>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A87A6B"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bookmarkStart w:id="0" w:name="_GoBack"/>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bookmarkEnd w:id="0"/>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B6D4A"/>
    <w:rsid w:val="00203D0B"/>
    <w:rsid w:val="002E0E2C"/>
    <w:rsid w:val="0045547E"/>
    <w:rsid w:val="0053340E"/>
    <w:rsid w:val="005B75A0"/>
    <w:rsid w:val="006E0F64"/>
    <w:rsid w:val="00821094"/>
    <w:rsid w:val="008E1DFC"/>
    <w:rsid w:val="0095711F"/>
    <w:rsid w:val="00A87A6B"/>
    <w:rsid w:val="00B0575B"/>
    <w:rsid w:val="00B54A3C"/>
    <w:rsid w:val="00B62D3D"/>
    <w:rsid w:val="00C015CB"/>
    <w:rsid w:val="00C603B3"/>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15</cp:revision>
  <dcterms:created xsi:type="dcterms:W3CDTF">2017-07-07T08:40:00Z</dcterms:created>
  <dcterms:modified xsi:type="dcterms:W3CDTF">2017-10-24T09:44:00Z</dcterms:modified>
</cp:coreProperties>
</file>