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74B9D74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r w:rsidR="00A207CD">
        <w:rPr>
          <w:rFonts w:ascii="Garamond" w:hAnsi="Garamond" w:cs="Times New Roman"/>
          <w:b/>
          <w:sz w:val="26"/>
          <w:szCs w:val="26"/>
        </w:rPr>
        <w:t xml:space="preserve">: </w:t>
      </w:r>
      <w:r w:rsidR="00795785">
        <w:rPr>
          <w:rFonts w:ascii="Garamond" w:hAnsi="Garamond" w:cs="Times New Roman"/>
          <w:b/>
          <w:sz w:val="26"/>
          <w:szCs w:val="26"/>
        </w:rPr>
        <w:t>A</w:t>
      </w:r>
      <w:r w:rsidR="00A207CD">
        <w:rPr>
          <w:rFonts w:ascii="Garamond" w:hAnsi="Garamond" w:cs="Times New Roman"/>
          <w:b/>
          <w:sz w:val="26"/>
          <w:szCs w:val="26"/>
        </w:rPr>
        <w:t xml:space="preserve"> cause of death analysis.</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4310A81" w:rsidR="00FB05AD" w:rsidRPr="00B2566E" w:rsidRDefault="00FB05AD" w:rsidP="00FB05AD">
      <w:pPr>
        <w:rPr>
          <w:rFonts w:ascii="Garamond" w:hAnsi="Garamond" w:cs="Times New Roman"/>
          <w:sz w:val="26"/>
          <w:szCs w:val="26"/>
        </w:rPr>
      </w:pPr>
      <w:proofErr w:type="spellStart"/>
      <w:r w:rsidRPr="00B2566E">
        <w:rPr>
          <w:rFonts w:ascii="Garamond" w:hAnsi="Garamond" w:cs="Times New Roman"/>
          <w:sz w:val="26"/>
          <w:szCs w:val="26"/>
          <w:vertAlign w:val="superscript"/>
        </w:rPr>
        <w:t>a</w:t>
      </w:r>
      <w:proofErr w:type="spellEnd"/>
      <w:r w:rsidRPr="00B2566E">
        <w:rPr>
          <w:rFonts w:ascii="Garamond" w:hAnsi="Garamond" w:cs="Times New Roman"/>
          <w:sz w:val="26"/>
          <w:szCs w:val="26"/>
          <w:vertAlign w:val="superscript"/>
        </w:rPr>
        <w:t xml:space="preserve">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Epidemiology,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59C7384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w:t>
      </w:r>
      <w:r w:rsidR="00BE66EE">
        <w:rPr>
          <w:rFonts w:ascii="Garamond" w:hAnsi="Garamond" w:cs="Times New Roman"/>
          <w:sz w:val="26"/>
          <w:szCs w:val="26"/>
        </w:rPr>
        <w:t xml:space="preserve">health </w:t>
      </w:r>
      <w:r w:rsidR="00D70E80" w:rsidRPr="00B2566E">
        <w:rPr>
          <w:rFonts w:ascii="Garamond" w:hAnsi="Garamond" w:cs="Times New Roman"/>
          <w:sz w:val="26"/>
          <w:szCs w:val="26"/>
        </w:rPr>
        <w:t>policy goals. Danish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w:t>
      </w:r>
      <w:r w:rsidR="00944787">
        <w:rPr>
          <w:rFonts w:ascii="Garamond" w:hAnsi="Garamond" w:cs="Times New Roman"/>
          <w:sz w:val="26"/>
          <w:szCs w:val="26"/>
        </w:rPr>
        <w:t xml:space="preserve"> for females and progress slowed down for males. It</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BE66EE">
        <w:rPr>
          <w:rFonts w:ascii="Garamond" w:hAnsi="Garamond" w:cs="Times New Roman"/>
          <w:sz w:val="26"/>
          <w:szCs w:val="26"/>
        </w:rPr>
        <w:t xml:space="preserve"> and Norway</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r w:rsidR="007143FB">
        <w:rPr>
          <w:rFonts w:ascii="Garamond" w:hAnsi="Garamond" w:cs="Times New Roman"/>
          <w:sz w:val="26"/>
          <w:szCs w:val="26"/>
        </w:rPr>
        <w:t xml:space="preserve"> in Denmark and </w:t>
      </w:r>
      <w:r w:rsidR="00105AB3">
        <w:rPr>
          <w:rFonts w:ascii="Garamond" w:hAnsi="Garamond" w:cs="Times New Roman"/>
          <w:sz w:val="26"/>
          <w:szCs w:val="26"/>
        </w:rPr>
        <w:t>which causes</w:t>
      </w:r>
      <w:r w:rsidR="007143FB">
        <w:rPr>
          <w:rFonts w:ascii="Garamond" w:hAnsi="Garamond" w:cs="Times New Roman"/>
          <w:sz w:val="26"/>
          <w:szCs w:val="26"/>
        </w:rPr>
        <w:t xml:space="preserve"> of death have driven these changes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5710D4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t>
      </w:r>
      <w:r w:rsidR="007143FB">
        <w:rPr>
          <w:rFonts w:ascii="Garamond" w:hAnsi="Garamond" w:cs="Times New Roman"/>
          <w:sz w:val="26"/>
          <w:szCs w:val="26"/>
        </w:rPr>
        <w:t xml:space="preserve">Cause-by-age decomposition </w:t>
      </w:r>
      <w:r w:rsidR="008808C3">
        <w:rPr>
          <w:rFonts w:ascii="Garamond" w:hAnsi="Garamond" w:cs="Times New Roman"/>
          <w:sz w:val="26"/>
          <w:szCs w:val="26"/>
        </w:rPr>
        <w:t>techniques were</w:t>
      </w:r>
      <w:r w:rsidR="007143FB">
        <w:rPr>
          <w:rFonts w:ascii="Garamond" w:hAnsi="Garamond" w:cs="Times New Roman"/>
          <w:sz w:val="26"/>
          <w:szCs w:val="26"/>
        </w:rPr>
        <w:t xml:space="preserve"> used to analyze </w:t>
      </w:r>
      <w:r w:rsidR="007E26E6" w:rsidRPr="00B2566E">
        <w:rPr>
          <w:rFonts w:ascii="Garamond" w:hAnsi="Garamond" w:cs="Times New Roman"/>
          <w:sz w:val="26"/>
          <w:szCs w:val="26"/>
        </w:rPr>
        <w:t>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50578D3"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A426B4">
        <w:rPr>
          <w:rFonts w:ascii="Garamond" w:hAnsi="Garamond" w:cs="Times New Roman"/>
          <w:sz w:val="26"/>
          <w:szCs w:val="26"/>
        </w:rPr>
        <w:t>life expectancy</w:t>
      </w:r>
      <w:r w:rsidR="00C16BF8" w:rsidRPr="00B2566E">
        <w:rPr>
          <w:rFonts w:ascii="Garamond" w:hAnsi="Garamond" w:cs="Times New Roman"/>
          <w:sz w:val="26"/>
          <w:szCs w:val="26"/>
        </w:rPr>
        <w:t xml:space="preserve"> between </w:t>
      </w:r>
      <w:r w:rsidRPr="00B2566E">
        <w:rPr>
          <w:rFonts w:ascii="Garamond" w:hAnsi="Garamond" w:cs="Times New Roman"/>
          <w:sz w:val="26"/>
          <w:szCs w:val="26"/>
        </w:rPr>
        <w:t xml:space="preserve">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A426B4">
        <w:rPr>
          <w:rFonts w:ascii="Garamond" w:hAnsi="Garamond" w:cs="Times New Roman"/>
          <w:sz w:val="26"/>
          <w:szCs w:val="26"/>
        </w:rPr>
        <w:t>L</w:t>
      </w:r>
      <w:r w:rsidR="00213CE0">
        <w:rPr>
          <w:rFonts w:ascii="Garamond" w:hAnsi="Garamond" w:cs="Times New Roman"/>
          <w:sz w:val="26"/>
          <w:szCs w:val="26"/>
        </w:rPr>
        <w:t xml:space="preserve">ifespan inequality </w:t>
      </w:r>
      <w:r w:rsidR="00FD61FC" w:rsidRPr="00B2566E">
        <w:rPr>
          <w:rFonts w:ascii="Garamond" w:hAnsi="Garamond" w:cs="Times New Roman"/>
          <w:sz w:val="26"/>
          <w:szCs w:val="26"/>
        </w:rPr>
        <w:t xml:space="preserve">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7245EA8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213CE0">
        <w:rPr>
          <w:rFonts w:ascii="Garamond" w:hAnsi="Garamond" w:cs="Times New Roman"/>
          <w:sz w:val="26"/>
          <w:szCs w:val="26"/>
        </w:rPr>
        <w:t xml:space="preserve">reduce inequality in lifespans </w:t>
      </w:r>
      <w:r w:rsidR="00FD61FC" w:rsidRPr="00B2566E">
        <w:rPr>
          <w:rFonts w:ascii="Garamond" w:hAnsi="Garamond" w:cs="Times New Roman"/>
          <w:sz w:val="26"/>
          <w:szCs w:val="26"/>
        </w:rPr>
        <w:t>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58CFB36E" w:rsidR="00C3269E" w:rsidRDefault="00C3269E"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w:lastRenderedPageBreak/>
        <mc:AlternateContent>
          <mc:Choice Requires="wps">
            <w:drawing>
              <wp:anchor distT="45720" distB="45720" distL="114300" distR="114300" simplePos="0" relativeHeight="251663360" behindDoc="0" locked="0" layoutInCell="1" allowOverlap="1" wp14:anchorId="51D85D6C" wp14:editId="4642B7B3">
                <wp:simplePos x="0" y="0"/>
                <wp:positionH relativeFrom="margin">
                  <wp:align>left</wp:align>
                </wp:positionH>
                <wp:positionV relativeFrom="paragraph">
                  <wp:posOffset>425450</wp:posOffset>
                </wp:positionV>
                <wp:extent cx="5882640" cy="1729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729740"/>
                        </a:xfrm>
                        <a:prstGeom prst="rect">
                          <a:avLst/>
                        </a:prstGeom>
                        <a:solidFill>
                          <a:srgbClr val="FFFFFF"/>
                        </a:solidFill>
                        <a:ln w="9525">
                          <a:solidFill>
                            <a:srgbClr val="000000"/>
                          </a:solidFill>
                          <a:miter lim="800000"/>
                          <a:headEnd/>
                          <a:tailEnd/>
                        </a:ln>
                      </wps:spPr>
                      <wps:txbx>
                        <w:txbxContent>
                          <w:p w14:paraId="66DDE56D" w14:textId="18F234BB" w:rsidR="00C3269E" w:rsidRPr="00C3269E" w:rsidRDefault="00C3269E">
                            <w:pPr>
                              <w:rPr>
                                <w:rFonts w:ascii="Garamond" w:hAnsi="Garamond" w:cs="Times New Roman"/>
                                <w:sz w:val="26"/>
                                <w:szCs w:val="26"/>
                              </w:rPr>
                            </w:pPr>
                            <w:r w:rsidRPr="00C3269E">
                              <w:rPr>
                                <w:rFonts w:ascii="Garamond" w:hAnsi="Garamond" w:cs="Times New Roman"/>
                                <w:sz w:val="26"/>
                                <w:szCs w:val="26"/>
                              </w:rPr>
                              <w:t>Please include a key messages box with the key messages of the paper in 3-5 succinct bullet points.</w:t>
                            </w:r>
                          </w:p>
                          <w:p w14:paraId="1EDDB65D" w14:textId="1882D6F7"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6E7D755B" w14:textId="4D2B838A"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196219E1" w14:textId="745BAB27"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7BC1E921" w14:textId="45B02DD1"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12DA8DC2" w14:textId="77777777" w:rsidR="00C3269E" w:rsidRDefault="00C3269E" w:rsidP="00C3269E">
                            <w:pPr>
                              <w:pStyle w:val="ListParagraph"/>
                              <w:numPr>
                                <w:ilvl w:val="0"/>
                                <w:numId w:val="9"/>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5pt;width:463.2pt;height:136.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">
                <v:textbox>
                  <w:txbxContent>
                    <w:p w14:paraId="66DDE56D" w14:textId="18F234BB" w:rsidR="00C3269E" w:rsidRPr="00C3269E" w:rsidRDefault="00C3269E">
                      <w:pPr>
                        <w:rPr>
                          <w:rFonts w:ascii="Garamond" w:hAnsi="Garamond" w:cs="Times New Roman"/>
                          <w:sz w:val="26"/>
                          <w:szCs w:val="26"/>
                        </w:rPr>
                      </w:pPr>
                      <w:r w:rsidRPr="00C3269E">
                        <w:rPr>
                          <w:rFonts w:ascii="Garamond" w:hAnsi="Garamond" w:cs="Times New Roman"/>
                          <w:sz w:val="26"/>
                          <w:szCs w:val="26"/>
                        </w:rPr>
                        <w:t>Please include a key messages box with the key messages of the paper in 3-5 succinct bullet points.</w:t>
                      </w:r>
                    </w:p>
                    <w:p w14:paraId="1EDDB65D" w14:textId="1882D6F7"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6E7D755B" w14:textId="4D2B838A"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196219E1" w14:textId="745BAB27"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7BC1E921" w14:textId="45B02DD1" w:rsidR="00C3269E" w:rsidRPr="00C3269E" w:rsidRDefault="00C3269E" w:rsidP="00C3269E">
                      <w:pPr>
                        <w:pStyle w:val="ListParagraph"/>
                        <w:numPr>
                          <w:ilvl w:val="0"/>
                          <w:numId w:val="9"/>
                        </w:numPr>
                        <w:rPr>
                          <w:rFonts w:ascii="Garamond" w:hAnsi="Garamond" w:cs="Times New Roman"/>
                          <w:sz w:val="26"/>
                          <w:szCs w:val="26"/>
                        </w:rPr>
                      </w:pPr>
                      <w:r w:rsidRPr="00C3269E">
                        <w:rPr>
                          <w:rFonts w:ascii="Garamond" w:hAnsi="Garamond" w:cs="Times New Roman"/>
                          <w:sz w:val="26"/>
                          <w:szCs w:val="26"/>
                        </w:rPr>
                        <w:t xml:space="preserve"> </w:t>
                      </w:r>
                    </w:p>
                    <w:p w14:paraId="12DA8DC2" w14:textId="77777777" w:rsidR="00C3269E" w:rsidRDefault="00C3269E" w:rsidP="00C3269E">
                      <w:pPr>
                        <w:pStyle w:val="ListParagraph"/>
                        <w:numPr>
                          <w:ilvl w:val="0"/>
                          <w:numId w:val="9"/>
                        </w:numPr>
                      </w:pPr>
                    </w:p>
                  </w:txbxContent>
                </v:textbox>
                <w10:wrap type="square" anchorx="margin"/>
              </v:shape>
            </w:pict>
          </mc:Fallback>
        </mc:AlternateContent>
      </w:r>
      <w:r>
        <w:rPr>
          <w:rFonts w:ascii="Garamond" w:hAnsi="Garamond" w:cs="Times New Roman"/>
          <w:b/>
          <w:sz w:val="26"/>
          <w:szCs w:val="26"/>
        </w:rPr>
        <w:t>Key messages</w:t>
      </w:r>
    </w:p>
    <w:p w14:paraId="64DE6907" w14:textId="762746D9" w:rsidR="00C3269E" w:rsidRDefault="00C3269E" w:rsidP="00861A87">
      <w:pPr>
        <w:spacing w:line="360" w:lineRule="auto"/>
        <w:jc w:val="both"/>
        <w:rPr>
          <w:rFonts w:ascii="Garamond" w:hAnsi="Garamond" w:cs="Times New Roman"/>
          <w:b/>
          <w:sz w:val="26"/>
          <w:szCs w:val="26"/>
        </w:rPr>
      </w:pPr>
    </w:p>
    <w:p w14:paraId="456D5280" w14:textId="05DAAA55"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5F4AC9">
        <w:rPr>
          <w:rFonts w:ascii="Garamond" w:hAnsi="Garamond" w:cs="Times New Roman"/>
          <w:b/>
          <w:sz w:val="26"/>
          <w:szCs w:val="26"/>
        </w:rPr>
        <w:t>~</w:t>
      </w:r>
      <w:r w:rsidR="005F4AC9">
        <w:rPr>
          <w:color w:val="2A2A2A"/>
          <w:shd w:val="clear" w:color="auto" w:fill="FFFFFF"/>
        </w:rPr>
        <w:t>3000 words, we have 2750ish</w:t>
      </w:r>
      <w:r w:rsidR="00C3269E">
        <w:rPr>
          <w:rFonts w:ascii="Garamond" w:hAnsi="Garamond" w:cs="Times New Roman"/>
          <w:b/>
          <w:sz w:val="26"/>
          <w:szCs w:val="26"/>
        </w:rPr>
        <w:t>]</w:t>
      </w:r>
    </w:p>
    <w:p w14:paraId="1F7F8124" w14:textId="41606D68"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Life expectancy is </w:t>
      </w:r>
      <w:r w:rsidR="007B017A">
        <w:rPr>
          <w:rFonts w:ascii="Garamond" w:hAnsi="Garamond" w:cs="Times New Roman"/>
          <w:sz w:val="26"/>
          <w:szCs w:val="26"/>
        </w:rPr>
        <w:t>the most commonly used measure</w:t>
      </w:r>
      <w:r w:rsidRPr="00B2566E">
        <w:rPr>
          <w:rFonts w:ascii="Garamond" w:hAnsi="Garamond" w:cs="Times New Roman"/>
          <w:sz w:val="26"/>
          <w:szCs w:val="26"/>
        </w:rPr>
        <w:t xml:space="preserve">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w:t>
      </w:r>
      <w:r w:rsidR="00277AC8">
        <w:rPr>
          <w:rFonts w:ascii="Garamond" w:hAnsi="Garamond" w:cs="Times New Roman"/>
          <w:sz w:val="26"/>
          <w:szCs w:val="26"/>
        </w:rPr>
        <w:t xml:space="preserve">equally </w:t>
      </w:r>
      <w:r w:rsidR="00AF58C8" w:rsidRPr="00B2566E">
        <w:rPr>
          <w:rFonts w:ascii="Garamond" w:hAnsi="Garamond" w:cs="Times New Roman"/>
          <w:sz w:val="26"/>
          <w:szCs w:val="26"/>
        </w:rPr>
        <w:t>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(8-11)</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165035">
        <w:rPr>
          <w:rFonts w:ascii="Garamond" w:hAnsi="Garamond" w:cs="Times New Roman"/>
          <w:sz w:val="26"/>
          <w:szCs w:val="26"/>
        </w:rPr>
        <w:t xml:space="preserve"> Both indicators may have implications for individuals’ </w:t>
      </w:r>
      <w:r w:rsidR="00D5187B">
        <w:rPr>
          <w:rFonts w:ascii="Garamond" w:hAnsi="Garamond" w:cs="Times New Roman"/>
          <w:sz w:val="26"/>
          <w:szCs w:val="26"/>
        </w:rPr>
        <w:t xml:space="preserve">decisions over their </w:t>
      </w:r>
      <w:r w:rsidR="00165035">
        <w:rPr>
          <w:rFonts w:ascii="Garamond" w:hAnsi="Garamond" w:cs="Times New Roman"/>
          <w:sz w:val="26"/>
          <w:szCs w:val="26"/>
        </w:rPr>
        <w:t>life course</w:t>
      </w:r>
      <w:r w:rsidR="00D5187B">
        <w:rPr>
          <w:rFonts w:ascii="Garamond" w:hAnsi="Garamond" w:cs="Times New Roman"/>
          <w:sz w:val="26"/>
          <w:szCs w:val="26"/>
        </w:rPr>
        <w:t>. For instance,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D5187B">
        <w:rPr>
          <w:rFonts w:ascii="Garamond" w:hAnsi="Garamond" w:cs="Times New Roman"/>
          <w:sz w:val="26"/>
          <w:szCs w:val="26"/>
        </w:rPr>
        <w:t>, are decisions</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w:t>
      </w:r>
      <w:r w:rsidR="00A677BD">
        <w:rPr>
          <w:rFonts w:ascii="Garamond" w:hAnsi="Garamond" w:cs="Times New Roman"/>
          <w:sz w:val="26"/>
          <w:szCs w:val="26"/>
        </w:rPr>
        <w:t xml:space="preserve">life expectancy </w:t>
      </w:r>
      <w:r w:rsidR="000A37A3">
        <w:rPr>
          <w:rFonts w:ascii="Garamond" w:hAnsi="Garamond" w:cs="Times New Roman"/>
          <w:sz w:val="26"/>
          <w:szCs w:val="26"/>
        </w:rPr>
        <w:t>but also on the</w:t>
      </w:r>
      <w:r w:rsidR="00314A20" w:rsidRPr="00B2566E">
        <w:rPr>
          <w:rFonts w:ascii="Garamond" w:hAnsi="Garamond" w:cs="Times New Roman"/>
          <w:sz w:val="26"/>
          <w:szCs w:val="26"/>
        </w:rPr>
        <w:t xml:space="preserve"> uncertainty surrounding </w:t>
      </w:r>
      <w:r w:rsidR="00413112">
        <w:rPr>
          <w:rFonts w:ascii="Garamond" w:hAnsi="Garamond" w:cs="Times New Roman"/>
          <w:sz w:val="26"/>
          <w:szCs w:val="26"/>
        </w:rPr>
        <w:t>the</w:t>
      </w:r>
      <w:r w:rsidR="00314A20" w:rsidRPr="00B2566E">
        <w:rPr>
          <w:rFonts w:ascii="Garamond" w:hAnsi="Garamond" w:cs="Times New Roman"/>
          <w:sz w:val="26"/>
          <w:szCs w:val="26"/>
        </w:rPr>
        <w:t xml:space="preserve">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r w:rsidR="000A37A3">
        <w:rPr>
          <w:rFonts w:ascii="Garamond" w:hAnsi="Garamond" w:cs="Times New Roman"/>
          <w:sz w:val="26"/>
          <w:szCs w:val="26"/>
        </w:rPr>
        <w:t xml:space="preserve"> </w:t>
      </w:r>
    </w:p>
    <w:p w14:paraId="5711550C" w14:textId="2769DBE6"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A677BD">
        <w:rPr>
          <w:rFonts w:ascii="Garamond" w:hAnsi="Garamond" w:cs="Times New Roman"/>
          <w:sz w:val="26"/>
          <w:szCs w:val="26"/>
        </w:rPr>
        <w:t xml:space="preserve"> and men experienced a slowdown </w:t>
      </w:r>
      <w:r w:rsidR="002B0D6E" w:rsidRPr="00B2566E">
        <w:rPr>
          <w:rFonts w:ascii="Garamond" w:hAnsi="Garamond" w:cs="Times New Roman"/>
          <w:sz w:val="26"/>
          <w:szCs w:val="26"/>
        </w:rPr>
        <w:t>between the mid-1970s and mid-1990s, to improve thereafter, remaining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For instance, t</w:t>
      </w:r>
      <w:r w:rsidR="002B0D6E" w:rsidRPr="00B2566E">
        <w:rPr>
          <w:rFonts w:ascii="Garamond" w:hAnsi="Garamond" w:cs="Times New Roman"/>
          <w:sz w:val="26"/>
          <w:szCs w:val="26"/>
        </w:rPr>
        <w:t xml:space="preserve">he stagnation in </w:t>
      </w:r>
      <w:r w:rsidR="00277AC8">
        <w:rPr>
          <w:rFonts w:ascii="Garamond" w:hAnsi="Garamond" w:cs="Times New Roman"/>
          <w:sz w:val="26"/>
          <w:szCs w:val="26"/>
        </w:rPr>
        <w:t xml:space="preserve">female </w:t>
      </w:r>
      <w:r w:rsidR="002B0D6E" w:rsidRPr="00B2566E">
        <w:rPr>
          <w:rFonts w:ascii="Garamond" w:hAnsi="Garamond" w:cs="Times New Roman"/>
          <w:sz w:val="26"/>
          <w:szCs w:val="26"/>
        </w:rPr>
        <w:t xml:space="preserve">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D47A07">
        <w:rPr>
          <w:rFonts w:ascii="Garamond" w:hAnsi="Garamond" w:cs="Times New Roman"/>
          <w:sz w:val="26"/>
          <w:szCs w:val="26"/>
        </w:rPr>
        <w:t xml:space="preserve"> than in Sweden</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 related mortality is considerably higher in D</w:t>
      </w:r>
      <w:r w:rsidR="008200AA">
        <w:rPr>
          <w:rFonts w:ascii="Garamond" w:hAnsi="Garamond" w:cs="Times New Roman"/>
          <w:sz w:val="26"/>
          <w:szCs w:val="26"/>
        </w:rPr>
        <w:t>anish males</w:t>
      </w:r>
      <w:r w:rsidR="004E4CAB">
        <w:rPr>
          <w:rFonts w:ascii="Garamond" w:hAnsi="Garamond" w:cs="Times New Roman"/>
          <w:sz w:val="26"/>
          <w:szCs w:val="26"/>
        </w:rPr>
        <w:t xml:space="preserve"> compared to Swedish </w:t>
      </w:r>
      <w:r w:rsidR="008200AA">
        <w:rPr>
          <w:rFonts w:ascii="Garamond" w:hAnsi="Garamond" w:cs="Times New Roman"/>
          <w:sz w:val="26"/>
          <w:szCs w:val="26"/>
        </w:rPr>
        <w:t xml:space="preserve">because </w:t>
      </w:r>
      <w:r w:rsidR="008200AA">
        <w:rPr>
          <w:rFonts w:ascii="Garamond" w:hAnsi="Garamond" w:cs="Times New Roman"/>
          <w:sz w:val="26"/>
          <w:szCs w:val="26"/>
        </w:rPr>
        <w:lastRenderedPageBreak/>
        <w:t>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However, it is unclear the effect that might have on lifespan inequality. Previous evidence shows mixed results on the effects of smoking in 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CB1D9D1" w14:textId="0C0A9FBB" w:rsidR="00F92641"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their 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different age and cause-of-death mortality changes would extend to lifespan inequality patterns. </w:t>
      </w:r>
      <w:r w:rsidR="004C7C15" w:rsidRPr="00B2566E">
        <w:rPr>
          <w:rFonts w:ascii="Garamond" w:hAnsi="Garamond" w:cs="Times New Roman"/>
          <w:sz w:val="26"/>
          <w:szCs w:val="26"/>
        </w:rPr>
        <w:t>Here</w:t>
      </w:r>
      <w:r w:rsidR="00095CD1">
        <w:rPr>
          <w:rFonts w:ascii="Garamond" w:hAnsi="Garamond" w:cs="Times New Roman"/>
          <w:sz w:val="26"/>
          <w:szCs w:val="26"/>
        </w:rPr>
        <w:t>,</w:t>
      </w:r>
      <w:r w:rsidR="004C7C15" w:rsidRPr="00B2566E">
        <w:rPr>
          <w:rFonts w:ascii="Garamond" w:hAnsi="Garamond" w:cs="Times New Roman"/>
          <w:sz w:val="26"/>
          <w:szCs w:val="26"/>
        </w:rPr>
        <w:t xml:space="preserve"> we</w:t>
      </w:r>
      <w:r w:rsidR="00095CD1">
        <w:rPr>
          <w:rFonts w:ascii="Garamond" w:hAnsi="Garamond" w:cs="Times New Roman"/>
          <w:sz w:val="26"/>
          <w:szCs w:val="26"/>
        </w:rPr>
        <w:t xml:space="preserve"> analyze data since 1960 to</w:t>
      </w:r>
      <w:r w:rsidR="004C7C15" w:rsidRPr="00B2566E">
        <w:rPr>
          <w:rFonts w:ascii="Garamond" w:hAnsi="Garamond" w:cs="Times New Roman"/>
          <w:sz w:val="26"/>
          <w:szCs w:val="26"/>
        </w:rPr>
        <w:t xml:space="preserve"> test the hypotheses that 1) 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AF58C8" w:rsidRPr="00B2566E">
        <w:rPr>
          <w:rFonts w:ascii="Garamond" w:hAnsi="Garamond" w:cs="Times New Roman"/>
          <w:sz w:val="26"/>
          <w:szCs w:val="26"/>
        </w:rPr>
        <w:t>;</w:t>
      </w:r>
      <w:r w:rsidR="00961525" w:rsidRPr="00B2566E">
        <w:rPr>
          <w:rFonts w:ascii="Garamond" w:hAnsi="Garamond" w:cs="Times New Roman"/>
          <w:sz w:val="26"/>
          <w:szCs w:val="26"/>
        </w:rPr>
        <w:t xml:space="preserve"> 2)</w:t>
      </w:r>
      <w:r w:rsidR="004C7C15"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095CD1">
        <w:rPr>
          <w:rFonts w:ascii="Garamond" w:hAnsi="Garamond" w:cs="Times New Roman"/>
          <w:sz w:val="26"/>
          <w:szCs w:val="26"/>
        </w:rPr>
        <w:t>, while men experienced a slowdown on reducing lifespan inequality</w:t>
      </w:r>
      <w:r w:rsidR="00961525" w:rsidRPr="00B2566E">
        <w:rPr>
          <w:rFonts w:ascii="Garamond" w:hAnsi="Garamond" w:cs="Times New Roman"/>
          <w:sz w:val="26"/>
          <w:szCs w:val="26"/>
        </w:rPr>
        <w:t>; and 3)</w:t>
      </w:r>
      <w:r w:rsidR="00AF58C8" w:rsidRPr="00B2566E">
        <w:rPr>
          <w:rFonts w:ascii="Garamond" w:hAnsi="Garamond" w:cs="Times New Roman"/>
          <w:sz w:val="26"/>
          <w:szCs w:val="26"/>
        </w:rPr>
        <w:t xml:space="preserve"> </w:t>
      </w:r>
      <w:r w:rsidR="00095CD1">
        <w:rPr>
          <w:rFonts w:ascii="Garamond" w:hAnsi="Garamond" w:cs="Times New Roman"/>
          <w:sz w:val="26"/>
          <w:szCs w:val="26"/>
        </w:rPr>
        <w:t>the</w:t>
      </w:r>
      <w:r w:rsidR="00AF58C8" w:rsidRPr="00B2566E">
        <w:rPr>
          <w:rFonts w:ascii="Garamond" w:hAnsi="Garamond" w:cs="Times New Roman"/>
          <w:sz w:val="26"/>
          <w:szCs w:val="26"/>
        </w:rPr>
        <w:t xml:space="preserve">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095CD1">
        <w:rPr>
          <w:rFonts w:ascii="Garamond" w:hAnsi="Garamond" w:cs="Times New Roman"/>
          <w:sz w:val="26"/>
          <w:szCs w:val="26"/>
        </w:rPr>
        <w:t xml:space="preserve"> for females</w:t>
      </w:r>
      <w:r w:rsidR="00277AC8">
        <w:rPr>
          <w:rFonts w:ascii="Garamond" w:hAnsi="Garamond" w:cs="Times New Roman"/>
          <w:sz w:val="26"/>
          <w:szCs w:val="26"/>
        </w:rPr>
        <w:t xml:space="preserve"> and males</w:t>
      </w:r>
      <w:r w:rsidR="00095CD1">
        <w:rPr>
          <w:rFonts w:ascii="Garamond" w:hAnsi="Garamond" w:cs="Times New Roman"/>
          <w:sz w:val="26"/>
          <w:szCs w:val="26"/>
        </w:rPr>
        <w:t>, while midlife mortality (</w:t>
      </w:r>
      <w:r w:rsidR="00277AC8">
        <w:rPr>
          <w:rFonts w:ascii="Garamond" w:hAnsi="Garamond" w:cs="Times New Roman"/>
          <w:sz w:val="26"/>
          <w:szCs w:val="26"/>
        </w:rPr>
        <w:t xml:space="preserve">e.g. accidents) was partly responsible </w:t>
      </w:r>
      <w:r w:rsidR="00095CD1">
        <w:rPr>
          <w:rFonts w:ascii="Garamond" w:hAnsi="Garamond" w:cs="Times New Roman"/>
          <w:sz w:val="26"/>
          <w:szCs w:val="26"/>
        </w:rPr>
        <w:t>for trends among males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t>
      </w:r>
      <w:r w:rsidR="00747B98">
        <w:rPr>
          <w:rFonts w:ascii="Garamond" w:hAnsi="Garamond" w:cs="Times New Roman"/>
          <w:sz w:val="26"/>
          <w:szCs w:val="26"/>
        </w:rPr>
        <w:t xml:space="preserve">we provide </w:t>
      </w:r>
      <w:r w:rsidR="00AC7E30">
        <w:rPr>
          <w:rFonts w:ascii="Garamond" w:hAnsi="Garamond" w:cs="Times New Roman"/>
          <w:sz w:val="26"/>
          <w:szCs w:val="26"/>
        </w:rPr>
        <w:t xml:space="preserve">age-cause 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312DB880"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 xml:space="preserve">cause-of-death was 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w:t>
      </w:r>
      <w:r w:rsidR="007B017A">
        <w:rPr>
          <w:rFonts w:ascii="Garamond" w:hAnsi="Garamond" w:cs="Times New Roman"/>
          <w:sz w:val="26"/>
          <w:szCs w:val="26"/>
        </w:rPr>
        <w:t xml:space="preserve">to </w:t>
      </w:r>
      <w:r w:rsidR="00080867" w:rsidRPr="00B2566E">
        <w:rPr>
          <w:rFonts w:ascii="Garamond" w:hAnsi="Garamond" w:cs="Times New Roman"/>
          <w:sz w:val="26"/>
          <w:szCs w:val="26"/>
        </w:rPr>
        <w:t>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27F38FF4"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lastRenderedPageBreak/>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7B017A">
        <w:rPr>
          <w:rFonts w:ascii="Garamond" w:hAnsi="Garamond" w:cs="Times New Roman"/>
          <w:sz w:val="26"/>
          <w:szCs w:val="26"/>
        </w:rPr>
        <w:t xml:space="preserve">In the rationale behind the grouping we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women (and still remains a problem)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 reliability</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12A7FF04"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04A2D7AC" w:rsidR="00351373" w:rsidRPr="00B2566E" w:rsidRDefault="003428AD"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A</w:t>
      </w:r>
      <w:r w:rsidR="0042548B">
        <w:rPr>
          <w:rFonts w:ascii="Garamond" w:hAnsi="Garamond" w:cs="Times New Roman"/>
          <w:iCs/>
          <w:sz w:val="26"/>
          <w:szCs w:val="26"/>
        </w:rPr>
        <w:t xml:space="preserve">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w:t>
      </w:r>
      <w:r w:rsidR="0042548B" w:rsidRPr="00B2566E">
        <w:rPr>
          <w:rFonts w:ascii="Garamond" w:hAnsi="Garamond" w:cs="Times New Roman"/>
          <w:iCs/>
          <w:sz w:val="26"/>
          <w:szCs w:val="26"/>
        </w:rPr>
        <w:lastRenderedPageBreak/>
        <w:t xml:space="preserve">niques </w:t>
      </w:r>
      <w:r w:rsidR="0042548B" w:rsidRPr="00B2566E">
        <w:rPr>
          <w:rFonts w:ascii="Garamond" w:hAnsi="Garamond" w:cs="Times New Roman"/>
          <w:iCs/>
          <w:sz w:val="26"/>
          <w:szCs w:val="26"/>
        </w:rPr>
        <w:fldChar w:fldCharType="begin"/>
      </w:r>
      <w:r>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Pr>
          <w:rFonts w:ascii="Garamond" w:hAnsi="Garamond" w:cs="Times New Roman"/>
          <w:sz w:val="26"/>
          <w:szCs w:val="26"/>
        </w:rPr>
        <w:t xml:space="preserve"> for females and males, independently</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64A5E6F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C1570D">
        <w:rPr>
          <w:rFonts w:ascii="Garamond" w:hAnsi="Garamond" w:cs="Times New Roman"/>
          <w:sz w:val="26"/>
          <w:szCs w:val="26"/>
        </w:rPr>
        <w:t>monotonic</w:t>
      </w:r>
      <w:r w:rsidR="00905C39" w:rsidRPr="00B2566E">
        <w:rPr>
          <w:rFonts w:ascii="Garamond" w:hAnsi="Garamond" w:cs="Times New Roman"/>
          <w:sz w:val="26"/>
          <w:szCs w:val="26"/>
        </w:rPr>
        <w:t xml:space="preserve"> 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CA6229"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217579">
        <w:rPr>
          <w:rFonts w:ascii="Garamond" w:hAnsi="Garamond" w:cs="Times New Roman"/>
          <w:sz w:val="26"/>
          <w:szCs w:val="26"/>
        </w:rPr>
        <w:t xml:space="preserve">. </w:t>
      </w:r>
      <w:r w:rsidR="006D52D9">
        <w:rPr>
          <w:rFonts w:ascii="Garamond" w:hAnsi="Garamond" w:cs="Times New Roman"/>
          <w:sz w:val="26"/>
          <w:szCs w:val="26"/>
        </w:rPr>
        <w:t xml:space="preserve">This led an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64A1B561"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AE13B3" w:rsidRPr="00B2566E">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Supplementary Figure 1</w:t>
      </w:r>
      <w:r w:rsidR="003909D5">
        <w:rPr>
          <w:rFonts w:ascii="Garamond" w:hAnsi="Garamond" w:cs="Times New Roman"/>
          <w:sz w:val="26"/>
          <w:szCs w:val="26"/>
        </w:rPr>
        <w:t xml:space="preserve"> </w:t>
      </w:r>
      <w:r w:rsidR="006D52D9">
        <w:rPr>
          <w:rFonts w:ascii="Garamond" w:hAnsi="Garamond" w:cs="Times New Roman"/>
          <w:sz w:val="26"/>
          <w:szCs w:val="26"/>
        </w:rPr>
        <w:t xml:space="preserve">and </w:t>
      </w:r>
      <w:hyperlink r:id="rId8"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FE31B4">
        <w:rPr>
          <w:rFonts w:ascii="Garamond" w:hAnsi="Garamond" w:cs="Times New Roman"/>
          <w:sz w:val="26"/>
          <w:szCs w:val="26"/>
        </w:rPr>
        <w:t>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 xml:space="preserve">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w:t>
      </w:r>
      <w:r w:rsidR="0028540B">
        <w:rPr>
          <w:rFonts w:ascii="Garamond" w:hAnsi="Garamond" w:cs="Times New Roman"/>
          <w:sz w:val="26"/>
          <w:szCs w:val="26"/>
        </w:rPr>
        <w:t xml:space="preserve"> </w:t>
      </w:r>
      <w:r w:rsidR="00FE31B4">
        <w:rPr>
          <w:rFonts w:ascii="Garamond" w:hAnsi="Garamond" w:cs="Times New Roman"/>
          <w:sz w:val="26"/>
          <w:szCs w:val="26"/>
        </w:rPr>
        <w:t>along with r</w:t>
      </w:r>
      <w:r w:rsidR="00BB4DF3" w:rsidRPr="00B2566E">
        <w:rPr>
          <w:rFonts w:ascii="Garamond" w:hAnsi="Garamond" w:cs="Times New Roman"/>
          <w:sz w:val="26"/>
          <w:szCs w:val="26"/>
        </w:rPr>
        <w:t>eduction</w:t>
      </w:r>
      <w:r w:rsidR="00FE31B4">
        <w:rPr>
          <w:rFonts w:ascii="Garamond" w:hAnsi="Garamond" w:cs="Times New Roman"/>
          <w:sz w:val="26"/>
          <w:szCs w:val="26"/>
        </w:rPr>
        <w:t>s</w:t>
      </w:r>
      <w:r w:rsidR="00BB4DF3" w:rsidRPr="00B2566E">
        <w:rPr>
          <w:rFonts w:ascii="Garamond" w:hAnsi="Garamond" w:cs="Times New Roman"/>
          <w:sz w:val="26"/>
          <w:szCs w:val="26"/>
        </w:rPr>
        <w:t xml:space="preserve"> in old-age cardiovascular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2B235910"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improvements at</w:t>
      </w:r>
      <w:r w:rsidR="00D56583" w:rsidRPr="00B2566E">
        <w:rPr>
          <w:rFonts w:ascii="Garamond" w:hAnsi="Garamond" w:cs="Times New Roman"/>
          <w:sz w:val="26"/>
          <w:szCs w:val="26"/>
        </w:rPr>
        <w:t xml:space="preserve"> all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 </w:t>
      </w:r>
      <w:r w:rsidR="00213CE0">
        <w:rPr>
          <w:rFonts w:ascii="Garamond" w:hAnsi="Garamond" w:cs="Times New Roman"/>
          <w:sz w:val="26"/>
          <w:szCs w:val="26"/>
        </w:rPr>
        <w:t>inequality in lifespans</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56D8D93" w14:textId="61FA5724"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FB02AC2" w:rsidR="00DE6ABE"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4B9F2BE" w:rsidR="00533725" w:rsidRP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changes in life expectancy and lifespan inequality in Denmark were driven by the same causes of death since 1960.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but also a clear policy target. Although lifespan inequality has been reduced, while life expectancy has increased, since the late 1990s Denmark still lags its Scandinavian counterparts, albeit similarit</w:t>
      </w:r>
      <w:r w:rsidR="003A61C9">
        <w:rPr>
          <w:rFonts w:ascii="Garamond" w:hAnsi="Garamond" w:cs="Times New Roman"/>
          <w:sz w:val="26"/>
          <w:szCs w:val="26"/>
        </w:rPr>
        <w:t>ie</w:t>
      </w:r>
      <w:bookmarkStart w:id="0" w:name="_GoBack"/>
      <w:bookmarkEnd w:id="0"/>
      <w:r w:rsidR="003A61C9">
        <w:rPr>
          <w:rFonts w:ascii="Garamond" w:hAnsi="Garamond" w:cs="Times New Roman"/>
          <w:sz w:val="26"/>
          <w:szCs w:val="26"/>
        </w:rPr>
        <w:t xml:space="preserv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8D91DAE" w14:textId="6E357A10" w:rsidR="00E06C79" w:rsidRDefault="00985F9B" w:rsidP="006A4D6C">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 xml:space="preserve">In Denmark, however, they have been, and still are, remarkably consistent. Causes of death related to </w:t>
      </w:r>
      <w:r w:rsidR="004E3663">
        <w:rPr>
          <w:rFonts w:ascii="Garamond" w:hAnsi="Garamond" w:cs="Times New Roman"/>
          <w:sz w:val="26"/>
          <w:szCs w:val="26"/>
        </w:rPr>
        <w:lastRenderedPageBreak/>
        <w:t>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DA59A0">
        <w:rPr>
          <w:rFonts w:ascii="Garamond" w:hAnsi="Garamond" w:cs="Times New Roman"/>
          <w:noProof/>
          <w:sz w:val="26"/>
          <w:szCs w:val="26"/>
        </w:rPr>
        <w:t>(16)</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1C10226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36936CAD"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w:t>
      </w:r>
      <w:r w:rsidR="007F289B">
        <w:rPr>
          <w:rFonts w:ascii="Garamond" w:hAnsi="Garamond" w:cs="Times New Roman"/>
          <w:sz w:val="26"/>
          <w:szCs w:val="26"/>
        </w:rPr>
        <w:t xml:space="preserve"> needed</w:t>
      </w:r>
      <w:r>
        <w:rPr>
          <w:rFonts w:ascii="Garamond" w:hAnsi="Garamond" w:cs="Times New Roman"/>
          <w:sz w:val="26"/>
          <w:szCs w:val="26"/>
        </w:rPr>
        <w:t xml:space="preserve">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w:t>
      </w:r>
      <w:r w:rsidR="00D01051">
        <w:rPr>
          <w:rFonts w:ascii="Garamond" w:hAnsi="Garamond" w:cs="Times New Roman"/>
          <w:sz w:val="26"/>
          <w:szCs w:val="26"/>
        </w:rPr>
        <w:lastRenderedPageBreak/>
        <w:t xml:space="preserve">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05F8A9C8" w14:textId="5BE1BE18" w:rsidR="005B5249"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particularly due to self-poisoning and hanging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r w:rsidR="00FB2507">
        <w:rPr>
          <w:rFonts w:ascii="Garamond" w:hAnsi="Garamond" w:cs="Times New Roman"/>
          <w:sz w:val="26"/>
          <w:szCs w:val="26"/>
        </w:rPr>
        <w:t xml:space="preserve"> </w:t>
      </w:r>
      <w:r>
        <w:rPr>
          <w:rFonts w:ascii="Garamond" w:hAnsi="Garamond" w:cs="Times New Roman"/>
          <w:sz w:val="26"/>
          <w:szCs w:val="26"/>
        </w:rPr>
        <w:t>Of course, a difference alone does not mean that it is easy to achieve a reduction.</w:t>
      </w:r>
      <w:r w:rsidR="00D27D58">
        <w:rPr>
          <w:rFonts w:ascii="Garamond" w:hAnsi="Garamond" w:cs="Times New Roman"/>
          <w:sz w:val="26"/>
          <w:szCs w:val="26"/>
        </w:rPr>
        <w:t xml:space="preserve"> However, 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5F4A8B3"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14CB6115"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0DBEE69A"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lastRenderedPageBreak/>
        <w:t xml:space="preserve">Lifespan inequality is an important dimension of population health. By looking at this dimension we could disclose how lifespans differ in Denmark, Sweden and Norway, which would have been overlooked by only focusing in life expectancy. Moreover, our decomposition of age and cause-of-death following a model based on continuous change of time allowed us to identify conditions and ages that contribute the most to lifespan inequality changes. We were able to translate them into potential gains in life expectancy if efforts were concentrated in these ages and causes of death. </w:t>
      </w: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7E67A33B"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xml:space="preserve">Reduce gap with Sweden in </w:t>
            </w:r>
            <w:proofErr w:type="spellStart"/>
            <w:r w:rsidRPr="00E50E91">
              <w:rPr>
                <w:rFonts w:ascii="Garamond" w:eastAsia="Times New Roman" w:hAnsi="Garamond" w:cs="Calibri"/>
                <w:color w:val="000000"/>
                <w:szCs w:val="26"/>
              </w:rPr>
              <w:t>CoV</w:t>
            </w:r>
            <w:proofErr w:type="spellEnd"/>
            <w:r w:rsidRPr="00E50E91">
              <w:rPr>
                <w:rFonts w:ascii="Garamond" w:eastAsia="Times New Roman" w:hAnsi="Garamond" w:cs="Calibri"/>
                <w:color w:val="000000"/>
                <w:szCs w:val="26"/>
              </w:rPr>
              <w:t xml:space="preserve">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791D230E" w14:textId="77777777" w:rsidR="003428AD" w:rsidRPr="003428AD" w:rsidRDefault="007543CE" w:rsidP="003428AD">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3428AD" w:rsidRPr="003428AD">
        <w:t>1.</w:t>
      </w:r>
      <w:r w:rsidR="003428AD" w:rsidRPr="003428AD">
        <w:tab/>
        <w:t>Organization WH. World Health Statistics 2016: Monitoring Health for the SDGs Sustainable Development Goals: World Health Organization; 2016.</w:t>
      </w:r>
    </w:p>
    <w:p w14:paraId="64A85C90" w14:textId="77777777" w:rsidR="003428AD" w:rsidRPr="003428AD" w:rsidRDefault="003428AD" w:rsidP="003428AD">
      <w:pPr>
        <w:pStyle w:val="EndNoteBibliography"/>
      </w:pPr>
      <w:r w:rsidRPr="003428AD">
        <w:t>2.</w:t>
      </w:r>
      <w:r w:rsidRPr="003428AD">
        <w:tab/>
        <w:t>Tuljapurkar S. The final inequality. Demography and the Economy. 2011:209.</w:t>
      </w:r>
    </w:p>
    <w:p w14:paraId="798E768F" w14:textId="77777777" w:rsidR="003428AD" w:rsidRPr="005A0BFE" w:rsidRDefault="003428AD" w:rsidP="003428AD">
      <w:pPr>
        <w:pStyle w:val="EndNoteBibliography"/>
        <w:rPr>
          <w:lang w:val="da-DK"/>
        </w:rPr>
      </w:pPr>
      <w:r w:rsidRPr="003428AD">
        <w:t>3.</w:t>
      </w:r>
      <w:r w:rsidRPr="003428AD">
        <w:tab/>
        <w:t xml:space="preserve">Marmot M. Inequalities in health. New England Journal of Medicine. </w:t>
      </w:r>
      <w:r w:rsidRPr="005A0BFE">
        <w:rPr>
          <w:lang w:val="da-DK"/>
        </w:rPr>
        <w:t>2001;345(2):134-5.</w:t>
      </w:r>
    </w:p>
    <w:p w14:paraId="3C99120E" w14:textId="77777777" w:rsidR="003428AD" w:rsidRPr="003428AD" w:rsidRDefault="003428AD" w:rsidP="003428AD">
      <w:pPr>
        <w:pStyle w:val="EndNoteBibliography"/>
      </w:pPr>
      <w:r w:rsidRPr="005A0BFE">
        <w:rPr>
          <w:lang w:val="da-DK"/>
        </w:rPr>
        <w:t>4.</w:t>
      </w:r>
      <w:r w:rsidRPr="005A0BFE">
        <w:rPr>
          <w:lang w:val="da-DK"/>
        </w:rPr>
        <w:tab/>
        <w:t xml:space="preserve">Mackenbach JP, Kulhánová I, Artnik B, Bopp M, Borrell C, Clemens T, et al. </w:t>
      </w:r>
      <w:r w:rsidRPr="003428AD">
        <w:t>Changes in mortality inequalities over two decades: register based study of European countries. bmj. 2016;353:i1732.</w:t>
      </w:r>
    </w:p>
    <w:p w14:paraId="73CDE2FE" w14:textId="77777777" w:rsidR="003428AD" w:rsidRPr="003428AD" w:rsidRDefault="003428AD" w:rsidP="003428AD">
      <w:pPr>
        <w:pStyle w:val="EndNoteBibliography"/>
      </w:pPr>
      <w:r w:rsidRPr="005A0BFE">
        <w:rPr>
          <w:lang w:val="es-MX"/>
        </w:rPr>
        <w:t>5.</w:t>
      </w:r>
      <w:r w:rsidRPr="005A0BFE">
        <w:rPr>
          <w:lang w:val="es-MX"/>
        </w:rPr>
        <w:tab/>
        <w:t xml:space="preserve">Vaupel JW, Zhang Z, van Raalte AA. </w:t>
      </w:r>
      <w:r w:rsidRPr="003428AD">
        <w:t>Life expectancy and disparity: an international comparison of life table data. BMJ open. 2011;1(1):e000128.</w:t>
      </w:r>
    </w:p>
    <w:p w14:paraId="0ECAAEB7" w14:textId="77777777" w:rsidR="003428AD" w:rsidRPr="003428AD" w:rsidRDefault="003428AD" w:rsidP="003428AD">
      <w:pPr>
        <w:pStyle w:val="EndNoteBibliography"/>
      </w:pPr>
      <w:r w:rsidRPr="003428AD">
        <w:t>6.</w:t>
      </w:r>
      <w:r w:rsidRPr="003428AD">
        <w:tab/>
        <w:t>Edwards RD, Tuljapurkar S. Inequality in life spans and a new perspective on mortality convergence across industrialized countries. Population and Development Review. 2005;31(4):645-74.</w:t>
      </w:r>
    </w:p>
    <w:p w14:paraId="7E5C30A8" w14:textId="77777777" w:rsidR="003428AD" w:rsidRPr="003428AD" w:rsidRDefault="003428AD" w:rsidP="003428AD">
      <w:pPr>
        <w:pStyle w:val="EndNoteBibliography"/>
      </w:pPr>
      <w:r w:rsidRPr="003428AD">
        <w:t>7.</w:t>
      </w:r>
      <w:r w:rsidRPr="003428AD">
        <w:tab/>
        <w:t>Smits J, Monden C. Length of life inequality around the globe. Social Science &amp; Medicine. 2009;68(6):1114-23.</w:t>
      </w:r>
    </w:p>
    <w:p w14:paraId="499280A9" w14:textId="77777777" w:rsidR="003428AD" w:rsidRPr="003428AD" w:rsidRDefault="003428AD" w:rsidP="003428AD">
      <w:pPr>
        <w:pStyle w:val="EndNoteBibliography"/>
      </w:pPr>
      <w:r w:rsidRPr="003428AD">
        <w:t>8.</w:t>
      </w:r>
      <w:r w:rsidRPr="003428AD">
        <w:tab/>
        <w:t>Brønnum-Hansen H. Socially disparate trends in lifespan variation: a trend study on income and mortality based on nationwide Danish register data. BMJ open. 2017;7(5):e014489.</w:t>
      </w:r>
    </w:p>
    <w:p w14:paraId="2D313307" w14:textId="77777777" w:rsidR="003428AD" w:rsidRPr="005A0BFE" w:rsidRDefault="003428AD" w:rsidP="003428AD">
      <w:pPr>
        <w:pStyle w:val="EndNoteBibliography"/>
        <w:rPr>
          <w:lang w:val="da-DK"/>
        </w:rPr>
      </w:pPr>
      <w:r w:rsidRPr="003428AD">
        <w:t>9.</w:t>
      </w:r>
      <w:r w:rsidRPr="003428AD">
        <w:tab/>
        <w:t xml:space="preserve">Firebaugh G, Acciai F, Noah AJ, Prather C, Nau C. Why lifespans are more variable among blacks than among whites in the United States. </w:t>
      </w:r>
      <w:r w:rsidRPr="005A0BFE">
        <w:rPr>
          <w:lang w:val="da-DK"/>
        </w:rPr>
        <w:t>Demography. 2014;51(6):2025-45.</w:t>
      </w:r>
    </w:p>
    <w:p w14:paraId="387601EB" w14:textId="77777777" w:rsidR="003428AD" w:rsidRPr="003428AD" w:rsidRDefault="003428AD" w:rsidP="003428AD">
      <w:pPr>
        <w:pStyle w:val="EndNoteBibliography"/>
      </w:pPr>
      <w:r w:rsidRPr="005A0BFE">
        <w:rPr>
          <w:lang w:val="da-DK"/>
        </w:rPr>
        <w:t>10.</w:t>
      </w:r>
      <w:r w:rsidRPr="005A0BFE">
        <w:rPr>
          <w:lang w:val="da-DK"/>
        </w:rPr>
        <w:tab/>
        <w:t xml:space="preserve">van Raalte AA, Kunst AE, Deboosere P, Leinsalu M, Lundberg O, Martikainen P, et al. </w:t>
      </w:r>
      <w:r w:rsidRPr="003428AD">
        <w:t>More variation in lifespan in lower educated groups: evidence from 10 European countries. International Journal of Epidemiology. 2011:dyr146.</w:t>
      </w:r>
    </w:p>
    <w:p w14:paraId="4DF0FC42" w14:textId="77777777" w:rsidR="003428AD" w:rsidRPr="003428AD" w:rsidRDefault="003428AD" w:rsidP="003428AD">
      <w:pPr>
        <w:pStyle w:val="EndNoteBibliography"/>
      </w:pPr>
      <w:r w:rsidRPr="003428AD">
        <w:t>11.</w:t>
      </w:r>
      <w:r w:rsidRPr="003428AD">
        <w:tab/>
        <w:t>Aburto JM, van Raalte A. Lifespan dispersion in times of life expectancy fluctuation: the case of Central and Eastern Europe. MPIDR working paper. 2017.</w:t>
      </w:r>
    </w:p>
    <w:p w14:paraId="4A7D9021" w14:textId="77777777" w:rsidR="003428AD" w:rsidRPr="003428AD" w:rsidRDefault="003428AD" w:rsidP="003428AD">
      <w:pPr>
        <w:pStyle w:val="EndNoteBibliography"/>
      </w:pPr>
      <w:r w:rsidRPr="003428AD">
        <w:t>12.</w:t>
      </w:r>
      <w:r w:rsidRPr="003428AD">
        <w:tab/>
        <w:t>Human Mortality Database. University of California BU, and Max Planck Institute for Demographic Research (Germany). Human Mortality Database. 2017.</w:t>
      </w:r>
    </w:p>
    <w:p w14:paraId="57CEFCF3" w14:textId="77777777" w:rsidR="003428AD" w:rsidRPr="003428AD" w:rsidRDefault="003428AD" w:rsidP="003428AD">
      <w:pPr>
        <w:pStyle w:val="EndNoteBibliography"/>
      </w:pPr>
      <w:r w:rsidRPr="003428AD">
        <w:t>13.</w:t>
      </w:r>
      <w:r w:rsidRPr="003428AD">
        <w:tab/>
        <w:t>Lindahl-Jacobsen R, Oeppen J, Rizzi S, Möller S, Zarulli V, Christensen K, et al. Why did Danish women’s life expectancy stagnate? The influence of interwar generations’ smoking behaviour. European Journal of Epidemiology. 2016:1-5.</w:t>
      </w:r>
    </w:p>
    <w:p w14:paraId="2E4A2284" w14:textId="77777777" w:rsidR="003428AD" w:rsidRPr="003428AD" w:rsidRDefault="003428AD" w:rsidP="003428AD">
      <w:pPr>
        <w:pStyle w:val="EndNoteBibliography"/>
      </w:pPr>
      <w:r w:rsidRPr="003428AD">
        <w:t>14.</w:t>
      </w:r>
      <w:r w:rsidRPr="003428AD">
        <w:tab/>
        <w:t>Lindahl-Jacobsen R, Rau R, Jeune B, Canudas-Romo V, Lenart A, Christensen K, et al. Rise, stagnation, and rise of Danish women’s life expectancy. Proceedings of the National Academy of Sciences. 2016;113(15):4015-20.</w:t>
      </w:r>
    </w:p>
    <w:p w14:paraId="3F4BABA4" w14:textId="77777777" w:rsidR="003428AD" w:rsidRPr="003428AD" w:rsidRDefault="003428AD" w:rsidP="003428AD">
      <w:pPr>
        <w:pStyle w:val="EndNoteBibliography"/>
      </w:pPr>
      <w:r w:rsidRPr="003428AD">
        <w:t>15.</w:t>
      </w:r>
      <w:r w:rsidRPr="003428AD">
        <w:tab/>
        <w:t>Ramström L, Wikmans T. Mortality attributable to tobacco among men in Sweden and other European countries: an analysis of data in a WHO report. Tobacco induced diseases. 2014;12(1):14.</w:t>
      </w:r>
    </w:p>
    <w:p w14:paraId="1D4F98A5" w14:textId="77777777" w:rsidR="003428AD" w:rsidRPr="003428AD" w:rsidRDefault="003428AD" w:rsidP="003428AD">
      <w:pPr>
        <w:pStyle w:val="EndNoteBibliography"/>
      </w:pPr>
      <w:r w:rsidRPr="003428AD">
        <w:t>16.</w:t>
      </w:r>
      <w:r w:rsidRPr="003428AD">
        <w:tab/>
        <w:t>van Raalte AA, Myrskylä M, Martikainen P. The role of smoking on mortality compression: An analysis of Finnish occupational social classes, 1971-2010. Demographic Research. 2015;32:589.</w:t>
      </w:r>
    </w:p>
    <w:p w14:paraId="4BB88799" w14:textId="77777777" w:rsidR="003428AD" w:rsidRPr="003428AD" w:rsidRDefault="003428AD" w:rsidP="003428AD">
      <w:pPr>
        <w:pStyle w:val="EndNoteBibliography"/>
      </w:pPr>
      <w:r w:rsidRPr="003428AD">
        <w:t>17.</w:t>
      </w:r>
      <w:r w:rsidRPr="003428AD">
        <w:tab/>
        <w:t>Janssen F, Rousson V, Paccaud F. The role of smoking in changes in the survival curve: an empirical study in 10 European countries. Annals of epidemiology. 2015;25(4):243-9.</w:t>
      </w:r>
    </w:p>
    <w:p w14:paraId="2DEB99A7" w14:textId="77777777" w:rsidR="003428AD" w:rsidRPr="003428AD" w:rsidRDefault="003428AD" w:rsidP="003428AD">
      <w:pPr>
        <w:pStyle w:val="EndNoteBibliography"/>
      </w:pPr>
      <w:r w:rsidRPr="003428AD">
        <w:t>18.</w:t>
      </w:r>
      <w:r w:rsidRPr="003428AD">
        <w:tab/>
        <w:t>Magnussen J. The Scandinavian healthcare system. Medical solutions. 2009:63-8.</w:t>
      </w:r>
    </w:p>
    <w:p w14:paraId="5E58E0EA" w14:textId="63C7AB63" w:rsidR="003428AD" w:rsidRPr="003428AD" w:rsidRDefault="003428AD" w:rsidP="003428AD">
      <w:pPr>
        <w:pStyle w:val="EndNoteBibliography"/>
      </w:pPr>
      <w:r w:rsidRPr="003428AD">
        <w:t>19.</w:t>
      </w:r>
      <w:r w:rsidRPr="003428AD">
        <w:tab/>
        <w:t xml:space="preserve">Organization WH. Health statistics and information systems 2017 [Available from: </w:t>
      </w:r>
      <w:hyperlink r:id="rId12" w:history="1">
        <w:r w:rsidRPr="003428AD">
          <w:rPr>
            <w:rStyle w:val="Hyperlink"/>
          </w:rPr>
          <w:t>http://www.who.int/healthinfo/mortality_data/en/</w:t>
        </w:r>
      </w:hyperlink>
      <w:r w:rsidRPr="003428AD">
        <w:t>.</w:t>
      </w:r>
    </w:p>
    <w:p w14:paraId="6B22A55D" w14:textId="77777777" w:rsidR="003428AD" w:rsidRPr="003428AD" w:rsidRDefault="003428AD" w:rsidP="003428AD">
      <w:pPr>
        <w:pStyle w:val="EndNoteBibliography"/>
      </w:pPr>
      <w:r w:rsidRPr="003428AD">
        <w:t>20.</w:t>
      </w:r>
      <w:r w:rsidRPr="003428AD">
        <w:tab/>
        <w:t>Rizzi S, Thinggaard M, Engholm G, Christensen N, Johannesen TB, Vaupel JW, et al. Comparison of non-parametric methods for ungrouping coarsely aggregated data. BMC medical research methodology. 2016;16(1):59.</w:t>
      </w:r>
    </w:p>
    <w:p w14:paraId="6B571B56" w14:textId="77777777" w:rsidR="003428AD" w:rsidRPr="003428AD" w:rsidRDefault="003428AD" w:rsidP="003428AD">
      <w:pPr>
        <w:pStyle w:val="EndNoteBibliography"/>
      </w:pPr>
      <w:r w:rsidRPr="003428AD">
        <w:t>21.</w:t>
      </w:r>
      <w:r w:rsidRPr="003428AD">
        <w:tab/>
        <w:t>Rizzi S, Gampe J, Eilers PH. Efficient estimation of smooth distributions from coarsely grouped data. American journal of epidemiology. 2015;182(2):138-47.</w:t>
      </w:r>
    </w:p>
    <w:p w14:paraId="2A6FF811" w14:textId="77777777" w:rsidR="003428AD" w:rsidRPr="003428AD" w:rsidRDefault="003428AD" w:rsidP="003428AD">
      <w:pPr>
        <w:pStyle w:val="EndNoteBibliography"/>
      </w:pPr>
      <w:r w:rsidRPr="003428AD">
        <w:t>22.</w:t>
      </w:r>
      <w:r w:rsidRPr="003428AD">
        <w:tab/>
        <w:t>Organization WH. International statistical classification of diseases and related health problems: World Health Organization; 2004.</w:t>
      </w:r>
    </w:p>
    <w:p w14:paraId="3B8EFF5A" w14:textId="77777777" w:rsidR="003428AD" w:rsidRPr="003428AD" w:rsidRDefault="003428AD" w:rsidP="003428AD">
      <w:pPr>
        <w:pStyle w:val="EndNoteBibliography"/>
      </w:pPr>
      <w:r w:rsidRPr="005A0BFE">
        <w:rPr>
          <w:lang w:val="es-MX"/>
        </w:rPr>
        <w:lastRenderedPageBreak/>
        <w:t>23.</w:t>
      </w:r>
      <w:r w:rsidRPr="005A0BFE">
        <w:rPr>
          <w:lang w:val="es-MX"/>
        </w:rPr>
        <w:tab/>
        <w:t xml:space="preserve">Hashim D, Boffetta P, La Vecchia C, Rota M, Bertuccio P, Malvezzi M, et al. </w:t>
      </w:r>
      <w:r w:rsidRPr="003428AD">
        <w:t>The global decrease in cancer mortality: trends and disparities. Annals of Oncology. 2016;27(5):926-33.</w:t>
      </w:r>
    </w:p>
    <w:p w14:paraId="471E4186" w14:textId="77777777" w:rsidR="003428AD" w:rsidRPr="003428AD" w:rsidRDefault="003428AD" w:rsidP="003428AD">
      <w:pPr>
        <w:pStyle w:val="EndNoteBibliography"/>
      </w:pPr>
      <w:r w:rsidRPr="003428AD">
        <w:t>24.</w:t>
      </w:r>
      <w:r w:rsidRPr="003428AD">
        <w:tab/>
        <w:t>Smallman-Raynor M, Phillips D. Late stages of epidemiological transition: health status in the developed world. Health &amp; place. 1999;5(3):209-22.</w:t>
      </w:r>
    </w:p>
    <w:p w14:paraId="05A7B94D" w14:textId="77777777" w:rsidR="003428AD" w:rsidRPr="003428AD" w:rsidRDefault="003428AD" w:rsidP="003428AD">
      <w:pPr>
        <w:pStyle w:val="EndNoteBibliography"/>
      </w:pPr>
      <w:r w:rsidRPr="003428AD">
        <w:t>25.</w:t>
      </w:r>
      <w:r w:rsidRPr="003428AD">
        <w:tab/>
        <w:t>Organization WH. The world health report 2000: health systems: improving performance: World Health Organization; 2000.</w:t>
      </w:r>
    </w:p>
    <w:p w14:paraId="4E3E914C" w14:textId="77777777" w:rsidR="003428AD" w:rsidRPr="003428AD" w:rsidRDefault="003428AD" w:rsidP="003428AD">
      <w:pPr>
        <w:pStyle w:val="EndNoteBibliography"/>
      </w:pPr>
      <w:r w:rsidRPr="003428AD">
        <w:t>26.</w:t>
      </w:r>
      <w:r w:rsidRPr="003428AD">
        <w:tab/>
        <w:t>Rosenberg HM. Cause of death as a contemporary problem. Journal of the history of medicine and allied sciences. 1999;54(2):133-53.</w:t>
      </w:r>
    </w:p>
    <w:p w14:paraId="1E1BE8BF" w14:textId="77777777" w:rsidR="003428AD" w:rsidRPr="003428AD" w:rsidRDefault="003428AD" w:rsidP="003428AD">
      <w:pPr>
        <w:pStyle w:val="EndNoteBibliography"/>
      </w:pPr>
      <w:r w:rsidRPr="003428AD">
        <w:t>27.</w:t>
      </w:r>
      <w:r w:rsidRPr="003428AD">
        <w:tab/>
        <w:t>Janssen F, Kunst AE. ICD coding changes and discontinuities in trends in cause-specific mortality in six European countries, 1950-99. Bulletin of the World Health Organization. 2004;82(12):904-13.</w:t>
      </w:r>
    </w:p>
    <w:p w14:paraId="764AEB61" w14:textId="77777777" w:rsidR="003428AD" w:rsidRPr="003428AD" w:rsidRDefault="003428AD" w:rsidP="003428AD">
      <w:pPr>
        <w:pStyle w:val="EndNoteBibliography"/>
      </w:pPr>
      <w:r w:rsidRPr="003428AD">
        <w:t>28.</w:t>
      </w:r>
      <w:r w:rsidRPr="003428AD">
        <w:tab/>
        <w:t>van Raalte AA, Caswell H. Perturbation analysis of indices of lifespan variability. Demography. 2013;50(5):1615-40.</w:t>
      </w:r>
    </w:p>
    <w:p w14:paraId="6AE38DB5" w14:textId="77777777" w:rsidR="003428AD" w:rsidRPr="003428AD" w:rsidRDefault="003428AD" w:rsidP="003428AD">
      <w:pPr>
        <w:pStyle w:val="EndNoteBibliography"/>
      </w:pPr>
      <w:r w:rsidRPr="003428AD">
        <w:t>29.</w:t>
      </w:r>
      <w:r w:rsidRPr="003428AD">
        <w:tab/>
        <w:t>Wrycza TF, Missov TI, Baudisch A. Quantifying the shape of aging. PloS one. 2015;10(3):e0119163.</w:t>
      </w:r>
    </w:p>
    <w:p w14:paraId="0B63C94A" w14:textId="77777777" w:rsidR="003428AD" w:rsidRPr="003428AD" w:rsidRDefault="003428AD" w:rsidP="003428AD">
      <w:pPr>
        <w:pStyle w:val="EndNoteBibliography"/>
      </w:pPr>
      <w:r w:rsidRPr="003428AD">
        <w:t>30.</w:t>
      </w:r>
      <w:r w:rsidRPr="003428AD">
        <w:tab/>
        <w:t>Wilmoth JR, Horiuchi S. Rectangularization revisited: Variability of age at death within human populations*. Demography. 1999;36(4):475-95.</w:t>
      </w:r>
    </w:p>
    <w:p w14:paraId="161C4B92" w14:textId="77777777" w:rsidR="003428AD" w:rsidRPr="003428AD" w:rsidRDefault="003428AD" w:rsidP="003428AD">
      <w:pPr>
        <w:pStyle w:val="EndNoteBibliography"/>
      </w:pPr>
      <w:r w:rsidRPr="003428AD">
        <w:t>31.</w:t>
      </w:r>
      <w:r w:rsidRPr="003428AD">
        <w:tab/>
        <w:t>Colchero F, Rau R, Jones OR, Barthold JA, Conde DA, Lenart A, et al. The emergence of longevous populations. Proceedings of the National Academy of Sciences. 2016.</w:t>
      </w:r>
    </w:p>
    <w:p w14:paraId="4D3880E2" w14:textId="77777777" w:rsidR="003428AD" w:rsidRPr="003428AD" w:rsidRDefault="003428AD" w:rsidP="003428AD">
      <w:pPr>
        <w:pStyle w:val="EndNoteBibliography"/>
      </w:pPr>
      <w:r w:rsidRPr="003428AD">
        <w:t>32.</w:t>
      </w:r>
      <w:r w:rsidRPr="003428AD">
        <w:tab/>
        <w:t>Horiuchi S, Wilmoth JR, Pletcher SD. A decomposition method based on a model of continuous change. Demography. 2008;45(4):785-801.</w:t>
      </w:r>
    </w:p>
    <w:p w14:paraId="0FD46ABB" w14:textId="77777777" w:rsidR="003428AD" w:rsidRPr="003428AD" w:rsidRDefault="003428AD" w:rsidP="003428AD">
      <w:pPr>
        <w:pStyle w:val="EndNoteBibliography"/>
      </w:pPr>
      <w:r w:rsidRPr="003428AD">
        <w:t>33.</w:t>
      </w:r>
      <w:r w:rsidRPr="003428AD">
        <w:tab/>
        <w:t>Gillespie DO, Trotter MV, Tuljapurkar SD. Divergence in age patterns of mortality change drives international divergence in lifespan inequality. Demography. 2014;51(3):1003-17.</w:t>
      </w:r>
    </w:p>
    <w:p w14:paraId="698EE963" w14:textId="77777777" w:rsidR="003428AD" w:rsidRPr="003428AD" w:rsidRDefault="003428AD" w:rsidP="003428AD">
      <w:pPr>
        <w:pStyle w:val="EndNoteBibliography"/>
      </w:pPr>
      <w:r w:rsidRPr="003428AD">
        <w:t>34.</w:t>
      </w:r>
      <w:r w:rsidRPr="003428AD">
        <w:tab/>
        <w:t>Seligman B, Greenberg G, Tuljapurkar S. Equity and length of lifespan are not the same. Proceedings of the National Academy of Sciences. 2016;113(30):8420-3.</w:t>
      </w:r>
    </w:p>
    <w:p w14:paraId="39BCA5F7" w14:textId="77777777" w:rsidR="003428AD" w:rsidRPr="003428AD" w:rsidRDefault="003428AD" w:rsidP="003428AD">
      <w:pPr>
        <w:pStyle w:val="EndNoteBibliography"/>
      </w:pPr>
      <w:r w:rsidRPr="003428AD">
        <w:t>35.</w:t>
      </w:r>
      <w:r w:rsidRPr="003428AD">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75E8C52D" w14:textId="77777777" w:rsidR="003428AD" w:rsidRPr="003428AD" w:rsidRDefault="003428AD" w:rsidP="003428AD">
      <w:pPr>
        <w:pStyle w:val="EndNoteBibliography"/>
      </w:pPr>
      <w:r w:rsidRPr="003428AD">
        <w:t>36.</w:t>
      </w:r>
      <w:r w:rsidRPr="003428AD">
        <w:tab/>
        <w:t>Deb-Rinker P, León JA, Gilbert NL, Rouleau J, Andersen A-MN, Bjarnadóttir RI, et al. Differences in perinatal and infant mortality in high-income countries: artifacts of birth registration or evidence of true differences? BMC pediatrics. 2015;15(1):112.</w:t>
      </w:r>
    </w:p>
    <w:p w14:paraId="502B12D5" w14:textId="77777777" w:rsidR="003428AD" w:rsidRPr="003428AD" w:rsidRDefault="003428AD" w:rsidP="003428AD">
      <w:pPr>
        <w:pStyle w:val="EndNoteBibliography"/>
      </w:pPr>
      <w:r w:rsidRPr="003428AD">
        <w:t>37.</w:t>
      </w:r>
      <w:r w:rsidRPr="003428AD">
        <w:tab/>
        <w:t>MacDorman MF, Mathews T. Behind international rankings of infant mortality: how the United States compares with Europe: Department of Health and Human Services, Centers for Disease Control and Prevention, National Center for Health Statistics; 2009.</w:t>
      </w:r>
    </w:p>
    <w:p w14:paraId="2E34B736" w14:textId="77777777" w:rsidR="003428AD" w:rsidRPr="003428AD" w:rsidRDefault="003428AD" w:rsidP="003428AD">
      <w:pPr>
        <w:pStyle w:val="EndNoteBibliography"/>
      </w:pPr>
      <w:r w:rsidRPr="003428AD">
        <w:t>38.</w:t>
      </w:r>
      <w:r w:rsidRPr="003428AD">
        <w:tab/>
        <w:t>Zylbersztejn A, Gilbert R, Hardelid P, Hjern A. Why do more infants die in the UK than in Sweden? An intercountry comparison of birthweight-specific infant mortality. The Lancet. 2015;386:S83.</w:t>
      </w:r>
    </w:p>
    <w:p w14:paraId="4760A8CC" w14:textId="77777777" w:rsidR="003428AD" w:rsidRPr="003428AD" w:rsidRDefault="003428AD" w:rsidP="003428AD">
      <w:pPr>
        <w:pStyle w:val="EndNoteBibliography"/>
      </w:pPr>
      <w:r w:rsidRPr="003428AD">
        <w:t>39.</w:t>
      </w:r>
      <w:r w:rsidRPr="003428AD">
        <w:tab/>
        <w:t>Wennergren G, Nordstrand K, Alm B, Möllborg P, Öhman A, Berlin A, et al. Updated Swedish advice on reducing the risk of sudden infant death syndrome. Acta Paediatrica. 2015;104(5):444-8.</w:t>
      </w:r>
    </w:p>
    <w:p w14:paraId="2F6BC815" w14:textId="69E6EED0" w:rsidR="003428AD" w:rsidRPr="003428AD" w:rsidRDefault="003428AD" w:rsidP="003428AD">
      <w:pPr>
        <w:pStyle w:val="EndNoteBibliography"/>
      </w:pPr>
      <w:r w:rsidRPr="003428AD">
        <w:t>40.</w:t>
      </w:r>
      <w:r w:rsidRPr="003428AD">
        <w:tab/>
        <w:t xml:space="preserve">Organization WH. European Health Information Gateway </w:t>
      </w:r>
      <w:hyperlink r:id="rId13" w:history="1">
        <w:r w:rsidRPr="003428AD">
          <w:rPr>
            <w:rStyle w:val="Hyperlink"/>
          </w:rPr>
          <w:t>https://gateway.euro.who.int/en/indicators/h2020_15-mortality-from-external-causes-males/2017</w:t>
        </w:r>
      </w:hyperlink>
      <w:r w:rsidRPr="003428AD">
        <w:t xml:space="preserve"> [</w:t>
      </w:r>
    </w:p>
    <w:p w14:paraId="7068E913" w14:textId="77777777" w:rsidR="003428AD" w:rsidRPr="003428AD" w:rsidRDefault="003428AD" w:rsidP="003428AD">
      <w:pPr>
        <w:pStyle w:val="EndNoteBibliography"/>
      </w:pPr>
      <w:r w:rsidRPr="003428AD">
        <w:t>41.</w:t>
      </w:r>
      <w:r w:rsidRPr="003428AD">
        <w:tab/>
        <w:t>Titelman D, Oskarsson H, Wahlbeck K, Nordentoft M, Mehlum L, Jiang G-X, et al. Suicide mortality trends in the Nordic countries 1980–2009. Nordic journal of psychiatry. 2013;67(6):414-23.</w:t>
      </w:r>
    </w:p>
    <w:p w14:paraId="56C8A4CF" w14:textId="77777777" w:rsidR="003428AD" w:rsidRPr="003428AD" w:rsidRDefault="003428AD" w:rsidP="003428AD">
      <w:pPr>
        <w:pStyle w:val="EndNoteBibliography"/>
      </w:pPr>
      <w:r w:rsidRPr="003428AD">
        <w:t>42.</w:t>
      </w:r>
      <w:r w:rsidRPr="003428AD">
        <w:tab/>
        <w:t>Bergen H, Hawton K, Kapur N, Cooper J, Steeg S, Ness J, et al. Shared characteristics of suicides and other unnatural deaths following non-fatal self-harm? A multicentre study of risk factors. Psychological medicine. 2012;42(4):727-41.</w:t>
      </w:r>
    </w:p>
    <w:p w14:paraId="31FBEBDD" w14:textId="40E2F218"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3930A" w14:textId="77777777" w:rsidR="00B71D93" w:rsidRDefault="00B71D93" w:rsidP="008626B5">
      <w:r>
        <w:separator/>
      </w:r>
    </w:p>
  </w:endnote>
  <w:endnote w:type="continuationSeparator" w:id="0">
    <w:p w14:paraId="31CC3944" w14:textId="77777777" w:rsidR="00B71D93" w:rsidRDefault="00B71D93"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2D7D2804" w:rsidR="002C12C9" w:rsidRDefault="002C12C9">
        <w:pPr>
          <w:pStyle w:val="Footer"/>
          <w:jc w:val="right"/>
        </w:pPr>
        <w:r>
          <w:fldChar w:fldCharType="begin"/>
        </w:r>
        <w:r>
          <w:instrText xml:space="preserve"> PAGE   \* MERGEFORMAT </w:instrText>
        </w:r>
        <w:r>
          <w:fldChar w:fldCharType="separate"/>
        </w:r>
        <w:r w:rsidR="003909D5">
          <w:rPr>
            <w:noProof/>
          </w:rPr>
          <w:t>16</w:t>
        </w:r>
        <w:r>
          <w:rPr>
            <w:noProof/>
          </w:rPr>
          <w:fldChar w:fldCharType="end"/>
        </w:r>
      </w:p>
    </w:sdtContent>
  </w:sdt>
  <w:p w14:paraId="56B8FCA3" w14:textId="77777777" w:rsidR="002C12C9" w:rsidRDefault="002C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AEBD8" w14:textId="77777777" w:rsidR="00B71D93" w:rsidRDefault="00B71D93" w:rsidP="008626B5">
      <w:r>
        <w:separator/>
      </w:r>
    </w:p>
  </w:footnote>
  <w:footnote w:type="continuationSeparator" w:id="0">
    <w:p w14:paraId="55797B09" w14:textId="77777777" w:rsidR="00B71D93" w:rsidRDefault="00B71D93" w:rsidP="008626B5">
      <w:r>
        <w:continuationSeparator/>
      </w:r>
    </w:p>
  </w:footnote>
  <w:footnote w:id="1">
    <w:p w14:paraId="322F8585" w14:textId="627A5C90" w:rsidR="002C12C9" w:rsidRPr="00F02AAC" w:rsidRDefault="002C12C9">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003909D5">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2C12C9" w:rsidRPr="00F02AAC" w:rsidRDefault="002C12C9">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3B30F7BB" w:rsidR="002C12C9" w:rsidRPr="00C3269E" w:rsidRDefault="002C12C9" w:rsidP="008626B5">
        <w:pPr>
          <w:pStyle w:val="Header"/>
        </w:pPr>
        <w:r w:rsidRPr="00C3269E">
          <w:t>Abu</w:t>
        </w:r>
        <w:r w:rsidR="00C3269E" w:rsidRPr="00C3269E">
          <w:t>rto, Wensink, van Raalte</w:t>
        </w:r>
        <w:r w:rsidRPr="00C3269E">
          <w:t xml:space="preserve">, Lindahl-Jacobsen. </w:t>
        </w:r>
        <w:r w:rsidRPr="00FB05AD">
          <w:t>Lifespan i</w:t>
        </w:r>
        <w:r>
          <w:t>nequality in Denmark</w:t>
        </w:r>
      </w:p>
    </w:sdtContent>
  </w:sdt>
  <w:p w14:paraId="60E2E9D7" w14:textId="77777777" w:rsidR="002C12C9" w:rsidRPr="00902738" w:rsidRDefault="002C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ECBA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D27D9"/>
    <w:rsid w:val="001D3593"/>
    <w:rsid w:val="001D3A4E"/>
    <w:rsid w:val="001D3CBA"/>
    <w:rsid w:val="001E3927"/>
    <w:rsid w:val="001E562B"/>
    <w:rsid w:val="001E58D9"/>
    <w:rsid w:val="001F411F"/>
    <w:rsid w:val="001F78E2"/>
    <w:rsid w:val="00203866"/>
    <w:rsid w:val="00205DAA"/>
    <w:rsid w:val="00211E35"/>
    <w:rsid w:val="00212E6B"/>
    <w:rsid w:val="00213CE0"/>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515A"/>
    <w:rsid w:val="002B5CC4"/>
    <w:rsid w:val="002B5E56"/>
    <w:rsid w:val="002B6154"/>
    <w:rsid w:val="002B77C9"/>
    <w:rsid w:val="002C014C"/>
    <w:rsid w:val="002C12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163A2"/>
    <w:rsid w:val="00320ADC"/>
    <w:rsid w:val="00322503"/>
    <w:rsid w:val="00322AB3"/>
    <w:rsid w:val="00323B4F"/>
    <w:rsid w:val="003269C6"/>
    <w:rsid w:val="00327149"/>
    <w:rsid w:val="00330988"/>
    <w:rsid w:val="003347D9"/>
    <w:rsid w:val="00337564"/>
    <w:rsid w:val="0034028C"/>
    <w:rsid w:val="00340C1C"/>
    <w:rsid w:val="00340C80"/>
    <w:rsid w:val="003428AD"/>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A16"/>
    <w:rsid w:val="003B54D7"/>
    <w:rsid w:val="003B7D55"/>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10FFF"/>
    <w:rsid w:val="00413112"/>
    <w:rsid w:val="00413168"/>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604"/>
    <w:rsid w:val="00521967"/>
    <w:rsid w:val="00524AC0"/>
    <w:rsid w:val="00525247"/>
    <w:rsid w:val="00527CE0"/>
    <w:rsid w:val="00530A90"/>
    <w:rsid w:val="0053188E"/>
    <w:rsid w:val="0053225A"/>
    <w:rsid w:val="00533725"/>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3F71"/>
    <w:rsid w:val="005A626C"/>
    <w:rsid w:val="005B02EC"/>
    <w:rsid w:val="005B3F32"/>
    <w:rsid w:val="005B45D9"/>
    <w:rsid w:val="005B5249"/>
    <w:rsid w:val="005B5B35"/>
    <w:rsid w:val="005B7911"/>
    <w:rsid w:val="005C1335"/>
    <w:rsid w:val="005C43B4"/>
    <w:rsid w:val="005C775B"/>
    <w:rsid w:val="005C78C1"/>
    <w:rsid w:val="005C7E5B"/>
    <w:rsid w:val="005D1509"/>
    <w:rsid w:val="005D2402"/>
    <w:rsid w:val="005D3DE1"/>
    <w:rsid w:val="005D44B2"/>
    <w:rsid w:val="005D4E89"/>
    <w:rsid w:val="005D68A9"/>
    <w:rsid w:val="005E0526"/>
    <w:rsid w:val="005E392D"/>
    <w:rsid w:val="005E4AC8"/>
    <w:rsid w:val="005F2A5A"/>
    <w:rsid w:val="005F3D9D"/>
    <w:rsid w:val="005F4AC9"/>
    <w:rsid w:val="005F639E"/>
    <w:rsid w:val="005F7F34"/>
    <w:rsid w:val="0060157E"/>
    <w:rsid w:val="00601F20"/>
    <w:rsid w:val="00605295"/>
    <w:rsid w:val="00611647"/>
    <w:rsid w:val="00612258"/>
    <w:rsid w:val="006138AE"/>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52D9"/>
    <w:rsid w:val="006D63B1"/>
    <w:rsid w:val="006D6A35"/>
    <w:rsid w:val="006D7636"/>
    <w:rsid w:val="006D7692"/>
    <w:rsid w:val="006E1248"/>
    <w:rsid w:val="006E1962"/>
    <w:rsid w:val="006E30EE"/>
    <w:rsid w:val="006E5308"/>
    <w:rsid w:val="006E6580"/>
    <w:rsid w:val="006F2D06"/>
    <w:rsid w:val="006F31FB"/>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289B"/>
    <w:rsid w:val="007F36D4"/>
    <w:rsid w:val="007F3CD3"/>
    <w:rsid w:val="007F4E3F"/>
    <w:rsid w:val="00800A46"/>
    <w:rsid w:val="00800EDF"/>
    <w:rsid w:val="008013ED"/>
    <w:rsid w:val="00802F99"/>
    <w:rsid w:val="00813155"/>
    <w:rsid w:val="00813A3D"/>
    <w:rsid w:val="008143C4"/>
    <w:rsid w:val="00814E48"/>
    <w:rsid w:val="0082005B"/>
    <w:rsid w:val="008200AA"/>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B18"/>
    <w:rsid w:val="00A122F8"/>
    <w:rsid w:val="00A147FD"/>
    <w:rsid w:val="00A14B71"/>
    <w:rsid w:val="00A16BDF"/>
    <w:rsid w:val="00A207CD"/>
    <w:rsid w:val="00A226A3"/>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90F"/>
    <w:rsid w:val="00A677BD"/>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008A"/>
    <w:rsid w:val="00B2566E"/>
    <w:rsid w:val="00B25ECB"/>
    <w:rsid w:val="00B271DB"/>
    <w:rsid w:val="00B2783C"/>
    <w:rsid w:val="00B347B2"/>
    <w:rsid w:val="00B36A61"/>
    <w:rsid w:val="00B37C3E"/>
    <w:rsid w:val="00B4142C"/>
    <w:rsid w:val="00B421AB"/>
    <w:rsid w:val="00B44767"/>
    <w:rsid w:val="00B516BA"/>
    <w:rsid w:val="00B51BAC"/>
    <w:rsid w:val="00B53B23"/>
    <w:rsid w:val="00B5429B"/>
    <w:rsid w:val="00B62339"/>
    <w:rsid w:val="00B62851"/>
    <w:rsid w:val="00B6379F"/>
    <w:rsid w:val="00B64AD0"/>
    <w:rsid w:val="00B6532B"/>
    <w:rsid w:val="00B66DBA"/>
    <w:rsid w:val="00B70301"/>
    <w:rsid w:val="00B71D93"/>
    <w:rsid w:val="00B72FC1"/>
    <w:rsid w:val="00B73C4D"/>
    <w:rsid w:val="00B748D9"/>
    <w:rsid w:val="00B77980"/>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2A5C"/>
    <w:rsid w:val="00C44080"/>
    <w:rsid w:val="00C458A5"/>
    <w:rsid w:val="00C46524"/>
    <w:rsid w:val="00C47CBD"/>
    <w:rsid w:val="00C535AE"/>
    <w:rsid w:val="00C53AED"/>
    <w:rsid w:val="00C54898"/>
    <w:rsid w:val="00C55204"/>
    <w:rsid w:val="00C5680A"/>
    <w:rsid w:val="00C6178A"/>
    <w:rsid w:val="00C6356B"/>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C7711"/>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7D58"/>
    <w:rsid w:val="00D30CC9"/>
    <w:rsid w:val="00D33718"/>
    <w:rsid w:val="00D34ACD"/>
    <w:rsid w:val="00D34FEC"/>
    <w:rsid w:val="00D3712D"/>
    <w:rsid w:val="00D4032F"/>
    <w:rsid w:val="00D40C19"/>
    <w:rsid w:val="00D43270"/>
    <w:rsid w:val="00D453F6"/>
    <w:rsid w:val="00D461FC"/>
    <w:rsid w:val="00D47A07"/>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2F6"/>
    <w:rsid w:val="00F66652"/>
    <w:rsid w:val="00F66A0C"/>
    <w:rsid w:val="00F715BC"/>
    <w:rsid w:val="00F72CE1"/>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31B4"/>
    <w:rsid w:val="00FE468B"/>
    <w:rsid w:val="00FE57CF"/>
    <w:rsid w:val="00FE6BB4"/>
    <w:rsid w:val="00FE7C68"/>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yperlink" Target="https://gateway.euro.who.int/en/indicators/h2020_15-mortality-from-external-causes-male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8C2F3-2A22-45E3-83A1-AC2EFE12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16</Pages>
  <Words>9685</Words>
  <Characters>55209</Characters>
  <Application>Microsoft Office Word</Application>
  <DocSecurity>0</DocSecurity>
  <Lines>460</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84</cp:revision>
  <dcterms:created xsi:type="dcterms:W3CDTF">2017-10-25T13:43:00Z</dcterms:created>
  <dcterms:modified xsi:type="dcterms:W3CDTF">2017-12-14T09:44:00Z</dcterms:modified>
</cp:coreProperties>
</file>