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EF34DE" w14:textId="0DC94BCF" w:rsidR="00012759" w:rsidRPr="00012759" w:rsidRDefault="00012759">
      <w:pPr>
        <w:rPr>
          <w:b/>
        </w:rPr>
      </w:pPr>
      <w:r w:rsidRPr="00012759">
        <w:rPr>
          <w:b/>
        </w:rPr>
        <w:t>Reply to editor</w:t>
      </w:r>
      <w:r w:rsidR="002010C1">
        <w:rPr>
          <w:b/>
        </w:rPr>
        <w:t>s</w:t>
      </w:r>
    </w:p>
    <w:p w14:paraId="33EA3FF3" w14:textId="77777777" w:rsidR="00F55F4F" w:rsidRDefault="00F55F4F" w:rsidP="00012759">
      <w:pPr>
        <w:rPr>
          <w:rFonts w:cs="Times New Roman"/>
          <w:szCs w:val="24"/>
        </w:rPr>
      </w:pPr>
    </w:p>
    <w:p w14:paraId="5D92B846" w14:textId="53CD00FA" w:rsidR="00230A14" w:rsidRPr="004C1231" w:rsidRDefault="00012759" w:rsidP="00012759">
      <w:pPr>
        <w:rPr>
          <w:rFonts w:cs="Times New Roman"/>
          <w:szCs w:val="24"/>
        </w:rPr>
      </w:pPr>
      <w:r w:rsidRPr="004C1231">
        <w:rPr>
          <w:rFonts w:cs="Times New Roman"/>
          <w:szCs w:val="24"/>
        </w:rPr>
        <w:t xml:space="preserve">We thank the </w:t>
      </w:r>
      <w:r>
        <w:rPr>
          <w:rFonts w:cs="Times New Roman"/>
          <w:szCs w:val="24"/>
        </w:rPr>
        <w:t>editorial board</w:t>
      </w:r>
      <w:r w:rsidRPr="004C1231">
        <w:rPr>
          <w:rFonts w:cs="Times New Roman"/>
          <w:szCs w:val="24"/>
        </w:rPr>
        <w:t xml:space="preserve"> for the</w:t>
      </w:r>
      <w:r>
        <w:rPr>
          <w:rFonts w:cs="Times New Roman"/>
          <w:szCs w:val="24"/>
        </w:rPr>
        <w:t xml:space="preserve"> opportunity to revise our manuscript. </w:t>
      </w:r>
      <w:r w:rsidRPr="004C1231">
        <w:rPr>
          <w:rFonts w:cs="Times New Roman"/>
          <w:szCs w:val="24"/>
        </w:rPr>
        <w:t xml:space="preserve">Our responses to the </w:t>
      </w:r>
      <w:r w:rsidR="0095610F">
        <w:rPr>
          <w:rFonts w:cs="Times New Roman"/>
          <w:szCs w:val="24"/>
        </w:rPr>
        <w:t xml:space="preserve">editors’ </w:t>
      </w:r>
      <w:r w:rsidRPr="004C1231">
        <w:rPr>
          <w:rFonts w:cs="Times New Roman"/>
          <w:szCs w:val="24"/>
        </w:rPr>
        <w:t xml:space="preserve">comments are outlined below </w:t>
      </w:r>
      <w:r>
        <w:rPr>
          <w:rFonts w:cs="Times New Roman"/>
          <w:szCs w:val="24"/>
        </w:rPr>
        <w:t xml:space="preserve">in regular font with </w:t>
      </w:r>
      <w:r w:rsidR="0095610F">
        <w:rPr>
          <w:rFonts w:cs="Times New Roman"/>
          <w:szCs w:val="24"/>
        </w:rPr>
        <w:t>edito</w:t>
      </w:r>
      <w:r>
        <w:rPr>
          <w:rFonts w:cs="Times New Roman"/>
          <w:szCs w:val="24"/>
        </w:rPr>
        <w:t xml:space="preserve">r’s comments </w:t>
      </w:r>
      <w:r w:rsidRPr="004C1231">
        <w:rPr>
          <w:rFonts w:cs="Times New Roman"/>
          <w:szCs w:val="24"/>
        </w:rPr>
        <w:t>in bold font.</w:t>
      </w:r>
      <w:r w:rsidR="00230A14">
        <w:rPr>
          <w:rFonts w:cs="Times New Roman"/>
          <w:szCs w:val="24"/>
        </w:rPr>
        <w:t xml:space="preserve"> </w:t>
      </w:r>
    </w:p>
    <w:p w14:paraId="5DF5BF0C" w14:textId="47301E11" w:rsidR="00012759" w:rsidRDefault="00012759"/>
    <w:p w14:paraId="72C1B97C"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Default="002010C1" w:rsidP="002010C1">
      <w:pPr>
        <w:autoSpaceDE w:val="0"/>
        <w:autoSpaceDN w:val="0"/>
        <w:adjustRightInd w:val="0"/>
        <w:jc w:val="both"/>
        <w:rPr>
          <w:rFonts w:cs="Times New Roman"/>
          <w:b/>
          <w:szCs w:val="24"/>
        </w:rPr>
      </w:pPr>
    </w:p>
    <w:p w14:paraId="73560740"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Default="002010C1" w:rsidP="002010C1">
      <w:pPr>
        <w:autoSpaceDE w:val="0"/>
        <w:autoSpaceDN w:val="0"/>
        <w:adjustRightInd w:val="0"/>
        <w:jc w:val="both"/>
        <w:rPr>
          <w:rFonts w:cs="Times New Roman"/>
          <w:b/>
          <w:szCs w:val="24"/>
        </w:rPr>
      </w:pPr>
    </w:p>
    <w:p w14:paraId="359CAA10" w14:textId="1BC0083F" w:rsidR="00230A14" w:rsidRPr="00957A96" w:rsidRDefault="00230A14" w:rsidP="00230A14">
      <w:pPr>
        <w:autoSpaceDE w:val="0"/>
        <w:autoSpaceDN w:val="0"/>
        <w:adjustRightInd w:val="0"/>
        <w:jc w:val="both"/>
        <w:rPr>
          <w:rFonts w:cs="Times New Roman"/>
          <w:szCs w:val="24"/>
        </w:rPr>
      </w:pPr>
      <w:r w:rsidRPr="00957A96">
        <w:rPr>
          <w:rFonts w:cs="Times New Roman"/>
          <w:szCs w:val="24"/>
        </w:rPr>
        <w:t>Reviewer 1</w:t>
      </w:r>
      <w:r w:rsidR="00442C2A">
        <w:rPr>
          <w:rFonts w:cs="Times New Roman"/>
          <w:szCs w:val="24"/>
        </w:rPr>
        <w:t>’s comments led</w:t>
      </w:r>
      <w:r w:rsidRPr="00957A96">
        <w:rPr>
          <w:rFonts w:cs="Times New Roman"/>
          <w:szCs w:val="24"/>
        </w:rPr>
        <w:t xml:space="preserve"> us to go deeper into </w:t>
      </w:r>
      <w:r w:rsidR="005F7FFD" w:rsidRPr="00957A96">
        <w:rPr>
          <w:rFonts w:cs="Times New Roman"/>
          <w:szCs w:val="24"/>
        </w:rPr>
        <w:t xml:space="preserve">country-specific </w:t>
      </w:r>
      <w:r w:rsidRPr="00957A96">
        <w:rPr>
          <w:rFonts w:cs="Times New Roman"/>
          <w:szCs w:val="24"/>
        </w:rPr>
        <w:t xml:space="preserve">data quality issues and to explore more substantive explanations about mortality change, particularly in Central Europe. </w:t>
      </w:r>
      <w:r w:rsidR="005F7FFD" w:rsidRPr="00957A96">
        <w:rPr>
          <w:rFonts w:cs="Times New Roman"/>
          <w:szCs w:val="24"/>
        </w:rPr>
        <w:t xml:space="preserve">There is always the danger with a </w:t>
      </w:r>
      <w:r w:rsidR="00957A96">
        <w:rPr>
          <w:rFonts w:cs="Times New Roman"/>
          <w:szCs w:val="24"/>
        </w:rPr>
        <w:t>large</w:t>
      </w:r>
      <w:r w:rsidR="005F7FFD" w:rsidRPr="00957A96">
        <w:rPr>
          <w:rFonts w:cs="Times New Roman"/>
          <w:szCs w:val="24"/>
        </w:rPr>
        <w:t xml:space="preserve"> comparative study that important differences between countries get overlooked, and admittedly this was </w:t>
      </w:r>
      <w:r w:rsidR="00957A96">
        <w:rPr>
          <w:rFonts w:cs="Times New Roman"/>
          <w:szCs w:val="24"/>
        </w:rPr>
        <w:t>a weakness in</w:t>
      </w:r>
      <w:r w:rsidR="005F7FFD" w:rsidRPr="00957A96">
        <w:rPr>
          <w:rFonts w:cs="Times New Roman"/>
          <w:szCs w:val="24"/>
        </w:rPr>
        <w:t xml:space="preserve"> the previous version of the manuscript. </w:t>
      </w:r>
      <w:r w:rsidR="00957A96">
        <w:rPr>
          <w:rFonts w:cs="Times New Roman"/>
          <w:szCs w:val="24"/>
        </w:rPr>
        <w:t xml:space="preserve">We </w:t>
      </w:r>
      <w:r w:rsidR="002C3AF4">
        <w:rPr>
          <w:rFonts w:cs="Times New Roman"/>
          <w:szCs w:val="24"/>
        </w:rPr>
        <w:t xml:space="preserve">appreciated and </w:t>
      </w:r>
      <w:r w:rsidR="00957A96">
        <w:rPr>
          <w:rFonts w:cs="Times New Roman"/>
          <w:szCs w:val="24"/>
        </w:rPr>
        <w:t xml:space="preserve">took each comment seriously, and </w:t>
      </w:r>
      <w:r w:rsidRPr="00957A96">
        <w:rPr>
          <w:rFonts w:cs="Times New Roman"/>
          <w:szCs w:val="24"/>
        </w:rPr>
        <w:t xml:space="preserve">hope that by addressing </w:t>
      </w:r>
      <w:r w:rsidR="005F7FFD" w:rsidRPr="00957A96">
        <w:rPr>
          <w:rFonts w:cs="Times New Roman"/>
          <w:szCs w:val="24"/>
        </w:rPr>
        <w:t xml:space="preserve">each of </w:t>
      </w:r>
      <w:r w:rsidRPr="00957A96">
        <w:rPr>
          <w:rFonts w:cs="Times New Roman"/>
          <w:szCs w:val="24"/>
        </w:rPr>
        <w:t xml:space="preserve">these issues, </w:t>
      </w:r>
      <w:r w:rsidR="005F7FFD" w:rsidRPr="00957A96">
        <w:rPr>
          <w:rFonts w:cs="Times New Roman"/>
          <w:szCs w:val="24"/>
        </w:rPr>
        <w:t xml:space="preserve">and by pushing the different interpretations that come out of lifespan variation as compared to life expectancy, </w:t>
      </w:r>
      <w:r w:rsidRPr="00957A96">
        <w:rPr>
          <w:rFonts w:cs="Times New Roman"/>
          <w:szCs w:val="24"/>
        </w:rPr>
        <w:t>we have ultimately improved the integrity</w:t>
      </w:r>
      <w:r w:rsidR="005F7FFD" w:rsidRPr="00957A96">
        <w:rPr>
          <w:rFonts w:cs="Times New Roman"/>
          <w:szCs w:val="24"/>
        </w:rPr>
        <w:t xml:space="preserve"> and overall added value</w:t>
      </w:r>
      <w:r w:rsidRPr="00957A96">
        <w:rPr>
          <w:rFonts w:cs="Times New Roman"/>
          <w:szCs w:val="24"/>
        </w:rPr>
        <w:t xml:space="preserve"> of the manuscript. </w:t>
      </w:r>
      <w:r w:rsidR="005F7FFD" w:rsidRPr="00957A96">
        <w:rPr>
          <w:rFonts w:cs="Times New Roman"/>
          <w:szCs w:val="24"/>
        </w:rPr>
        <w:t>More details can be found in the reply to reviewers section.</w:t>
      </w:r>
    </w:p>
    <w:p w14:paraId="75B0FF7F" w14:textId="77777777" w:rsidR="00230A14" w:rsidRDefault="00230A14" w:rsidP="002010C1">
      <w:pPr>
        <w:autoSpaceDE w:val="0"/>
        <w:autoSpaceDN w:val="0"/>
        <w:adjustRightInd w:val="0"/>
        <w:jc w:val="both"/>
        <w:rPr>
          <w:rFonts w:cs="Times New Roman"/>
          <w:b/>
          <w:szCs w:val="24"/>
        </w:rPr>
      </w:pPr>
    </w:p>
    <w:p w14:paraId="76F2F28B"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R2 would like the more interesting and important results to be highlighted and/or summarized as well as consideration given to looking at subgroupings of countries. </w:t>
      </w:r>
    </w:p>
    <w:p w14:paraId="7AEA4DB2" w14:textId="77777777" w:rsidR="002010C1" w:rsidRDefault="002010C1" w:rsidP="002010C1">
      <w:pPr>
        <w:autoSpaceDE w:val="0"/>
        <w:autoSpaceDN w:val="0"/>
        <w:adjustRightInd w:val="0"/>
        <w:jc w:val="both"/>
        <w:rPr>
          <w:rFonts w:cs="Times New Roman"/>
          <w:b/>
          <w:szCs w:val="24"/>
        </w:rPr>
      </w:pPr>
    </w:p>
    <w:p w14:paraId="5DBB78C3" w14:textId="72EC18E9" w:rsidR="005F7FFD" w:rsidRPr="00957A96" w:rsidRDefault="005F7FFD" w:rsidP="002010C1">
      <w:pPr>
        <w:autoSpaceDE w:val="0"/>
        <w:autoSpaceDN w:val="0"/>
        <w:adjustRightInd w:val="0"/>
        <w:jc w:val="both"/>
        <w:rPr>
          <w:rFonts w:cs="Times New Roman"/>
          <w:szCs w:val="24"/>
        </w:rPr>
      </w:pPr>
      <w:r w:rsidRPr="00957A96">
        <w:rPr>
          <w:rFonts w:cs="Times New Roman"/>
          <w:szCs w:val="24"/>
        </w:rPr>
        <w:t>As far as possible, we grouped our discussion around 3 broad groupings that each experienced more similar trends: Central Europe, the Baltic countries, and the other</w:t>
      </w:r>
      <w:r w:rsidR="00D229F9">
        <w:rPr>
          <w:rFonts w:cs="Times New Roman"/>
          <w:szCs w:val="24"/>
        </w:rPr>
        <w:t xml:space="preserve"> former Soviet countries</w:t>
      </w:r>
      <w:r w:rsidRPr="00957A96">
        <w:rPr>
          <w:rFonts w:cs="Times New Roman"/>
          <w:szCs w:val="24"/>
        </w:rPr>
        <w:t xml:space="preserve"> </w:t>
      </w:r>
      <w:r w:rsidR="00D229F9">
        <w:rPr>
          <w:rFonts w:cs="Times New Roman"/>
          <w:szCs w:val="24"/>
        </w:rPr>
        <w:t>(</w:t>
      </w:r>
      <w:r w:rsidRPr="00957A96">
        <w:rPr>
          <w:rFonts w:cs="Times New Roman"/>
          <w:szCs w:val="24"/>
        </w:rPr>
        <w:t>FSU</w:t>
      </w:r>
      <w:r w:rsidR="00D229F9">
        <w:rPr>
          <w:rFonts w:cs="Times New Roman"/>
          <w:szCs w:val="24"/>
        </w:rPr>
        <w:t>)</w:t>
      </w:r>
      <w:r w:rsidRPr="00957A96">
        <w:rPr>
          <w:rFonts w:cs="Times New Roman"/>
          <w:szCs w:val="24"/>
        </w:rPr>
        <w:t>.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Default="005F7FFD" w:rsidP="002010C1">
      <w:pPr>
        <w:autoSpaceDE w:val="0"/>
        <w:autoSpaceDN w:val="0"/>
        <w:adjustRightInd w:val="0"/>
        <w:jc w:val="both"/>
        <w:rPr>
          <w:rFonts w:cs="Times New Roman"/>
          <w:b/>
          <w:szCs w:val="24"/>
        </w:rPr>
      </w:pPr>
    </w:p>
    <w:p w14:paraId="7C068FE7" w14:textId="5707F147" w:rsidR="002010C1" w:rsidRPr="002010C1" w:rsidRDefault="002010C1" w:rsidP="002010C1">
      <w:pPr>
        <w:autoSpaceDE w:val="0"/>
        <w:autoSpaceDN w:val="0"/>
        <w:adjustRightInd w:val="0"/>
        <w:jc w:val="both"/>
        <w:rPr>
          <w:rFonts w:cs="Times New Roman"/>
          <w:b/>
          <w:szCs w:val="24"/>
        </w:rPr>
      </w:pPr>
      <w:r w:rsidRPr="002010C1">
        <w:rPr>
          <w:rFonts w:cs="Times New Roman"/>
          <w:b/>
          <w:szCs w:val="24"/>
        </w:rPr>
        <w:t>R3 asks the authors to consider including cause-specific data from WHO, which would strengthen the analysis further. Please consider following this suggestion.</w:t>
      </w:r>
    </w:p>
    <w:p w14:paraId="10809D55" w14:textId="77777777" w:rsidR="005F7FFD" w:rsidRDefault="005F7FFD"/>
    <w:p w14:paraId="1F4D7049" w14:textId="0AD6216D" w:rsidR="00957A96" w:rsidRDefault="005F7FFD">
      <w:r>
        <w:t>We considered this possibility also at an earlier stage</w:t>
      </w:r>
      <w:r w:rsidR="00957A96">
        <w:t xml:space="preserve"> of research</w:t>
      </w:r>
      <w:r>
        <w:t>. Frankly, the ruptures between causes of death over the ICD revisions were so large, that we were w</w:t>
      </w:r>
      <w:r w:rsidR="00957A96">
        <w:t>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unharmonized cause-of-death data to the attention of the research community, so that the value of reconstructed time series of cause of death data can be more fully appreciated.</w:t>
      </w:r>
    </w:p>
    <w:p w14:paraId="45F95DFB" w14:textId="77777777" w:rsidR="00957A96" w:rsidRDefault="00957A96"/>
    <w:p w14:paraId="34D49B70" w14:textId="338EBD25" w:rsidR="002010C1" w:rsidRDefault="002010C1"/>
    <w:p w14:paraId="69C3B796" w14:textId="77777777" w:rsidR="00957A96" w:rsidRDefault="00957A96" w:rsidP="0053754D">
      <w:pPr>
        <w:jc w:val="both"/>
        <w:rPr>
          <w:b/>
        </w:rPr>
      </w:pPr>
    </w:p>
    <w:p w14:paraId="1C7A4D3B" w14:textId="77777777" w:rsidR="002010C1" w:rsidRPr="00012759" w:rsidRDefault="002010C1" w:rsidP="0053754D">
      <w:pPr>
        <w:jc w:val="both"/>
        <w:rPr>
          <w:b/>
        </w:rPr>
      </w:pPr>
      <w:r w:rsidRPr="00012759">
        <w:rPr>
          <w:b/>
        </w:rPr>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lastRenderedPageBreak/>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0FE01893" w14:textId="77777777" w:rsidR="006B6AE6" w:rsidRDefault="006B6AE6" w:rsidP="0053754D">
      <w:pPr>
        <w:jc w:val="both"/>
      </w:pPr>
    </w:p>
    <w:p w14:paraId="4EB6B6F1" w14:textId="54E9293E"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6704"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two decades with no substantial changes in the coefficient of variation</w:t>
      </w:r>
      <w:r w:rsidR="00E271C4">
        <w:t xml:space="preserve"> between life expectancies</w:t>
      </w:r>
      <w:r w:rsidR="00AA0177">
        <w:t>.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partly the reason of the rise in life expectancy in those years (Leon et al 1997, Bobadilla et al 1997, Cockerman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century.</w:t>
      </w:r>
    </w:p>
    <w:p w14:paraId="0CAA7B6E" w14:textId="05EE1936" w:rsidR="00D445A8" w:rsidRDefault="00D445A8" w:rsidP="0053754D">
      <w:pPr>
        <w:jc w:val="both"/>
      </w:pPr>
    </w:p>
    <w:p w14:paraId="08096B35" w14:textId="1BB6947A"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Our selection does not change the main results compared with the statistically found ones</w:t>
      </w:r>
      <w:r w:rsidR="004E0DD1">
        <w:t>. In fact, the statistically determined breaks actually result in a marginally higher number of positively correlated changes in life expectancy and lifespan disparity for every period (see table below).</w:t>
      </w:r>
      <w:r>
        <w:t xml:space="preserve"> </w:t>
      </w:r>
      <w:r w:rsidR="00D445A8">
        <w:t>In addition, we have created an interactive app (</w:t>
      </w:r>
      <w:hyperlink r:id="rId9" w:history="1">
        <w:r w:rsidR="00D445A8" w:rsidRPr="00225329">
          <w:rPr>
            <w:rStyle w:val="Hyperlink"/>
          </w:rPr>
          <w:t>https://demographs.shinyapps.io/CEE_App/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5A4CED76" w14:textId="77777777" w:rsidR="006B6AE6" w:rsidRDefault="006B6AE6" w:rsidP="0053754D">
      <w:pPr>
        <w:jc w:val="both"/>
      </w:pPr>
    </w:p>
    <w:p w14:paraId="019B5F07" w14:textId="0C15E0DD" w:rsidR="00AA0177" w:rsidRDefault="00D34ADF" w:rsidP="0053754D">
      <w:pPr>
        <w:jc w:val="both"/>
      </w:pPr>
      <w:r>
        <w:rPr>
          <w:noProof/>
        </w:rPr>
        <w:drawing>
          <wp:anchor distT="0" distB="0" distL="114300" distR="114300" simplePos="0" relativeHeight="251657728" behindDoc="0" locked="0" layoutInCell="1" allowOverlap="1" wp14:anchorId="70F0FB85" wp14:editId="36025DA2">
            <wp:simplePos x="0" y="0"/>
            <wp:positionH relativeFrom="column">
              <wp:posOffset>-346841</wp:posOffset>
            </wp:positionH>
            <wp:positionV relativeFrom="paragraph">
              <wp:posOffset>302654</wp:posOffset>
            </wp:positionV>
            <wp:extent cx="6646207" cy="344949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207" cy="3449495"/>
                    </a:xfrm>
                    <a:prstGeom prst="rect">
                      <a:avLst/>
                    </a:prstGeom>
                  </pic:spPr>
                </pic:pic>
              </a:graphicData>
            </a:graphic>
            <wp14:sizeRelH relativeFrom="page">
              <wp14:pctWidth>0</wp14:pctWidth>
            </wp14:sizeRelH>
            <wp14:sizeRelV relativeFrom="page">
              <wp14:pctHeight>0</wp14:pctHeight>
            </wp14:sizeRelV>
          </wp:anchor>
        </w:drawing>
      </w:r>
      <w:r w:rsidR="006B6AE6">
        <w:t>Results with statistical break points:</w:t>
      </w:r>
    </w:p>
    <w:p w14:paraId="387187E2" w14:textId="5B0C90A5" w:rsidR="006B6AE6" w:rsidRDefault="006B6AE6" w:rsidP="0053754D">
      <w:pPr>
        <w:jc w:val="both"/>
      </w:pPr>
    </w:p>
    <w:p w14:paraId="36263137" w14:textId="457059B9" w:rsidR="008576D9" w:rsidRDefault="008576D9">
      <w:r>
        <w:br w:type="page"/>
      </w:r>
    </w:p>
    <w:p w14:paraId="77CB4AAA" w14:textId="23B90FB8" w:rsidR="003F6508" w:rsidRDefault="0080320F" w:rsidP="0053754D">
      <w:pPr>
        <w:jc w:val="both"/>
      </w:pPr>
      <w:r>
        <w:lastRenderedPageBreak/>
        <w:t>Table. Proportions of changes in life expectancy and lifespan variation in the same and opposite direction, using statistical</w:t>
      </w:r>
      <w:r w:rsidR="004E0DD1">
        <w:t xml:space="preserve">ly determined </w:t>
      </w:r>
      <w:r>
        <w:t>break points</w:t>
      </w:r>
      <w:r w:rsidR="004E0DD1">
        <w:t xml:space="preserve"> versus historically determined break points</w:t>
      </w:r>
      <w:r>
        <w:t>.</w:t>
      </w:r>
      <w:r w:rsidR="003C4037">
        <w:t xml:space="preserve"> “</w:t>
      </w:r>
      <w:r w:rsidR="008576D9">
        <w:t>Expected</w:t>
      </w:r>
      <w:r w:rsidR="003C4037">
        <w:t xml:space="preserve"> direction” refer to mortality change that caused either </w:t>
      </w:r>
      <w:r w:rsidR="008576D9">
        <w:t>a simultaneous</w:t>
      </w:r>
      <w:r w:rsidR="003C4037">
        <w:t xml:space="preserve"> increase in life expectancy and </w:t>
      </w:r>
      <w:r w:rsidR="008576D9">
        <w:t xml:space="preserve">decrease </w:t>
      </w:r>
      <w:r w:rsidR="003C4037">
        <w:t>in life disparity</w:t>
      </w:r>
      <w:r w:rsidR="008576D9">
        <w:t xml:space="preserve"> or vice versa. Changes in an ‘unexpected direction’ were when both indices either increased or decreased together (aka weakening the commonly observed negative correlation).</w:t>
      </w:r>
    </w:p>
    <w:p w14:paraId="66AD3256" w14:textId="6456952D" w:rsidR="003F6508" w:rsidRDefault="003F6508" w:rsidP="0053754D">
      <w:pPr>
        <w:jc w:val="both"/>
      </w:pPr>
    </w:p>
    <w:tbl>
      <w:tblPr>
        <w:tblW w:w="9660" w:type="dxa"/>
        <w:tblInd w:w="93" w:type="dxa"/>
        <w:tblLook w:val="04A0" w:firstRow="1" w:lastRow="0" w:firstColumn="1" w:lastColumn="0" w:noHBand="0" w:noVBand="1"/>
      </w:tblPr>
      <w:tblGrid>
        <w:gridCol w:w="1406"/>
        <w:gridCol w:w="1380"/>
        <w:gridCol w:w="1380"/>
        <w:gridCol w:w="1380"/>
        <w:gridCol w:w="1380"/>
        <w:gridCol w:w="1380"/>
        <w:gridCol w:w="1380"/>
      </w:tblGrid>
      <w:tr w:rsidR="004E0DD1" w:rsidRPr="004E0DD1" w14:paraId="0D789F14" w14:textId="77777777" w:rsidTr="004E0DD1">
        <w:trPr>
          <w:trHeight w:val="288"/>
        </w:trPr>
        <w:tc>
          <w:tcPr>
            <w:tcW w:w="1380" w:type="dxa"/>
            <w:tcBorders>
              <w:top w:val="nil"/>
              <w:left w:val="nil"/>
              <w:bottom w:val="nil"/>
              <w:right w:val="nil"/>
            </w:tcBorders>
            <w:shd w:val="clear" w:color="auto" w:fill="auto"/>
            <w:noWrap/>
            <w:vAlign w:val="bottom"/>
            <w:hideMark/>
          </w:tcPr>
          <w:p w14:paraId="01C20CC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Period</w:t>
            </w:r>
          </w:p>
        </w:tc>
        <w:tc>
          <w:tcPr>
            <w:tcW w:w="2760" w:type="dxa"/>
            <w:gridSpan w:val="2"/>
            <w:tcBorders>
              <w:top w:val="nil"/>
              <w:left w:val="nil"/>
              <w:bottom w:val="nil"/>
              <w:right w:val="nil"/>
            </w:tcBorders>
            <w:shd w:val="clear" w:color="auto" w:fill="auto"/>
            <w:noWrap/>
            <w:vAlign w:val="bottom"/>
            <w:hideMark/>
          </w:tcPr>
          <w:p w14:paraId="0C70F5DA"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Years</w:t>
            </w:r>
          </w:p>
        </w:tc>
        <w:tc>
          <w:tcPr>
            <w:tcW w:w="2760" w:type="dxa"/>
            <w:gridSpan w:val="2"/>
            <w:tcBorders>
              <w:top w:val="nil"/>
              <w:left w:val="nil"/>
              <w:bottom w:val="nil"/>
              <w:right w:val="nil"/>
            </w:tcBorders>
            <w:shd w:val="clear" w:color="auto" w:fill="auto"/>
            <w:noWrap/>
            <w:vAlign w:val="bottom"/>
            <w:hideMark/>
          </w:tcPr>
          <w:p w14:paraId="64947194" w14:textId="1A519AAE" w:rsidR="004E0DD1" w:rsidRPr="004E0DD1" w:rsidRDefault="00463763" w:rsidP="004E0DD1">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Une</w:t>
            </w:r>
            <w:r w:rsidR="008576D9">
              <w:rPr>
                <w:rFonts w:ascii="Calibri" w:eastAsia="Times New Roman" w:hAnsi="Calibri" w:cs="Times New Roman"/>
                <w:color w:val="000000"/>
                <w:sz w:val="20"/>
                <w:szCs w:val="20"/>
              </w:rPr>
              <w:t>xpected direction</w:t>
            </w:r>
          </w:p>
        </w:tc>
        <w:tc>
          <w:tcPr>
            <w:tcW w:w="2760" w:type="dxa"/>
            <w:gridSpan w:val="2"/>
            <w:tcBorders>
              <w:top w:val="nil"/>
              <w:left w:val="nil"/>
              <w:bottom w:val="nil"/>
              <w:right w:val="nil"/>
            </w:tcBorders>
            <w:shd w:val="clear" w:color="auto" w:fill="auto"/>
            <w:noWrap/>
            <w:vAlign w:val="bottom"/>
            <w:hideMark/>
          </w:tcPr>
          <w:p w14:paraId="2DD6333E" w14:textId="04FA7B08" w:rsidR="004E0DD1" w:rsidRPr="004E0DD1" w:rsidRDefault="00463763" w:rsidP="003C4037">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E</w:t>
            </w:r>
            <w:r w:rsidR="008576D9">
              <w:rPr>
                <w:rFonts w:ascii="Calibri" w:eastAsia="Times New Roman" w:hAnsi="Calibri" w:cs="Times New Roman"/>
                <w:color w:val="000000"/>
                <w:sz w:val="20"/>
                <w:szCs w:val="20"/>
              </w:rPr>
              <w:t>xpected direction</w:t>
            </w:r>
          </w:p>
        </w:tc>
      </w:tr>
      <w:tr w:rsidR="004E0DD1" w:rsidRPr="004E0DD1" w14:paraId="7256CB11" w14:textId="77777777" w:rsidTr="004E0DD1">
        <w:trPr>
          <w:trHeight w:val="288"/>
        </w:trPr>
        <w:tc>
          <w:tcPr>
            <w:tcW w:w="1380" w:type="dxa"/>
            <w:tcBorders>
              <w:top w:val="nil"/>
              <w:left w:val="nil"/>
              <w:bottom w:val="nil"/>
              <w:right w:val="nil"/>
            </w:tcBorders>
            <w:shd w:val="clear" w:color="auto" w:fill="auto"/>
            <w:noWrap/>
            <w:vAlign w:val="bottom"/>
            <w:hideMark/>
          </w:tcPr>
          <w:p w14:paraId="677B75AA" w14:textId="77777777" w:rsidR="004E0DD1" w:rsidRPr="004E0DD1" w:rsidRDefault="004E0DD1" w:rsidP="004E0DD1">
            <w:pPr>
              <w:jc w:val="center"/>
              <w:rPr>
                <w:rFonts w:ascii="Calibri" w:eastAsia="Times New Roman" w:hAnsi="Calibri" w:cs="Times New Roman"/>
                <w:color w:val="000000"/>
                <w:sz w:val="20"/>
                <w:szCs w:val="20"/>
              </w:rPr>
            </w:pPr>
          </w:p>
        </w:tc>
        <w:tc>
          <w:tcPr>
            <w:tcW w:w="1380" w:type="dxa"/>
            <w:tcBorders>
              <w:top w:val="nil"/>
              <w:left w:val="nil"/>
              <w:bottom w:val="nil"/>
              <w:right w:val="nil"/>
            </w:tcBorders>
            <w:shd w:val="clear" w:color="auto" w:fill="auto"/>
            <w:noWrap/>
            <w:vAlign w:val="bottom"/>
            <w:hideMark/>
          </w:tcPr>
          <w:p w14:paraId="065DEBD4"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5C2CDB29"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3FE0A81C"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89E0973"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51DD3AFF"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F2D27A6"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r>
      <w:tr w:rsidR="004E0DD1" w:rsidRPr="004E0DD1" w14:paraId="24C6375C" w14:textId="77777777" w:rsidTr="004E0DD1">
        <w:trPr>
          <w:trHeight w:val="288"/>
        </w:trPr>
        <w:tc>
          <w:tcPr>
            <w:tcW w:w="1380" w:type="dxa"/>
            <w:tcBorders>
              <w:top w:val="nil"/>
              <w:left w:val="nil"/>
              <w:bottom w:val="nil"/>
              <w:right w:val="nil"/>
            </w:tcBorders>
            <w:shd w:val="clear" w:color="auto" w:fill="auto"/>
            <w:noWrap/>
            <w:vAlign w:val="bottom"/>
            <w:hideMark/>
          </w:tcPr>
          <w:p w14:paraId="06B93B1F"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Stagnation</w:t>
            </w:r>
          </w:p>
        </w:tc>
        <w:tc>
          <w:tcPr>
            <w:tcW w:w="1380" w:type="dxa"/>
            <w:tcBorders>
              <w:top w:val="nil"/>
              <w:left w:val="nil"/>
              <w:bottom w:val="nil"/>
              <w:right w:val="nil"/>
            </w:tcBorders>
            <w:shd w:val="clear" w:color="auto" w:fill="auto"/>
            <w:noWrap/>
            <w:vAlign w:val="bottom"/>
            <w:hideMark/>
          </w:tcPr>
          <w:p w14:paraId="0B1DD62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1960-1976</w:t>
            </w:r>
          </w:p>
        </w:tc>
        <w:tc>
          <w:tcPr>
            <w:tcW w:w="1380" w:type="dxa"/>
            <w:tcBorders>
              <w:top w:val="nil"/>
              <w:left w:val="nil"/>
              <w:bottom w:val="nil"/>
              <w:right w:val="nil"/>
            </w:tcBorders>
            <w:shd w:val="clear" w:color="auto" w:fill="auto"/>
            <w:noWrap/>
            <w:vAlign w:val="bottom"/>
            <w:hideMark/>
          </w:tcPr>
          <w:p w14:paraId="12AC568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1960-1980</w:t>
            </w:r>
          </w:p>
        </w:tc>
        <w:tc>
          <w:tcPr>
            <w:tcW w:w="1380" w:type="dxa"/>
            <w:tcBorders>
              <w:top w:val="nil"/>
              <w:left w:val="nil"/>
              <w:bottom w:val="nil"/>
              <w:right w:val="nil"/>
            </w:tcBorders>
            <w:shd w:val="clear" w:color="auto" w:fill="auto"/>
            <w:vAlign w:val="center"/>
            <w:hideMark/>
          </w:tcPr>
          <w:p w14:paraId="787F54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58.6</w:t>
            </w:r>
          </w:p>
        </w:tc>
        <w:tc>
          <w:tcPr>
            <w:tcW w:w="1380" w:type="dxa"/>
            <w:tcBorders>
              <w:top w:val="nil"/>
              <w:left w:val="nil"/>
              <w:bottom w:val="nil"/>
              <w:right w:val="nil"/>
            </w:tcBorders>
            <w:shd w:val="clear" w:color="auto" w:fill="auto"/>
            <w:noWrap/>
            <w:vAlign w:val="bottom"/>
            <w:hideMark/>
          </w:tcPr>
          <w:p w14:paraId="47D0F13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55.5</w:t>
            </w:r>
          </w:p>
        </w:tc>
        <w:tc>
          <w:tcPr>
            <w:tcW w:w="1380" w:type="dxa"/>
            <w:tcBorders>
              <w:top w:val="nil"/>
              <w:left w:val="nil"/>
              <w:bottom w:val="nil"/>
              <w:right w:val="nil"/>
            </w:tcBorders>
            <w:shd w:val="clear" w:color="auto" w:fill="auto"/>
            <w:vAlign w:val="center"/>
            <w:hideMark/>
          </w:tcPr>
          <w:p w14:paraId="35C2F1D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41.4</w:t>
            </w:r>
          </w:p>
        </w:tc>
        <w:tc>
          <w:tcPr>
            <w:tcW w:w="1380" w:type="dxa"/>
            <w:tcBorders>
              <w:top w:val="nil"/>
              <w:left w:val="nil"/>
              <w:bottom w:val="nil"/>
              <w:right w:val="nil"/>
            </w:tcBorders>
            <w:shd w:val="clear" w:color="auto" w:fill="auto"/>
            <w:noWrap/>
            <w:vAlign w:val="bottom"/>
            <w:hideMark/>
          </w:tcPr>
          <w:p w14:paraId="12C4D9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44.5</w:t>
            </w:r>
          </w:p>
        </w:tc>
      </w:tr>
      <w:tr w:rsidR="004E0DD1" w:rsidRPr="004E0DD1" w14:paraId="10CDA549" w14:textId="77777777" w:rsidTr="004E0DD1">
        <w:trPr>
          <w:trHeight w:val="288"/>
        </w:trPr>
        <w:tc>
          <w:tcPr>
            <w:tcW w:w="1380" w:type="dxa"/>
            <w:tcBorders>
              <w:top w:val="nil"/>
              <w:left w:val="nil"/>
              <w:bottom w:val="nil"/>
              <w:right w:val="nil"/>
            </w:tcBorders>
            <w:shd w:val="clear" w:color="auto" w:fill="auto"/>
            <w:noWrap/>
            <w:vAlign w:val="bottom"/>
            <w:hideMark/>
          </w:tcPr>
          <w:p w14:paraId="63469425"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Improvements</w:t>
            </w:r>
          </w:p>
        </w:tc>
        <w:tc>
          <w:tcPr>
            <w:tcW w:w="1380" w:type="dxa"/>
            <w:tcBorders>
              <w:top w:val="nil"/>
              <w:left w:val="nil"/>
              <w:bottom w:val="nil"/>
              <w:right w:val="nil"/>
            </w:tcBorders>
            <w:shd w:val="clear" w:color="auto" w:fill="auto"/>
            <w:noWrap/>
            <w:vAlign w:val="bottom"/>
            <w:hideMark/>
          </w:tcPr>
          <w:p w14:paraId="25AE337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1976-1986</w:t>
            </w:r>
          </w:p>
        </w:tc>
        <w:tc>
          <w:tcPr>
            <w:tcW w:w="1380" w:type="dxa"/>
            <w:tcBorders>
              <w:top w:val="nil"/>
              <w:left w:val="nil"/>
              <w:bottom w:val="nil"/>
              <w:right w:val="nil"/>
            </w:tcBorders>
            <w:shd w:val="clear" w:color="auto" w:fill="auto"/>
            <w:noWrap/>
            <w:vAlign w:val="bottom"/>
            <w:hideMark/>
          </w:tcPr>
          <w:p w14:paraId="26F96F3E"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1980-1988</w:t>
            </w:r>
          </w:p>
        </w:tc>
        <w:tc>
          <w:tcPr>
            <w:tcW w:w="1380" w:type="dxa"/>
            <w:tcBorders>
              <w:top w:val="nil"/>
              <w:left w:val="nil"/>
              <w:bottom w:val="nil"/>
              <w:right w:val="nil"/>
            </w:tcBorders>
            <w:shd w:val="clear" w:color="auto" w:fill="auto"/>
            <w:vAlign w:val="center"/>
            <w:hideMark/>
          </w:tcPr>
          <w:p w14:paraId="4A2D5F8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54.8</w:t>
            </w:r>
          </w:p>
        </w:tc>
        <w:tc>
          <w:tcPr>
            <w:tcW w:w="1380" w:type="dxa"/>
            <w:tcBorders>
              <w:top w:val="nil"/>
              <w:left w:val="nil"/>
              <w:bottom w:val="nil"/>
              <w:right w:val="nil"/>
            </w:tcBorders>
            <w:shd w:val="clear" w:color="auto" w:fill="auto"/>
            <w:noWrap/>
            <w:vAlign w:val="bottom"/>
            <w:hideMark/>
          </w:tcPr>
          <w:p w14:paraId="49B6E59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47.3</w:t>
            </w:r>
          </w:p>
        </w:tc>
        <w:tc>
          <w:tcPr>
            <w:tcW w:w="1380" w:type="dxa"/>
            <w:tcBorders>
              <w:top w:val="nil"/>
              <w:left w:val="nil"/>
              <w:bottom w:val="nil"/>
              <w:right w:val="nil"/>
            </w:tcBorders>
            <w:shd w:val="clear" w:color="auto" w:fill="auto"/>
            <w:vAlign w:val="center"/>
            <w:hideMark/>
          </w:tcPr>
          <w:p w14:paraId="089264A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45.2</w:t>
            </w:r>
          </w:p>
        </w:tc>
        <w:tc>
          <w:tcPr>
            <w:tcW w:w="1380" w:type="dxa"/>
            <w:tcBorders>
              <w:top w:val="nil"/>
              <w:left w:val="nil"/>
              <w:bottom w:val="nil"/>
              <w:right w:val="nil"/>
            </w:tcBorders>
            <w:shd w:val="clear" w:color="auto" w:fill="auto"/>
            <w:noWrap/>
            <w:vAlign w:val="bottom"/>
            <w:hideMark/>
          </w:tcPr>
          <w:p w14:paraId="732C97EF"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52.7</w:t>
            </w:r>
          </w:p>
        </w:tc>
      </w:tr>
      <w:tr w:rsidR="004E0DD1" w:rsidRPr="004E0DD1" w14:paraId="58A629D6" w14:textId="77777777" w:rsidTr="004E0DD1">
        <w:trPr>
          <w:trHeight w:val="288"/>
        </w:trPr>
        <w:tc>
          <w:tcPr>
            <w:tcW w:w="1380" w:type="dxa"/>
            <w:tcBorders>
              <w:top w:val="nil"/>
              <w:left w:val="nil"/>
              <w:bottom w:val="nil"/>
              <w:right w:val="nil"/>
            </w:tcBorders>
            <w:shd w:val="clear" w:color="auto" w:fill="auto"/>
            <w:noWrap/>
            <w:vAlign w:val="bottom"/>
            <w:hideMark/>
          </w:tcPr>
          <w:p w14:paraId="3C4AA5E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Deterioration</w:t>
            </w:r>
          </w:p>
        </w:tc>
        <w:tc>
          <w:tcPr>
            <w:tcW w:w="1380" w:type="dxa"/>
            <w:tcBorders>
              <w:top w:val="nil"/>
              <w:left w:val="nil"/>
              <w:bottom w:val="nil"/>
              <w:right w:val="nil"/>
            </w:tcBorders>
            <w:shd w:val="clear" w:color="auto" w:fill="auto"/>
            <w:noWrap/>
            <w:vAlign w:val="bottom"/>
            <w:hideMark/>
          </w:tcPr>
          <w:p w14:paraId="16CC6F1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1986-1993</w:t>
            </w:r>
          </w:p>
        </w:tc>
        <w:tc>
          <w:tcPr>
            <w:tcW w:w="1380" w:type="dxa"/>
            <w:tcBorders>
              <w:top w:val="nil"/>
              <w:left w:val="nil"/>
              <w:bottom w:val="nil"/>
              <w:right w:val="nil"/>
            </w:tcBorders>
            <w:shd w:val="clear" w:color="auto" w:fill="auto"/>
            <w:noWrap/>
            <w:vAlign w:val="bottom"/>
            <w:hideMark/>
          </w:tcPr>
          <w:p w14:paraId="3BCE476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1988-1994</w:t>
            </w:r>
          </w:p>
        </w:tc>
        <w:tc>
          <w:tcPr>
            <w:tcW w:w="1380" w:type="dxa"/>
            <w:tcBorders>
              <w:top w:val="nil"/>
              <w:left w:val="nil"/>
              <w:bottom w:val="nil"/>
              <w:right w:val="nil"/>
            </w:tcBorders>
            <w:shd w:val="clear" w:color="auto" w:fill="auto"/>
            <w:vAlign w:val="center"/>
            <w:hideMark/>
          </w:tcPr>
          <w:p w14:paraId="73952A67"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25.0</w:t>
            </w:r>
          </w:p>
        </w:tc>
        <w:tc>
          <w:tcPr>
            <w:tcW w:w="1380" w:type="dxa"/>
            <w:tcBorders>
              <w:top w:val="nil"/>
              <w:left w:val="nil"/>
              <w:bottom w:val="nil"/>
              <w:right w:val="nil"/>
            </w:tcBorders>
            <w:shd w:val="clear" w:color="auto" w:fill="auto"/>
            <w:noWrap/>
            <w:vAlign w:val="bottom"/>
            <w:hideMark/>
          </w:tcPr>
          <w:p w14:paraId="3C88AD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22.2</w:t>
            </w:r>
          </w:p>
        </w:tc>
        <w:tc>
          <w:tcPr>
            <w:tcW w:w="1380" w:type="dxa"/>
            <w:tcBorders>
              <w:top w:val="nil"/>
              <w:left w:val="nil"/>
              <w:bottom w:val="nil"/>
              <w:right w:val="nil"/>
            </w:tcBorders>
            <w:shd w:val="clear" w:color="auto" w:fill="auto"/>
            <w:vAlign w:val="center"/>
            <w:hideMark/>
          </w:tcPr>
          <w:p w14:paraId="626C3A0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75.0</w:t>
            </w:r>
          </w:p>
        </w:tc>
        <w:tc>
          <w:tcPr>
            <w:tcW w:w="1380" w:type="dxa"/>
            <w:tcBorders>
              <w:top w:val="nil"/>
              <w:left w:val="nil"/>
              <w:bottom w:val="nil"/>
              <w:right w:val="nil"/>
            </w:tcBorders>
            <w:shd w:val="clear" w:color="auto" w:fill="auto"/>
            <w:noWrap/>
            <w:vAlign w:val="bottom"/>
            <w:hideMark/>
          </w:tcPr>
          <w:p w14:paraId="6CFA47EC"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77.8</w:t>
            </w:r>
          </w:p>
        </w:tc>
      </w:tr>
      <w:tr w:rsidR="004E0DD1" w:rsidRPr="004E0DD1" w14:paraId="248C8896" w14:textId="77777777" w:rsidTr="004E0DD1">
        <w:trPr>
          <w:trHeight w:val="288"/>
        </w:trPr>
        <w:tc>
          <w:tcPr>
            <w:tcW w:w="1380" w:type="dxa"/>
            <w:tcBorders>
              <w:top w:val="nil"/>
              <w:left w:val="nil"/>
              <w:bottom w:val="nil"/>
              <w:right w:val="nil"/>
            </w:tcBorders>
            <w:shd w:val="clear" w:color="auto" w:fill="auto"/>
            <w:noWrap/>
            <w:vAlign w:val="bottom"/>
            <w:hideMark/>
          </w:tcPr>
          <w:p w14:paraId="799FCF61"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Divergence</w:t>
            </w:r>
          </w:p>
        </w:tc>
        <w:tc>
          <w:tcPr>
            <w:tcW w:w="1380" w:type="dxa"/>
            <w:tcBorders>
              <w:top w:val="nil"/>
              <w:left w:val="nil"/>
              <w:bottom w:val="nil"/>
              <w:right w:val="nil"/>
            </w:tcBorders>
            <w:shd w:val="clear" w:color="auto" w:fill="auto"/>
            <w:noWrap/>
            <w:vAlign w:val="bottom"/>
            <w:hideMark/>
          </w:tcPr>
          <w:p w14:paraId="02E3B7E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1993-2001</w:t>
            </w:r>
          </w:p>
        </w:tc>
        <w:tc>
          <w:tcPr>
            <w:tcW w:w="1380" w:type="dxa"/>
            <w:tcBorders>
              <w:top w:val="nil"/>
              <w:left w:val="nil"/>
              <w:bottom w:val="nil"/>
              <w:right w:val="nil"/>
            </w:tcBorders>
            <w:shd w:val="clear" w:color="auto" w:fill="auto"/>
            <w:noWrap/>
            <w:vAlign w:val="bottom"/>
            <w:hideMark/>
          </w:tcPr>
          <w:p w14:paraId="7511B4C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1994-2000</w:t>
            </w:r>
          </w:p>
        </w:tc>
        <w:tc>
          <w:tcPr>
            <w:tcW w:w="1380" w:type="dxa"/>
            <w:tcBorders>
              <w:top w:val="nil"/>
              <w:left w:val="nil"/>
              <w:bottom w:val="nil"/>
              <w:right w:val="nil"/>
            </w:tcBorders>
            <w:shd w:val="clear" w:color="auto" w:fill="auto"/>
            <w:vAlign w:val="center"/>
            <w:hideMark/>
          </w:tcPr>
          <w:p w14:paraId="435073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31.7</w:t>
            </w:r>
          </w:p>
        </w:tc>
        <w:tc>
          <w:tcPr>
            <w:tcW w:w="1380" w:type="dxa"/>
            <w:tcBorders>
              <w:top w:val="nil"/>
              <w:left w:val="nil"/>
              <w:bottom w:val="nil"/>
              <w:right w:val="nil"/>
            </w:tcBorders>
            <w:shd w:val="clear" w:color="auto" w:fill="auto"/>
            <w:noWrap/>
            <w:vAlign w:val="bottom"/>
            <w:hideMark/>
          </w:tcPr>
          <w:p w14:paraId="0059004D"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31.7</w:t>
            </w:r>
          </w:p>
        </w:tc>
        <w:tc>
          <w:tcPr>
            <w:tcW w:w="1380" w:type="dxa"/>
            <w:tcBorders>
              <w:top w:val="nil"/>
              <w:left w:val="nil"/>
              <w:bottom w:val="nil"/>
              <w:right w:val="nil"/>
            </w:tcBorders>
            <w:shd w:val="clear" w:color="auto" w:fill="auto"/>
            <w:vAlign w:val="center"/>
            <w:hideMark/>
          </w:tcPr>
          <w:p w14:paraId="716D45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68.3</w:t>
            </w:r>
          </w:p>
        </w:tc>
        <w:tc>
          <w:tcPr>
            <w:tcW w:w="1380" w:type="dxa"/>
            <w:tcBorders>
              <w:top w:val="nil"/>
              <w:left w:val="nil"/>
              <w:bottom w:val="nil"/>
              <w:right w:val="nil"/>
            </w:tcBorders>
            <w:shd w:val="clear" w:color="auto" w:fill="auto"/>
            <w:noWrap/>
            <w:vAlign w:val="bottom"/>
            <w:hideMark/>
          </w:tcPr>
          <w:p w14:paraId="07FD896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68.3</w:t>
            </w:r>
          </w:p>
        </w:tc>
      </w:tr>
      <w:tr w:rsidR="004E0DD1" w:rsidRPr="004E0DD1" w14:paraId="1A59049C" w14:textId="77777777" w:rsidTr="004E0DD1">
        <w:trPr>
          <w:trHeight w:val="288"/>
        </w:trPr>
        <w:tc>
          <w:tcPr>
            <w:tcW w:w="1380" w:type="dxa"/>
            <w:tcBorders>
              <w:top w:val="nil"/>
              <w:left w:val="nil"/>
              <w:bottom w:val="nil"/>
              <w:right w:val="nil"/>
            </w:tcBorders>
            <w:shd w:val="clear" w:color="auto" w:fill="auto"/>
            <w:noWrap/>
            <w:vAlign w:val="bottom"/>
            <w:hideMark/>
          </w:tcPr>
          <w:p w14:paraId="3E60B25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Convergence</w:t>
            </w:r>
          </w:p>
        </w:tc>
        <w:tc>
          <w:tcPr>
            <w:tcW w:w="1380" w:type="dxa"/>
            <w:tcBorders>
              <w:top w:val="nil"/>
              <w:left w:val="nil"/>
              <w:bottom w:val="nil"/>
              <w:right w:val="nil"/>
            </w:tcBorders>
            <w:shd w:val="clear" w:color="auto" w:fill="auto"/>
            <w:noWrap/>
            <w:vAlign w:val="bottom"/>
            <w:hideMark/>
          </w:tcPr>
          <w:p w14:paraId="1EA78BC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2001-2014</w:t>
            </w:r>
          </w:p>
        </w:tc>
        <w:tc>
          <w:tcPr>
            <w:tcW w:w="1380" w:type="dxa"/>
            <w:tcBorders>
              <w:top w:val="nil"/>
              <w:left w:val="nil"/>
              <w:bottom w:val="nil"/>
              <w:right w:val="nil"/>
            </w:tcBorders>
            <w:shd w:val="clear" w:color="auto" w:fill="auto"/>
            <w:noWrap/>
            <w:vAlign w:val="bottom"/>
            <w:hideMark/>
          </w:tcPr>
          <w:p w14:paraId="1CA9292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2000-2014</w:t>
            </w:r>
          </w:p>
        </w:tc>
        <w:tc>
          <w:tcPr>
            <w:tcW w:w="1380" w:type="dxa"/>
            <w:tcBorders>
              <w:top w:val="nil"/>
              <w:left w:val="nil"/>
              <w:bottom w:val="nil"/>
              <w:right w:val="nil"/>
            </w:tcBorders>
            <w:shd w:val="clear" w:color="auto" w:fill="auto"/>
            <w:vAlign w:val="center"/>
            <w:hideMark/>
          </w:tcPr>
          <w:p w14:paraId="209CA64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37.2</w:t>
            </w:r>
          </w:p>
        </w:tc>
        <w:tc>
          <w:tcPr>
            <w:tcW w:w="1380" w:type="dxa"/>
            <w:tcBorders>
              <w:top w:val="nil"/>
              <w:left w:val="nil"/>
              <w:bottom w:val="nil"/>
              <w:right w:val="nil"/>
            </w:tcBorders>
            <w:shd w:val="clear" w:color="auto" w:fill="auto"/>
            <w:noWrap/>
            <w:vAlign w:val="bottom"/>
            <w:hideMark/>
          </w:tcPr>
          <w:p w14:paraId="34A45F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34.9</w:t>
            </w:r>
          </w:p>
        </w:tc>
        <w:tc>
          <w:tcPr>
            <w:tcW w:w="1380" w:type="dxa"/>
            <w:tcBorders>
              <w:top w:val="nil"/>
              <w:left w:val="nil"/>
              <w:bottom w:val="nil"/>
              <w:right w:val="nil"/>
            </w:tcBorders>
            <w:shd w:val="clear" w:color="auto" w:fill="auto"/>
            <w:vAlign w:val="center"/>
            <w:hideMark/>
          </w:tcPr>
          <w:p w14:paraId="20DDF92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62.8</w:t>
            </w:r>
          </w:p>
        </w:tc>
        <w:tc>
          <w:tcPr>
            <w:tcW w:w="1380" w:type="dxa"/>
            <w:tcBorders>
              <w:top w:val="nil"/>
              <w:left w:val="nil"/>
              <w:bottom w:val="nil"/>
              <w:right w:val="nil"/>
            </w:tcBorders>
            <w:shd w:val="clear" w:color="auto" w:fill="auto"/>
            <w:noWrap/>
            <w:vAlign w:val="bottom"/>
            <w:hideMark/>
          </w:tcPr>
          <w:p w14:paraId="7EABA80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65.1</w:t>
            </w:r>
          </w:p>
        </w:tc>
      </w:tr>
    </w:tbl>
    <w:p w14:paraId="072F0100" w14:textId="77777777" w:rsidR="004E0DD1" w:rsidRDefault="004E0DD1" w:rsidP="0053754D">
      <w:pPr>
        <w:jc w:val="both"/>
      </w:pPr>
    </w:p>
    <w:p w14:paraId="087CCF23" w14:textId="77777777" w:rsidR="008576D9" w:rsidRDefault="008576D9" w:rsidP="0053754D">
      <w:pPr>
        <w:jc w:val="both"/>
      </w:pPr>
    </w:p>
    <w:p w14:paraId="1058E02F" w14:textId="77777777" w:rsidR="00C659CF" w:rsidRDefault="00C659CF" w:rsidP="00C659CF">
      <w:pPr>
        <w:jc w:val="both"/>
      </w:pPr>
      <w:r>
        <w:t>In addition, we described clearly how the periods were determined in the methods sections. We added the next paragraph:</w:t>
      </w:r>
    </w:p>
    <w:p w14:paraId="64A52A8B" w14:textId="77777777" w:rsidR="00C659CF" w:rsidRDefault="00C659CF" w:rsidP="00C659CF">
      <w:pPr>
        <w:jc w:val="both"/>
        <w:rPr>
          <w:i/>
          <w:color w:val="000000"/>
        </w:rPr>
      </w:pPr>
    </w:p>
    <w:p w14:paraId="19D7E594" w14:textId="7A3BE867" w:rsidR="00C659CF" w:rsidRPr="00190709" w:rsidRDefault="00C659CF" w:rsidP="00C659CF">
      <w:pPr>
        <w:jc w:val="both"/>
        <w:rPr>
          <w:i/>
        </w:rPr>
      </w:pPr>
      <w:r>
        <w:rPr>
          <w:i/>
          <w:color w:val="000000"/>
        </w:rPr>
        <w:t xml:space="preserve"> “</w:t>
      </w:r>
      <w:r w:rsidRPr="00190709">
        <w:rPr>
          <w:i/>
          <w:color w:val="000000"/>
        </w:rPr>
        <w:t xml:space="preserve">We focused on five periods determined by trends </w:t>
      </w:r>
      <w:r w:rsidR="004E0DD1">
        <w:rPr>
          <w:i/>
          <w:color w:val="000000"/>
        </w:rPr>
        <w:t>in</w:t>
      </w:r>
      <w:r w:rsidRPr="00190709">
        <w:rPr>
          <w:i/>
          <w:color w:val="000000"/>
        </w:rPr>
        <w:t xml:space="preserve"> the coefficient of variation of male life expectancy. </w:t>
      </w:r>
      <w:r w:rsidR="004E0DD1">
        <w:rPr>
          <w:i/>
          <w:color w:val="000000"/>
        </w:rPr>
        <w:t>The period</w:t>
      </w:r>
      <w:r w:rsidR="007E108B">
        <w:rPr>
          <w:i/>
          <w:color w:val="000000"/>
        </w:rPr>
        <w:t>s were labeled</w:t>
      </w:r>
      <w:r w:rsidRPr="00190709">
        <w:rPr>
          <w:i/>
          <w:color w:val="000000"/>
        </w:rPr>
        <w:t xml:space="preserve"> ``</w:t>
      </w:r>
      <w:r>
        <w:rPr>
          <w:i/>
          <w:color w:val="000000"/>
        </w:rPr>
        <w:t>Stagnation'</w:t>
      </w:r>
      <w:r w:rsidR="007E108B">
        <w:rPr>
          <w:i/>
          <w:color w:val="000000"/>
        </w:rPr>
        <w:t xml:space="preserve"> from </w:t>
      </w:r>
      <w:r w:rsidR="007E108B" w:rsidRPr="007E108B">
        <w:rPr>
          <w:i/>
          <w:color w:val="000000"/>
        </w:rPr>
        <w:t>1960 to 1980</w:t>
      </w:r>
      <w:r>
        <w:rPr>
          <w:i/>
          <w:color w:val="000000"/>
        </w:rPr>
        <w:t xml:space="preserve">, ``Improvements'' </w:t>
      </w:r>
      <w:r w:rsidRPr="00190709">
        <w:rPr>
          <w:i/>
          <w:color w:val="000000"/>
        </w:rPr>
        <w:t xml:space="preserve">from 1980 to 1988, ``Deterioration'' </w:t>
      </w:r>
      <w:r w:rsidR="007E108B">
        <w:rPr>
          <w:i/>
          <w:color w:val="000000"/>
        </w:rPr>
        <w:t>from</w:t>
      </w:r>
      <w:r w:rsidRPr="00190709">
        <w:rPr>
          <w:i/>
          <w:color w:val="000000"/>
        </w:rPr>
        <w:t xml:space="preserve"> 1988-1994, ``Divergence between 1994</w:t>
      </w:r>
      <w:r>
        <w:rPr>
          <w:i/>
          <w:color w:val="000000"/>
        </w:rPr>
        <w:t xml:space="preserve"> and 2000, and ``Convergence'' </w:t>
      </w:r>
      <w:r w:rsidRPr="00190709">
        <w:rPr>
          <w:i/>
          <w:color w:val="000000"/>
        </w:rPr>
        <w:t xml:space="preserve">thereafter. Periods were </w:t>
      </w:r>
      <w:r w:rsidR="007E108B">
        <w:rPr>
          <w:i/>
          <w:color w:val="000000"/>
        </w:rPr>
        <w:t xml:space="preserve">initially </w:t>
      </w:r>
      <w:r w:rsidRPr="00190709">
        <w:rPr>
          <w:i/>
          <w:color w:val="000000"/>
        </w:rPr>
        <w:t>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647D34BA" w14:textId="77777777" w:rsidR="00190709" w:rsidRDefault="00190709" w:rsidP="0053754D">
      <w:pPr>
        <w:jc w:val="both"/>
      </w:pPr>
    </w:p>
    <w:p w14:paraId="3C27CFD9" w14:textId="68393C60" w:rsidR="00D34ADF" w:rsidRDefault="00D34ADF" w:rsidP="0053754D">
      <w:pPr>
        <w:jc w:val="both"/>
      </w:pPr>
    </w:p>
    <w:p w14:paraId="7CCC0B5D" w14:textId="4650E4F8" w:rsidR="00AA0177" w:rsidRDefault="00AA0177" w:rsidP="0053754D">
      <w:pPr>
        <w:jc w:val="both"/>
      </w:pPr>
      <w:r>
        <w:t>References:</w:t>
      </w:r>
    </w:p>
    <w:p w14:paraId="4795626C" w14:textId="2AC7AD2B"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2F554719" w:rsidR="00AA0177" w:rsidRPr="00E94A2A" w:rsidRDefault="00AA0177" w:rsidP="0053754D">
      <w:pPr>
        <w:jc w:val="both"/>
      </w:pPr>
    </w:p>
    <w:p w14:paraId="23C371C3" w14:textId="7B1F7C25" w:rsidR="00AA0177" w:rsidRPr="00E94A2A" w:rsidRDefault="00AA0177" w:rsidP="0053754D">
      <w:pPr>
        <w:jc w:val="both"/>
      </w:pPr>
      <w:r w:rsidRPr="00E94A2A">
        <w:t>Bhattacharya, J., Gathmann,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r w:rsidRPr="00E94A2A">
        <w:t>Cockerham,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lastRenderedPageBreak/>
        <w:t>Leon, D. A., Chenet, L., Shkolnikov, V. M., Zakharov, S., Shapiro, J., Rakhmanova, G., ... &amp; McKee, M. (1997). Huge variation in Russian mortality rates 1984–94: artefact,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r w:rsidRPr="00AF61AF">
        <w:t>Wilmoth, J. R., &amp; Shkolnikov, V. (2008). Human mortality database. University of California, Berkeley (USA), and Max Planck Institute for Demographic Research (Germany).</w:t>
      </w:r>
    </w:p>
    <w:p w14:paraId="3360D484" w14:textId="099B80BB"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2DA62DB9" w14:textId="77777777" w:rsidR="004D71BA" w:rsidRDefault="004D71BA" w:rsidP="0053754D">
      <w:pPr>
        <w:jc w:val="both"/>
        <w:rPr>
          <w:b/>
        </w:rPr>
      </w:pP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(Horiuchi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641A6E"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46F1591C"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E0E3467"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 xml:space="preserve">ere changes in lifespan variation are usually the lowest by period (e.g. Russia ages 55-59, Slovakia 65-69, Slovenia 70-74). Bars on the left (decreases in variation) come about from mortality decrease at young ages or increase at old ages, separated by </w:t>
      </w:r>
      <w:r w:rsidR="007E108B">
        <w:rPr>
          <w:i/>
          <w:color w:val="000000"/>
        </w:rPr>
        <w:t>the</w:t>
      </w:r>
      <w:r w:rsidR="007E108B" w:rsidRPr="00B66AAD">
        <w:rPr>
          <w:i/>
          <w:color w:val="000000"/>
        </w:rPr>
        <w:t xml:space="preserve"> </w:t>
      </w:r>
      <w:r w:rsidRPr="00B66AAD">
        <w:rPr>
          <w:i/>
          <w:color w:val="000000"/>
        </w:rPr>
        <w:t>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r w:rsidRPr="00A369AA">
        <w:t>Horiuchi, S., Wilmoth, J. R., &amp; Pletcher,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3D812773" w14:textId="77777777" w:rsidR="006E7A37" w:rsidRDefault="002010C1">
      <w:r w:rsidRPr="007E13B7">
        <w:cr/>
      </w:r>
      <w:r w:rsidR="006E7A37">
        <w:br w:type="page"/>
      </w:r>
    </w:p>
    <w:p w14:paraId="6E7F954A" w14:textId="3E1EC53A" w:rsidR="00CA23F5" w:rsidRDefault="002010C1" w:rsidP="0053754D">
      <w:pPr>
        <w:jc w:val="both"/>
        <w:rPr>
          <w:b/>
        </w:rPr>
      </w:pPr>
      <w:r w:rsidRPr="002010C1">
        <w:rPr>
          <w:b/>
        </w:rPr>
        <w:lastRenderedPageBreak/>
        <w:t xml:space="preserve">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 </w:t>
      </w:r>
    </w:p>
    <w:p w14:paraId="5EF89400" w14:textId="6AA296C8" w:rsidR="00D934AB" w:rsidRDefault="00D934AB" w:rsidP="0053754D">
      <w:pPr>
        <w:jc w:val="both"/>
        <w:rPr>
          <w:b/>
        </w:rPr>
      </w:pPr>
    </w:p>
    <w:p w14:paraId="0DC600D7" w14:textId="4F13CEF5" w:rsidR="00CA23F5" w:rsidRDefault="00CA23F5" w:rsidP="0053754D">
      <w:pPr>
        <w:jc w:val="both"/>
        <w:rPr>
          <w:b/>
        </w:rPr>
      </w:pPr>
    </w:p>
    <w:p w14:paraId="12FF1CE2" w14:textId="07C95F59" w:rsidR="00BD56DF" w:rsidRPr="005943A1" w:rsidRDefault="002B56AB" w:rsidP="0053754D">
      <w:pPr>
        <w:jc w:val="both"/>
      </w:pPr>
      <w:r w:rsidRPr="002B56AB">
        <w:t xml:space="preserve">We thank the reviewer for these observations and comments. </w:t>
      </w:r>
      <w:r w:rsidR="006D2F44">
        <w:t xml:space="preserve">Eastern European mortality patterns raise questions about quality and completeness of the data. </w:t>
      </w:r>
      <w:r w:rsidR="002B11C7">
        <w:t>Considering</w:t>
      </w:r>
      <w:r w:rsidR="00BD56DF">
        <w:t xml:space="preserve"> that infant mortality was underestimated before </w:t>
      </w:r>
      <w:r w:rsidR="00A34E31">
        <w:t>switching from the Soviet to WHO definition of live birth</w:t>
      </w:r>
      <w:r w:rsidR="00A77739">
        <w:t xml:space="preserve"> </w:t>
      </w:r>
      <w:r w:rsidR="00A77739" w:rsidRPr="00CC6DDC">
        <w:t>(</w:t>
      </w:r>
      <w:r w:rsidR="00A77739" w:rsidRPr="002B11C7">
        <w:rPr>
          <w:color w:val="000000"/>
        </w:rPr>
        <w:t>Aleshina and Redmond 200</w:t>
      </w:r>
      <w:r w:rsidR="00CC6DDC">
        <w:rPr>
          <w:color w:val="000000"/>
        </w:rPr>
        <w:t>5</w:t>
      </w:r>
      <w:r w:rsidR="00A77739" w:rsidRPr="002B11C7">
        <w:rPr>
          <w:color w:val="000000"/>
        </w:rPr>
        <w:t>,</w:t>
      </w:r>
      <w:r w:rsidR="00CC6DDC">
        <w:rPr>
          <w:color w:val="000000"/>
        </w:rPr>
        <w:t xml:space="preserve"> Anderson and Silver 1986,</w:t>
      </w:r>
      <w:r w:rsidR="00A77739" w:rsidRPr="002B11C7">
        <w:rPr>
          <w:color w:val="000000"/>
        </w:rPr>
        <w:t xml:space="preserve"> UNICEF 2003)</w:t>
      </w:r>
      <w:r w:rsidR="00BD56DF">
        <w:t xml:space="preserve">, it would bias our results to the extent that lifespan variation would have been </w:t>
      </w:r>
      <w:r w:rsidR="00A34E31">
        <w:t xml:space="preserve">(artificially) </w:t>
      </w:r>
      <w:r w:rsidR="00BD56DF">
        <w:t xml:space="preserve">larger </w:t>
      </w:r>
      <w:r w:rsidR="00A34E31">
        <w:t>under the Soviet definition</w:t>
      </w:r>
      <w:r w:rsidR="00BD56DF">
        <w:t>, and declines in lifespan variation would have been more dramatic than observed</w:t>
      </w:r>
      <w:r w:rsidR="00A34E31">
        <w:t xml:space="preserve"> during the transition</w:t>
      </w:r>
      <w:r w:rsidR="00BD56DF">
        <w:t xml:space="preserve">.  More subtly, while the levels would have differed, the trends pre-1990 would have been the same, </w:t>
      </w:r>
      <w:r w:rsidR="00A34E31">
        <w:t>assuming that the Soviet definition was used consistently over the period</w:t>
      </w:r>
      <w:r w:rsidR="00BD56DF">
        <w:t xml:space="preserve">. Post-1990 there were differences in the speed of adoption of the WHO rules which could also have led to some biases. </w:t>
      </w:r>
    </w:p>
    <w:p w14:paraId="24FA9C2B" w14:textId="77777777" w:rsidR="007E4275" w:rsidRDefault="007E4275" w:rsidP="0053754D">
      <w:pPr>
        <w:jc w:val="both"/>
        <w:rPr>
          <w:b/>
        </w:rPr>
      </w:pPr>
    </w:p>
    <w:p w14:paraId="49C9F1CC" w14:textId="5A10361A"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 By using appropriate decomposition techniques, we could disentangle its effect and analyze age-specific effects above infant mortality. In general, all lifespan variation measures depend on which age is taken as the starting point (</w:t>
      </w:r>
      <w:r w:rsidR="00EA5BF4">
        <w:t>Engelman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8E1A0B">
        <w:t>even controlling for the change in definition (</w:t>
      </w:r>
      <w:r w:rsidR="00486CC5">
        <w:t xml:space="preserve">Kingkade </w:t>
      </w:r>
      <w:r w:rsidR="00CC6DDC">
        <w:t xml:space="preserve">and Sawyer </w:t>
      </w:r>
      <w:r w:rsidR="00486CC5">
        <w:t>2001)</w:t>
      </w:r>
      <w:r w:rsidR="002471C7">
        <w:t xml:space="preserve">. Therefore, they should not be overlooked. </w:t>
      </w:r>
    </w:p>
    <w:p w14:paraId="6E2971A3" w14:textId="77777777" w:rsidR="002B4381" w:rsidRDefault="002B4381" w:rsidP="0053754D">
      <w:pPr>
        <w:jc w:val="both"/>
      </w:pPr>
    </w:p>
    <w:p w14:paraId="330EDCBE" w14:textId="3F6C19CC" w:rsidR="009F7473" w:rsidRDefault="002B4381" w:rsidP="0053754D">
      <w:pPr>
        <w:jc w:val="both"/>
      </w:pPr>
      <w:r>
        <w:t xml:space="preserve">To show how sensitive our results are with respect </w:t>
      </w:r>
      <w:r w:rsidR="003C4037">
        <w:t>to the starting age,</w:t>
      </w:r>
      <w:r w:rsidR="002471C7">
        <w:t xml:space="preserve"> we performed a sensitivity analysis with life expectancy and lifespan variation </w:t>
      </w:r>
      <w:r w:rsidR="003C4037">
        <w:t xml:space="preserve">(1) </w:t>
      </w:r>
      <w:r>
        <w:t>conditional on surviving</w:t>
      </w:r>
      <w:r w:rsidR="002471C7">
        <w:t xml:space="preserve"> </w:t>
      </w:r>
      <w:r>
        <w:t>to</w:t>
      </w:r>
      <w:r w:rsidR="002471C7">
        <w:t xml:space="preserve"> age 5</w:t>
      </w:r>
      <w:r w:rsidR="009F7473">
        <w:t xml:space="preserve"> and</w:t>
      </w:r>
      <w:r w:rsidR="003C4037">
        <w:t xml:space="preserve"> (2)</w:t>
      </w:r>
      <w:r w:rsidR="009F7473">
        <w:t xml:space="preserve"> </w:t>
      </w:r>
      <w:r w:rsidR="006E7A37" w:rsidRPr="006E7A37">
        <w:rPr>
          <w:i/>
        </w:rPr>
        <w:t xml:space="preserve"> </w:t>
      </w:r>
      <w:r w:rsidR="006E7A37" w:rsidRPr="002B11C7">
        <w:t>a doubling of infant mortality prior to 1990, followed by a linear decrease to 10% higher rates in 2000, and constant inflation of 10% thereafter</w:t>
      </w:r>
      <w:r w:rsidR="003C4037">
        <w:t>. These results are now</w:t>
      </w:r>
      <w:r w:rsidR="00C144FB">
        <w:t xml:space="preserve"> included in the supplemental material </w:t>
      </w:r>
      <w:r w:rsidR="00C144FB" w:rsidRPr="002B11C7">
        <w:t xml:space="preserve">and </w:t>
      </w:r>
      <w:r w:rsidR="003C4037" w:rsidRPr="002B11C7">
        <w:t xml:space="preserve">the following </w:t>
      </w:r>
      <w:r w:rsidR="00C144FB" w:rsidRPr="002B11C7">
        <w:t xml:space="preserve">short description </w:t>
      </w:r>
      <w:r w:rsidR="003C4037" w:rsidRPr="002B11C7">
        <w:t xml:space="preserve">of the issued was added to the </w:t>
      </w:r>
      <w:r w:rsidR="00C144FB" w:rsidRPr="002B11C7">
        <w:t xml:space="preserve">limitations </w:t>
      </w:r>
      <w:r w:rsidR="003C4037" w:rsidRPr="002B11C7">
        <w:t xml:space="preserve">section </w:t>
      </w:r>
      <w:r w:rsidR="00C144FB" w:rsidRPr="002B11C7">
        <w:t>of the paper</w:t>
      </w:r>
      <w:r w:rsidR="009F7473">
        <w:t>:</w:t>
      </w:r>
    </w:p>
    <w:p w14:paraId="41A62E60" w14:textId="77777777" w:rsidR="009F7473" w:rsidRDefault="009F7473" w:rsidP="0053754D">
      <w:pPr>
        <w:jc w:val="both"/>
      </w:pPr>
    </w:p>
    <w:p w14:paraId="49A28BBD" w14:textId="44A176B5" w:rsidR="00F21A6D" w:rsidRPr="009F7473" w:rsidRDefault="009F7473" w:rsidP="0053754D">
      <w:pPr>
        <w:jc w:val="both"/>
        <w:rPr>
          <w:i/>
        </w:rPr>
      </w:pPr>
      <w:r w:rsidRPr="009F7473">
        <w:rPr>
          <w:i/>
          <w:color w:val="000000"/>
        </w:rPr>
        <w:t xml:space="preserve">There could be concerns with the quality of the data used in a comparative temporal setting. First, the </w:t>
      </w:r>
      <w:r w:rsidRPr="002B11C7">
        <w:rPr>
          <w:i/>
          <w:color w:val="000000"/>
        </w:rPr>
        <w:t>FSU</w:t>
      </w:r>
      <w:r w:rsidRPr="009F7473">
        <w:rPr>
          <w:i/>
          <w:color w:val="000000"/>
        </w:rPr>
        <w:t xml:space="preserve"> and Central European countries used a less strict definition of live births </w:t>
      </w:r>
      <w:r w:rsidR="002A25CF">
        <w:rPr>
          <w:i/>
          <w:color w:val="000000"/>
        </w:rPr>
        <w:t>compared to</w:t>
      </w:r>
      <w:r w:rsidRPr="009F7473">
        <w:rPr>
          <w:i/>
          <w:color w:val="000000"/>
        </w:rPr>
        <w:t xml:space="preserve"> the WHO</w:t>
      </w:r>
      <w:r w:rsidR="002A25CF">
        <w:rPr>
          <w:i/>
          <w:color w:val="000000"/>
        </w:rPr>
        <w:t xml:space="preserve"> definition</w:t>
      </w:r>
      <w:r w:rsidRPr="009F7473">
        <w:rPr>
          <w:i/>
          <w:color w:val="000000"/>
        </w:rPr>
        <w:t xml:space="preserve">, which had the result of </w:t>
      </w:r>
      <w:r w:rsidR="002A25CF">
        <w:rPr>
          <w:i/>
          <w:color w:val="000000"/>
        </w:rPr>
        <w:t xml:space="preserve">artificially </w:t>
      </w:r>
      <w:r w:rsidRPr="009F7473">
        <w:rPr>
          <w:i/>
          <w:color w:val="000000"/>
        </w:rPr>
        <w:t>depressing infant mortality levels (</w:t>
      </w:r>
      <w:r w:rsidR="00326457" w:rsidRPr="002B11C7">
        <w:rPr>
          <w:i/>
          <w:color w:val="000000"/>
        </w:rPr>
        <w:t>Aleshina and Redmond 200</w:t>
      </w:r>
      <w:r w:rsidR="00CC6DDC">
        <w:rPr>
          <w:i/>
          <w:color w:val="000000"/>
        </w:rPr>
        <w:t>5</w:t>
      </w:r>
      <w:r w:rsidR="0080434A" w:rsidRPr="002B11C7">
        <w:rPr>
          <w:i/>
          <w:color w:val="000000"/>
        </w:rPr>
        <w:t>, UNICEF 2003</w:t>
      </w:r>
      <w:r w:rsidRPr="009F7473">
        <w:rPr>
          <w:i/>
          <w:color w:val="000000"/>
        </w:rPr>
        <w:t xml:space="preserve">). </w:t>
      </w:r>
      <w:r w:rsidR="002A25CF">
        <w:rPr>
          <w:i/>
          <w:color w:val="000000"/>
        </w:rPr>
        <w:t>A</w:t>
      </w:r>
      <w:r w:rsidRPr="009F7473">
        <w:rPr>
          <w:i/>
          <w:color w:val="000000"/>
        </w:rPr>
        <w:t>ll countries eventually shifted to the WHO definition, although the timing of this shift differed between and within countries</w:t>
      </w:r>
      <w:r w:rsidR="002A25CF">
        <w:rPr>
          <w:i/>
          <w:color w:val="000000"/>
        </w:rPr>
        <w:t>, with some regions beginning the shift even before the dissolution of the FSU</w:t>
      </w:r>
      <w:r w:rsidRPr="009F7473">
        <w:rPr>
          <w:i/>
          <w:color w:val="000000"/>
        </w:rPr>
        <w:t xml:space="preserve"> (</w:t>
      </w:r>
      <w:r w:rsidR="002A25CF">
        <w:rPr>
          <w:i/>
          <w:color w:val="000000"/>
        </w:rPr>
        <w:t xml:space="preserve">Anderson and Silver 1986, </w:t>
      </w:r>
      <w:r w:rsidR="00326457" w:rsidRPr="002B11C7">
        <w:rPr>
          <w:i/>
          <w:color w:val="000000"/>
        </w:rPr>
        <w:t>Aleshina and Redmond 2003</w:t>
      </w:r>
      <w:r w:rsidR="0080434A" w:rsidRPr="002B11C7">
        <w:rPr>
          <w:i/>
          <w:color w:val="000000"/>
        </w:rPr>
        <w:t>, UNICEF 2003</w:t>
      </w:r>
      <w:r w:rsidRPr="009F7473">
        <w:rPr>
          <w:i/>
          <w:color w:val="000000"/>
        </w:rPr>
        <w:t xml:space="preserve">). Since indices of lifespan variation are comparatively more sensitive to changes in infant mortality than life expectancy </w:t>
      </w:r>
      <w:r w:rsidR="00A77739">
        <w:rPr>
          <w:i/>
          <w:color w:val="000000"/>
        </w:rPr>
        <w:t>(van Raalte and Caswell 2013)</w:t>
      </w:r>
      <w:r w:rsidRPr="009F7473">
        <w:rPr>
          <w:i/>
          <w:color w:val="000000"/>
        </w:rPr>
        <w:t xml:space="preserve">, we investigated whether our results would be robust </w:t>
      </w:r>
      <w:r w:rsidR="002A25CF">
        <w:rPr>
          <w:i/>
          <w:color w:val="000000"/>
        </w:rPr>
        <w:t xml:space="preserve">to the following </w:t>
      </w:r>
      <w:r w:rsidR="002A25CF">
        <w:rPr>
          <w:i/>
          <w:color w:val="000000"/>
        </w:rPr>
        <w:lastRenderedPageBreak/>
        <w:t>assumptions</w:t>
      </w:r>
      <w:r w:rsidR="00EB2127">
        <w:rPr>
          <w:i/>
          <w:color w:val="000000"/>
        </w:rPr>
        <w:t>:</w:t>
      </w:r>
      <w:r w:rsidRPr="009F7473">
        <w:rPr>
          <w:i/>
          <w:color w:val="000000"/>
        </w:rPr>
        <w:t xml:space="preserve"> </w:t>
      </w:r>
      <w:r w:rsidR="00EB2127">
        <w:rPr>
          <w:i/>
          <w:color w:val="000000"/>
        </w:rPr>
        <w:t>(</w:t>
      </w:r>
      <w:r w:rsidR="002A25CF">
        <w:rPr>
          <w:i/>
          <w:color w:val="000000"/>
        </w:rPr>
        <w:t>1</w:t>
      </w:r>
      <w:r w:rsidR="00EB2127">
        <w:rPr>
          <w:i/>
          <w:color w:val="000000"/>
        </w:rPr>
        <w:t xml:space="preserve">) a doubling of infant mortality </w:t>
      </w:r>
      <w:r w:rsidR="00EB2127" w:rsidRPr="00EB2127">
        <w:rPr>
          <w:i/>
          <w:color w:val="000000"/>
        </w:rPr>
        <w:t xml:space="preserve">prior to 1990, </w:t>
      </w:r>
      <w:r w:rsidR="00EB2127">
        <w:rPr>
          <w:i/>
          <w:color w:val="000000"/>
        </w:rPr>
        <w:t xml:space="preserve">followed by </w:t>
      </w:r>
      <w:r w:rsidR="00EB2127" w:rsidRPr="00EB2127">
        <w:rPr>
          <w:i/>
          <w:color w:val="000000"/>
        </w:rPr>
        <w:t>a linear decrease to 10% higher rates in 2000, and constant inflation of 10% thereafter</w:t>
      </w:r>
      <w:r w:rsidR="006E7A37" w:rsidRPr="002B11C7">
        <w:rPr>
          <w:b/>
          <w:i/>
          <w:color w:val="000000"/>
        </w:rPr>
        <w:t>[</w:t>
      </w:r>
      <w:r w:rsidR="008D31E8">
        <w:rPr>
          <w:b/>
          <w:i/>
          <w:color w:val="000000"/>
        </w:rPr>
        <w:t>footnote</w:t>
      </w:r>
      <w:r w:rsidR="006E7A37" w:rsidRPr="002B11C7">
        <w:rPr>
          <w:b/>
          <w:i/>
          <w:color w:val="000000"/>
        </w:rPr>
        <w:t>]</w:t>
      </w:r>
      <w:r w:rsidR="002A25CF">
        <w:rPr>
          <w:i/>
          <w:color w:val="000000"/>
        </w:rPr>
        <w:t xml:space="preserve">, and </w:t>
      </w:r>
      <w:r w:rsidR="002A25CF" w:rsidRPr="002A25CF">
        <w:rPr>
          <w:i/>
          <w:color w:val="000000"/>
        </w:rPr>
        <w:t>(</w:t>
      </w:r>
      <w:r w:rsidR="002A25CF">
        <w:rPr>
          <w:i/>
          <w:color w:val="000000"/>
        </w:rPr>
        <w:t>2</w:t>
      </w:r>
      <w:r w:rsidR="002A25CF" w:rsidRPr="002A25CF">
        <w:rPr>
          <w:i/>
          <w:color w:val="000000"/>
        </w:rPr>
        <w:t>) mortality conditional upon survival to age 5</w:t>
      </w:r>
      <w:r w:rsidR="00EB2127" w:rsidRPr="00EB2127">
        <w:rPr>
          <w:i/>
          <w:color w:val="000000"/>
        </w:rPr>
        <w:t>.</w:t>
      </w:r>
      <w:r w:rsidRPr="009F7473">
        <w:rPr>
          <w:i/>
          <w:color w:val="000000"/>
        </w:rPr>
        <w:t xml:space="preserve"> While </w:t>
      </w:r>
      <w:r w:rsidR="002A25CF">
        <w:rPr>
          <w:i/>
          <w:color w:val="000000"/>
        </w:rPr>
        <w:t>these scenarios created</w:t>
      </w:r>
      <w:r w:rsidRPr="009F7473">
        <w:rPr>
          <w:i/>
          <w:color w:val="000000"/>
        </w:rPr>
        <w:t xml:space="preserve"> some differences in the direction of trends, particularly over the communist period where infant mortality decline was substantial, our two main conclusions from this period still held: (1) life expectancy and life disparity moved independently during the years before the fall of the Berlin wall, (2) trends in life disparity were especially driven by trends in early adult mortality. The</w:t>
      </w:r>
      <w:r w:rsidR="002A25CF">
        <w:rPr>
          <w:i/>
          <w:color w:val="000000"/>
        </w:rPr>
        <w:t xml:space="preserve"> </w:t>
      </w:r>
      <w:r w:rsidRPr="009F7473">
        <w:rPr>
          <w:i/>
          <w:color w:val="000000"/>
        </w:rPr>
        <w:t>result</w:t>
      </w:r>
      <w:r w:rsidR="002A25CF">
        <w:rPr>
          <w:i/>
          <w:color w:val="000000"/>
        </w:rPr>
        <w:t>s of these robustness checks</w:t>
      </w:r>
      <w:r w:rsidRPr="009F7473">
        <w:rPr>
          <w:i/>
          <w:color w:val="000000"/>
        </w:rPr>
        <w:t xml:space="preserve"> are available in the </w:t>
      </w:r>
      <w:r w:rsidRPr="002B11C7">
        <w:rPr>
          <w:i/>
          <w:color w:val="000000"/>
        </w:rPr>
        <w:t>online</w:t>
      </w:r>
      <w:r w:rsidRPr="009F7473">
        <w:rPr>
          <w:i/>
          <w:color w:val="000000"/>
        </w:rPr>
        <w:t xml:space="preserve"> Appendix.</w:t>
      </w:r>
      <w:r w:rsidR="00C144FB" w:rsidRPr="009F7473">
        <w:rPr>
          <w:i/>
        </w:rPr>
        <w:t xml:space="preserve"> </w:t>
      </w:r>
      <w:r w:rsidR="00BA7D6A">
        <w:rPr>
          <w:i/>
        </w:rPr>
        <w:tab/>
      </w:r>
    </w:p>
    <w:p w14:paraId="616D5324" w14:textId="0202A2E0" w:rsidR="00F21A6D" w:rsidRDefault="00F21A6D" w:rsidP="0053754D">
      <w:pPr>
        <w:jc w:val="both"/>
      </w:pPr>
    </w:p>
    <w:p w14:paraId="2BCA6B8B" w14:textId="5B0E2129" w:rsidR="006E7A37" w:rsidRPr="002B11C7" w:rsidRDefault="006E7A37" w:rsidP="0053754D">
      <w:pPr>
        <w:jc w:val="both"/>
        <w:rPr>
          <w:i/>
        </w:rPr>
      </w:pPr>
      <w:r w:rsidRPr="002B11C7">
        <w:rPr>
          <w:i/>
        </w:rPr>
        <w:t>Footnote</w:t>
      </w:r>
      <w:r w:rsidR="00CC6DDC">
        <w:rPr>
          <w:i/>
        </w:rPr>
        <w:t>:</w:t>
      </w:r>
      <w:r w:rsidRPr="002B11C7">
        <w:rPr>
          <w:i/>
        </w:rPr>
        <w:t xml:space="preserve"> Kingkade and Sawyer (2001) published adjustment factors which were generally much lower than the doubling that we used here. Thus this adjustment should be seen as a conservative rather than realistic adjustment to test the robustness of our finding</w:t>
      </w:r>
      <w:r w:rsidR="008D31E8" w:rsidRPr="002B11C7">
        <w:rPr>
          <w:i/>
        </w:rPr>
        <w:t>s.</w:t>
      </w:r>
      <w:r w:rsidRPr="002B11C7">
        <w:rPr>
          <w:i/>
        </w:rPr>
        <w:t xml:space="preserve"> </w:t>
      </w:r>
      <w:r w:rsidR="00787EE1" w:rsidRPr="002B11C7">
        <w:rPr>
          <w:i/>
        </w:rPr>
        <w:t xml:space="preserve">For the 1960-1980 period, inflating the infant mortality </w:t>
      </w:r>
      <w:commentRangeStart w:id="0"/>
      <w:r w:rsidR="00787EE1" w:rsidRPr="002B11C7">
        <w:rPr>
          <w:i/>
        </w:rPr>
        <w:t xml:space="preserve">by anywhere up to 77 % (male? Female?) </w:t>
      </w:r>
      <w:commentRangeEnd w:id="0"/>
      <w:r w:rsidR="002B11C7">
        <w:rPr>
          <w:rStyle w:val="CommentReference"/>
        </w:rPr>
        <w:commentReference w:id="0"/>
      </w:r>
      <w:r w:rsidR="00787EE1" w:rsidRPr="002B11C7">
        <w:rPr>
          <w:i/>
        </w:rPr>
        <w:t>resulted in yearly changes in life expectancy and life disparity moving in unexpected directions (see online app</w:t>
      </w:r>
      <w:r w:rsidR="00CC6DDC" w:rsidRPr="002B11C7">
        <w:rPr>
          <w:i/>
        </w:rPr>
        <w:t>endix</w:t>
      </w:r>
      <w:r w:rsidR="00787EE1" w:rsidRPr="002B11C7">
        <w:rPr>
          <w:i/>
        </w:rPr>
        <w:t>).</w:t>
      </w:r>
    </w:p>
    <w:p w14:paraId="1CA35055" w14:textId="604A2C5D" w:rsidR="00ED1FE1" w:rsidRDefault="00ED1FE1">
      <w:pPr>
        <w:rPr>
          <w:b/>
        </w:rPr>
      </w:pPr>
    </w:p>
    <w:p w14:paraId="326F1B03" w14:textId="77777777" w:rsidR="00ED1FE1" w:rsidRDefault="00ED1FE1" w:rsidP="0053754D">
      <w:pPr>
        <w:jc w:val="both"/>
        <w:rPr>
          <w:b/>
        </w:rPr>
      </w:pPr>
    </w:p>
    <w:p w14:paraId="64749C91" w14:textId="358078B4" w:rsidR="006E7A37" w:rsidRPr="005F2437" w:rsidRDefault="006E7A37" w:rsidP="0053754D">
      <w:pPr>
        <w:jc w:val="both"/>
        <w:rPr>
          <w:b/>
        </w:rPr>
      </w:pPr>
      <w:r w:rsidRPr="005F2437">
        <w:rPr>
          <w:b/>
        </w:rPr>
        <w:t>Results of robustness checks</w:t>
      </w:r>
      <w:r>
        <w:rPr>
          <w:b/>
        </w:rPr>
        <w:t xml:space="preserve"> </w:t>
      </w:r>
    </w:p>
    <w:p w14:paraId="10087352" w14:textId="77777777" w:rsidR="00ED1FE1" w:rsidRDefault="00ED1FE1" w:rsidP="0053754D">
      <w:pPr>
        <w:jc w:val="both"/>
      </w:pPr>
    </w:p>
    <w:p w14:paraId="0E3E035A" w14:textId="5F4FD916"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w:t>
      </w:r>
      <w:r w:rsidR="003C4037">
        <w:t>s</w:t>
      </w:r>
      <w:r>
        <w:t xml:space="preserve"> differ, major trends </w:t>
      </w:r>
      <w:r w:rsidR="003C4037">
        <w:t xml:space="preserve">are </w:t>
      </w:r>
      <w:r w:rsidR="00D76CE6">
        <w:t>like</w:t>
      </w:r>
      <w:r w:rsidR="003C4037">
        <w:t xml:space="preserve"> </w:t>
      </w:r>
      <w:r>
        <w:t>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r w:rsidR="003C4037">
        <w:t>.</w:t>
      </w:r>
    </w:p>
    <w:p w14:paraId="60C35B11" w14:textId="77777777" w:rsidR="00ED1FE1" w:rsidRDefault="00ED1FE1" w:rsidP="0053754D">
      <w:pPr>
        <w:jc w:val="both"/>
      </w:pPr>
    </w:p>
    <w:p w14:paraId="5767E041" w14:textId="77777777" w:rsidR="00ED1FE1" w:rsidRDefault="00ED1FE1" w:rsidP="00ED1FE1">
      <w:pPr>
        <w:jc w:val="both"/>
      </w:pPr>
      <w:r>
        <w:t>Similarly, Figure 2 shows life disparity or lifespan variation conditional on surviving to age 5 and at birth. As in the previous figure, the trends are similar to lifespan variation over the full age span. Figure 3 shows the association between changes in life expectancy and lifespan variation conditional on surviving to age 5 and Table 1 shows the proportions of changes in same and opposite directions. The results do not change substantively compared to those including mortality under age 5.</w:t>
      </w:r>
    </w:p>
    <w:p w14:paraId="3B16B5FB" w14:textId="77777777" w:rsidR="009E220F" w:rsidRDefault="009E220F" w:rsidP="00A645AC">
      <w:pPr>
        <w:jc w:val="both"/>
      </w:pPr>
    </w:p>
    <w:p w14:paraId="5A54D2CE" w14:textId="77777777" w:rsidR="00ED1FE1" w:rsidRDefault="00ED1FE1">
      <w:r>
        <w:br w:type="page"/>
      </w:r>
    </w:p>
    <w:p w14:paraId="53E595C6" w14:textId="78867C20" w:rsidR="00A645AC" w:rsidRDefault="00A645AC" w:rsidP="00A645AC">
      <w:pPr>
        <w:jc w:val="both"/>
      </w:pPr>
      <w:r>
        <w:lastRenderedPageBreak/>
        <w:t>Figure 1. Life expectancy at age 5 for males and females. Source: HMD</w:t>
      </w:r>
    </w:p>
    <w:p w14:paraId="10901CCD" w14:textId="655C605F" w:rsidR="005943A1" w:rsidRDefault="001E4D5C" w:rsidP="0053754D">
      <w:pPr>
        <w:jc w:val="both"/>
      </w:pPr>
      <w:r>
        <w:rPr>
          <w:noProof/>
        </w:rPr>
        <w:drawing>
          <wp:anchor distT="0" distB="0" distL="114300" distR="114300" simplePos="0" relativeHeight="251654656" behindDoc="0" locked="0" layoutInCell="1" allowOverlap="1" wp14:anchorId="27B822F1" wp14:editId="7721D504">
            <wp:simplePos x="0" y="0"/>
            <wp:positionH relativeFrom="column">
              <wp:posOffset>0</wp:posOffset>
            </wp:positionH>
            <wp:positionV relativeFrom="paragraph">
              <wp:posOffset>0</wp:posOffset>
            </wp:positionV>
            <wp:extent cx="6738620" cy="33337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8620" cy="3333750"/>
                    </a:xfrm>
                    <a:prstGeom prst="rect">
                      <a:avLst/>
                    </a:prstGeom>
                  </pic:spPr>
                </pic:pic>
              </a:graphicData>
            </a:graphic>
            <wp14:sizeRelH relativeFrom="page">
              <wp14:pctWidth>0</wp14:pctWidth>
            </wp14:sizeRelH>
            <wp14:sizeRelV relativeFrom="page">
              <wp14:pctHeight>0</wp14:pctHeight>
            </wp14:sizeRelV>
          </wp:anchor>
        </w:drawing>
      </w:r>
    </w:p>
    <w:p w14:paraId="065332FA" w14:textId="04FE8A64" w:rsidR="00754C49" w:rsidRDefault="00754C49" w:rsidP="0053754D">
      <w:pPr>
        <w:jc w:val="both"/>
      </w:pPr>
    </w:p>
    <w:p w14:paraId="505F2794" w14:textId="25C28F8C" w:rsidR="00754C49" w:rsidRDefault="00754C49" w:rsidP="0053754D">
      <w:pPr>
        <w:jc w:val="both"/>
      </w:pPr>
    </w:p>
    <w:p w14:paraId="645BB0D6" w14:textId="75138EAF" w:rsidR="00376A00" w:rsidRDefault="00F16598" w:rsidP="0053754D">
      <w:pPr>
        <w:jc w:val="both"/>
      </w:pPr>
      <w:r>
        <w:rPr>
          <w:noProof/>
        </w:rPr>
        <w:drawing>
          <wp:anchor distT="0" distB="0" distL="114300" distR="114300" simplePos="0" relativeHeight="251659776" behindDoc="0" locked="0" layoutInCell="1" allowOverlap="1" wp14:anchorId="2FC7C7C0" wp14:editId="0019EBCD">
            <wp:simplePos x="0" y="0"/>
            <wp:positionH relativeFrom="column">
              <wp:posOffset>-303091</wp:posOffset>
            </wp:positionH>
            <wp:positionV relativeFrom="paragraph">
              <wp:posOffset>269924</wp:posOffset>
            </wp:positionV>
            <wp:extent cx="7153275" cy="35115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53275" cy="3511550"/>
                    </a:xfrm>
                    <a:prstGeom prst="rect">
                      <a:avLst/>
                    </a:prstGeom>
                  </pic:spPr>
                </pic:pic>
              </a:graphicData>
            </a:graphic>
            <wp14:sizeRelH relativeFrom="page">
              <wp14:pctWidth>0</wp14:pctWidth>
            </wp14:sizeRelH>
            <wp14:sizeRelV relativeFrom="page">
              <wp14:pctHeight>0</wp14:pctHeight>
            </wp14:sizeRelV>
          </wp:anchor>
        </w:drawing>
      </w:r>
      <w:r w:rsidR="00A645AC">
        <w:t>Figure 2. Life disparity</w:t>
      </w:r>
      <w:r w:rsidR="00376A00">
        <w:t xml:space="preserve"> at age 5 for males and females. Source: HMD</w:t>
      </w:r>
    </w:p>
    <w:p w14:paraId="2E310A47" w14:textId="06C600A6" w:rsidR="007D2FCA" w:rsidRDefault="007D2FCA" w:rsidP="0053754D">
      <w:pPr>
        <w:jc w:val="both"/>
      </w:pPr>
    </w:p>
    <w:p w14:paraId="11804213" w14:textId="77777777" w:rsidR="00F97085" w:rsidRDefault="00F97085" w:rsidP="0053754D">
      <w:pPr>
        <w:jc w:val="both"/>
      </w:pPr>
    </w:p>
    <w:p w14:paraId="5A0AF9C2" w14:textId="77777777" w:rsidR="00F97085" w:rsidRDefault="00F97085" w:rsidP="0053754D">
      <w:pPr>
        <w:jc w:val="both"/>
      </w:pPr>
    </w:p>
    <w:p w14:paraId="2994ECB6" w14:textId="3C1A5A67" w:rsidR="007D2FCA" w:rsidRDefault="00F16598" w:rsidP="0053754D">
      <w:pPr>
        <w:jc w:val="both"/>
      </w:pPr>
      <w:r>
        <w:rPr>
          <w:noProof/>
        </w:rPr>
        <w:drawing>
          <wp:anchor distT="0" distB="0" distL="114300" distR="114300" simplePos="0" relativeHeight="251660800" behindDoc="0" locked="0" layoutInCell="1" allowOverlap="1" wp14:anchorId="46FED8E8" wp14:editId="064B2DF4">
            <wp:simplePos x="0" y="0"/>
            <wp:positionH relativeFrom="column">
              <wp:posOffset>-232703</wp:posOffset>
            </wp:positionH>
            <wp:positionV relativeFrom="paragraph">
              <wp:posOffset>471268</wp:posOffset>
            </wp:positionV>
            <wp:extent cx="7062470" cy="46558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62470" cy="4655820"/>
                    </a:xfrm>
                    <a:prstGeom prst="rect">
                      <a:avLst/>
                    </a:prstGeom>
                  </pic:spPr>
                </pic:pic>
              </a:graphicData>
            </a:graphic>
            <wp14:sizeRelH relativeFrom="page">
              <wp14:pctWidth>0</wp14:pctWidth>
            </wp14:sizeRelH>
            <wp14:sizeRelV relativeFrom="page">
              <wp14:pctHeight>0</wp14:pctHeight>
            </wp14:sizeRelV>
          </wp:anchor>
        </w:drawing>
      </w:r>
      <w:r>
        <w:t>Figure 3. Association between changes in life expectancy at age 5 and lifespan variation conditional on surviving to age 5.</w:t>
      </w:r>
    </w:p>
    <w:p w14:paraId="69FC0A7E" w14:textId="52CF1802"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6240" w:type="dxa"/>
        <w:tblInd w:w="108" w:type="dxa"/>
        <w:tblLook w:val="04A0" w:firstRow="1" w:lastRow="0" w:firstColumn="1" w:lastColumn="0" w:noHBand="0" w:noVBand="1"/>
      </w:tblPr>
      <w:tblGrid>
        <w:gridCol w:w="3080"/>
        <w:gridCol w:w="1760"/>
        <w:gridCol w:w="1400"/>
      </w:tblGrid>
      <w:tr w:rsidR="004D4184" w:rsidRPr="004D4184" w14:paraId="22B7B75D" w14:textId="77777777" w:rsidTr="004D4184">
        <w:trPr>
          <w:trHeight w:val="1068"/>
        </w:trPr>
        <w:tc>
          <w:tcPr>
            <w:tcW w:w="3080" w:type="dxa"/>
            <w:tcBorders>
              <w:top w:val="nil"/>
              <w:left w:val="nil"/>
              <w:bottom w:val="nil"/>
              <w:right w:val="nil"/>
            </w:tcBorders>
            <w:shd w:val="clear" w:color="auto" w:fill="auto"/>
            <w:vAlign w:val="center"/>
            <w:hideMark/>
          </w:tcPr>
          <w:p w14:paraId="028BD29C" w14:textId="77777777" w:rsidR="004D4184" w:rsidRPr="004D4184" w:rsidRDefault="004D4184" w:rsidP="004D4184">
            <w:pPr>
              <w:rPr>
                <w:rFonts w:eastAsia="Times New Roman" w:cs="Times New Roman"/>
                <w:szCs w:val="24"/>
              </w:rPr>
            </w:pPr>
          </w:p>
        </w:tc>
        <w:tc>
          <w:tcPr>
            <w:tcW w:w="1760" w:type="dxa"/>
            <w:tcBorders>
              <w:top w:val="nil"/>
              <w:left w:val="nil"/>
              <w:bottom w:val="nil"/>
              <w:right w:val="nil"/>
            </w:tcBorders>
            <w:shd w:val="clear" w:color="auto" w:fill="auto"/>
            <w:vAlign w:val="center"/>
            <w:hideMark/>
          </w:tcPr>
          <w:p w14:paraId="491B4F50" w14:textId="36927AA8"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Une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c>
          <w:tcPr>
            <w:tcW w:w="1400" w:type="dxa"/>
            <w:tcBorders>
              <w:top w:val="nil"/>
              <w:left w:val="nil"/>
              <w:bottom w:val="nil"/>
              <w:right w:val="nil"/>
            </w:tcBorders>
            <w:shd w:val="clear" w:color="auto" w:fill="auto"/>
            <w:vAlign w:val="center"/>
            <w:hideMark/>
          </w:tcPr>
          <w:p w14:paraId="37BE8316" w14:textId="3D952539"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r>
      <w:tr w:rsidR="004D4184" w:rsidRPr="004D4184" w14:paraId="7E91C1A7" w14:textId="77777777" w:rsidTr="004D4184">
        <w:trPr>
          <w:trHeight w:val="540"/>
        </w:trPr>
        <w:tc>
          <w:tcPr>
            <w:tcW w:w="3080" w:type="dxa"/>
            <w:tcBorders>
              <w:top w:val="nil"/>
              <w:left w:val="nil"/>
              <w:bottom w:val="nil"/>
              <w:right w:val="nil"/>
            </w:tcBorders>
            <w:shd w:val="clear" w:color="auto" w:fill="auto"/>
            <w:vAlign w:val="center"/>
            <w:hideMark/>
          </w:tcPr>
          <w:p w14:paraId="7D02327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Stagnation 1960-1980</w:t>
            </w:r>
          </w:p>
        </w:tc>
        <w:tc>
          <w:tcPr>
            <w:tcW w:w="1760" w:type="dxa"/>
            <w:tcBorders>
              <w:top w:val="nil"/>
              <w:left w:val="nil"/>
              <w:bottom w:val="nil"/>
              <w:right w:val="nil"/>
            </w:tcBorders>
            <w:shd w:val="clear" w:color="auto" w:fill="auto"/>
            <w:vAlign w:val="center"/>
            <w:hideMark/>
          </w:tcPr>
          <w:p w14:paraId="5857DF1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58.6</w:t>
            </w:r>
          </w:p>
        </w:tc>
        <w:tc>
          <w:tcPr>
            <w:tcW w:w="1400" w:type="dxa"/>
            <w:tcBorders>
              <w:top w:val="nil"/>
              <w:left w:val="nil"/>
              <w:bottom w:val="nil"/>
              <w:right w:val="nil"/>
            </w:tcBorders>
            <w:shd w:val="clear" w:color="auto" w:fill="auto"/>
            <w:vAlign w:val="center"/>
            <w:hideMark/>
          </w:tcPr>
          <w:p w14:paraId="3E1674F5"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41.4</w:t>
            </w:r>
          </w:p>
        </w:tc>
      </w:tr>
      <w:tr w:rsidR="004D4184" w:rsidRPr="004D4184" w14:paraId="37C22108" w14:textId="77777777" w:rsidTr="004D4184">
        <w:trPr>
          <w:trHeight w:val="528"/>
        </w:trPr>
        <w:tc>
          <w:tcPr>
            <w:tcW w:w="3080" w:type="dxa"/>
            <w:tcBorders>
              <w:top w:val="nil"/>
              <w:left w:val="nil"/>
              <w:bottom w:val="nil"/>
              <w:right w:val="nil"/>
            </w:tcBorders>
            <w:shd w:val="clear" w:color="auto" w:fill="auto"/>
            <w:vAlign w:val="center"/>
            <w:hideMark/>
          </w:tcPr>
          <w:p w14:paraId="38BF1E07"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Improvements 1980-1988</w:t>
            </w:r>
          </w:p>
        </w:tc>
        <w:tc>
          <w:tcPr>
            <w:tcW w:w="1760" w:type="dxa"/>
            <w:tcBorders>
              <w:top w:val="nil"/>
              <w:left w:val="nil"/>
              <w:bottom w:val="nil"/>
              <w:right w:val="nil"/>
            </w:tcBorders>
            <w:shd w:val="clear" w:color="auto" w:fill="auto"/>
            <w:vAlign w:val="center"/>
            <w:hideMark/>
          </w:tcPr>
          <w:p w14:paraId="16EFBDD9"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54.8</w:t>
            </w:r>
          </w:p>
        </w:tc>
        <w:tc>
          <w:tcPr>
            <w:tcW w:w="1400" w:type="dxa"/>
            <w:tcBorders>
              <w:top w:val="nil"/>
              <w:left w:val="nil"/>
              <w:bottom w:val="nil"/>
              <w:right w:val="nil"/>
            </w:tcBorders>
            <w:shd w:val="clear" w:color="auto" w:fill="auto"/>
            <w:vAlign w:val="center"/>
            <w:hideMark/>
          </w:tcPr>
          <w:p w14:paraId="0652F65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45.2</w:t>
            </w:r>
          </w:p>
        </w:tc>
      </w:tr>
      <w:tr w:rsidR="004D4184" w:rsidRPr="004D4184" w14:paraId="407DFFDA" w14:textId="77777777" w:rsidTr="004D4184">
        <w:trPr>
          <w:trHeight w:val="288"/>
        </w:trPr>
        <w:tc>
          <w:tcPr>
            <w:tcW w:w="3080" w:type="dxa"/>
            <w:tcBorders>
              <w:top w:val="nil"/>
              <w:left w:val="nil"/>
              <w:bottom w:val="nil"/>
              <w:right w:val="nil"/>
            </w:tcBorders>
            <w:shd w:val="clear" w:color="auto" w:fill="auto"/>
            <w:vAlign w:val="center"/>
            <w:hideMark/>
          </w:tcPr>
          <w:p w14:paraId="2D7A022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Deterioration 1988-1994</w:t>
            </w:r>
          </w:p>
        </w:tc>
        <w:tc>
          <w:tcPr>
            <w:tcW w:w="1760" w:type="dxa"/>
            <w:tcBorders>
              <w:top w:val="nil"/>
              <w:left w:val="nil"/>
              <w:bottom w:val="nil"/>
              <w:right w:val="nil"/>
            </w:tcBorders>
            <w:shd w:val="clear" w:color="auto" w:fill="auto"/>
            <w:vAlign w:val="center"/>
            <w:hideMark/>
          </w:tcPr>
          <w:p w14:paraId="3CB2631F"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25.0</w:t>
            </w:r>
          </w:p>
        </w:tc>
        <w:tc>
          <w:tcPr>
            <w:tcW w:w="1400" w:type="dxa"/>
            <w:tcBorders>
              <w:top w:val="nil"/>
              <w:left w:val="nil"/>
              <w:bottom w:val="nil"/>
              <w:right w:val="nil"/>
            </w:tcBorders>
            <w:shd w:val="clear" w:color="auto" w:fill="auto"/>
            <w:vAlign w:val="center"/>
            <w:hideMark/>
          </w:tcPr>
          <w:p w14:paraId="22916FE2"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75.0</w:t>
            </w:r>
          </w:p>
        </w:tc>
      </w:tr>
      <w:tr w:rsidR="004D4184" w:rsidRPr="004D4184" w14:paraId="1745B1D8" w14:textId="77777777" w:rsidTr="004D4184">
        <w:trPr>
          <w:trHeight w:val="288"/>
        </w:trPr>
        <w:tc>
          <w:tcPr>
            <w:tcW w:w="3080" w:type="dxa"/>
            <w:tcBorders>
              <w:top w:val="nil"/>
              <w:left w:val="nil"/>
              <w:bottom w:val="nil"/>
              <w:right w:val="nil"/>
            </w:tcBorders>
            <w:shd w:val="clear" w:color="auto" w:fill="auto"/>
            <w:vAlign w:val="center"/>
            <w:hideMark/>
          </w:tcPr>
          <w:p w14:paraId="3CCD245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Divergence 1994-2000</w:t>
            </w:r>
          </w:p>
        </w:tc>
        <w:tc>
          <w:tcPr>
            <w:tcW w:w="1760" w:type="dxa"/>
            <w:tcBorders>
              <w:top w:val="nil"/>
              <w:left w:val="nil"/>
              <w:bottom w:val="nil"/>
              <w:right w:val="nil"/>
            </w:tcBorders>
            <w:shd w:val="clear" w:color="auto" w:fill="auto"/>
            <w:vAlign w:val="center"/>
            <w:hideMark/>
          </w:tcPr>
          <w:p w14:paraId="24F8D94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31.7</w:t>
            </w:r>
          </w:p>
        </w:tc>
        <w:tc>
          <w:tcPr>
            <w:tcW w:w="1400" w:type="dxa"/>
            <w:tcBorders>
              <w:top w:val="nil"/>
              <w:left w:val="nil"/>
              <w:bottom w:val="nil"/>
              <w:right w:val="nil"/>
            </w:tcBorders>
            <w:shd w:val="clear" w:color="auto" w:fill="auto"/>
            <w:vAlign w:val="center"/>
            <w:hideMark/>
          </w:tcPr>
          <w:p w14:paraId="79B45C4B"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68.3</w:t>
            </w:r>
          </w:p>
        </w:tc>
      </w:tr>
      <w:tr w:rsidR="004D4184" w:rsidRPr="004D4184" w14:paraId="40EB7431" w14:textId="77777777" w:rsidTr="004D4184">
        <w:trPr>
          <w:trHeight w:val="288"/>
        </w:trPr>
        <w:tc>
          <w:tcPr>
            <w:tcW w:w="3080" w:type="dxa"/>
            <w:tcBorders>
              <w:top w:val="nil"/>
              <w:left w:val="nil"/>
              <w:bottom w:val="nil"/>
              <w:right w:val="nil"/>
            </w:tcBorders>
            <w:shd w:val="clear" w:color="auto" w:fill="auto"/>
            <w:vAlign w:val="center"/>
            <w:hideMark/>
          </w:tcPr>
          <w:p w14:paraId="67C4640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Convergence 2000-present</w:t>
            </w:r>
          </w:p>
        </w:tc>
        <w:tc>
          <w:tcPr>
            <w:tcW w:w="1760" w:type="dxa"/>
            <w:tcBorders>
              <w:top w:val="nil"/>
              <w:left w:val="nil"/>
              <w:bottom w:val="nil"/>
              <w:right w:val="nil"/>
            </w:tcBorders>
            <w:shd w:val="clear" w:color="auto" w:fill="auto"/>
            <w:vAlign w:val="center"/>
            <w:hideMark/>
          </w:tcPr>
          <w:p w14:paraId="743EB2C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37.2</w:t>
            </w:r>
          </w:p>
        </w:tc>
        <w:tc>
          <w:tcPr>
            <w:tcW w:w="1400" w:type="dxa"/>
            <w:tcBorders>
              <w:top w:val="nil"/>
              <w:left w:val="nil"/>
              <w:bottom w:val="nil"/>
              <w:right w:val="nil"/>
            </w:tcBorders>
            <w:shd w:val="clear" w:color="auto" w:fill="auto"/>
            <w:vAlign w:val="center"/>
            <w:hideMark/>
          </w:tcPr>
          <w:p w14:paraId="245DE373" w14:textId="7E7A2AB0" w:rsidR="004D4184" w:rsidRPr="004D4184" w:rsidRDefault="004B3248" w:rsidP="004D4184">
            <w:pPr>
              <w:ind w:firstLineChars="100" w:firstLine="200"/>
              <w:rPr>
                <w:rFonts w:eastAsia="Times New Roman" w:cs="Times New Roman"/>
                <w:color w:val="000000"/>
                <w:sz w:val="20"/>
                <w:szCs w:val="20"/>
              </w:rPr>
            </w:pPr>
            <w:r>
              <w:rPr>
                <w:rFonts w:eastAsia="Times New Roman" w:cs="Times New Roman"/>
                <w:color w:val="000000"/>
                <w:sz w:val="20"/>
              </w:rPr>
              <w:t>62.8</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37A21ED1" w:rsidR="007D2FCA" w:rsidRDefault="007D2FCA" w:rsidP="0053754D">
      <w:pPr>
        <w:jc w:val="both"/>
      </w:pPr>
      <w:r>
        <w:lastRenderedPageBreak/>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t>
      </w:r>
    </w:p>
    <w:p w14:paraId="1118E6E3" w14:textId="77777777" w:rsidR="00371BF6" w:rsidRDefault="00371BF6" w:rsidP="0053754D">
      <w:pPr>
        <w:jc w:val="both"/>
      </w:pPr>
    </w:p>
    <w:p w14:paraId="5AF08053" w14:textId="5C707F98" w:rsidR="009E220F" w:rsidRDefault="00F8644E" w:rsidP="0053754D">
      <w:pPr>
        <w:jc w:val="both"/>
      </w:pPr>
      <w:r>
        <w:rPr>
          <w:noProof/>
        </w:rPr>
        <w:drawing>
          <wp:anchor distT="0" distB="0" distL="114300" distR="114300" simplePos="0" relativeHeight="251655680" behindDoc="1" locked="0" layoutInCell="1" allowOverlap="1" wp14:anchorId="04E77D3A" wp14:editId="0FB7FAAB">
            <wp:simplePos x="0" y="0"/>
            <wp:positionH relativeFrom="column">
              <wp:posOffset>-581132</wp:posOffset>
            </wp:positionH>
            <wp:positionV relativeFrom="paragraph">
              <wp:posOffset>503893</wp:posOffset>
            </wp:positionV>
            <wp:extent cx="7109460" cy="4733925"/>
            <wp:effectExtent l="0" t="0" r="0" b="9525"/>
            <wp:wrapTight wrapText="bothSides">
              <wp:wrapPolygon edited="0">
                <wp:start x="0" y="0"/>
                <wp:lineTo x="0" y="21557"/>
                <wp:lineTo x="21531" y="2155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09460" cy="4733925"/>
                    </a:xfrm>
                    <a:prstGeom prst="rect">
                      <a:avLst/>
                    </a:prstGeom>
                  </pic:spPr>
                </pic:pic>
              </a:graphicData>
            </a:graphic>
            <wp14:sizeRelH relativeFrom="page">
              <wp14:pctWidth>0</wp14:pctWidth>
            </wp14:sizeRelH>
            <wp14:sizeRelV relativeFrom="page">
              <wp14:pctHeight>0</wp14:pctHeight>
            </wp14:sizeRelV>
          </wp:anchor>
        </w:drawing>
      </w:r>
      <w:r w:rsidR="00F16598">
        <w:t>Figure 4</w:t>
      </w:r>
      <w:r w:rsidR="009E220F">
        <w:t>. Age specific contributions to changes in life disparity conditional on surviving at age 5, by period.</w:t>
      </w:r>
    </w:p>
    <w:p w14:paraId="4972AE23" w14:textId="4240DEF0" w:rsidR="009E220F" w:rsidRDefault="009E220F" w:rsidP="0053754D">
      <w:pPr>
        <w:jc w:val="both"/>
      </w:pPr>
    </w:p>
    <w:p w14:paraId="53A6BE6E" w14:textId="3F3650BB" w:rsidR="004E3D11" w:rsidRPr="00DB41CE" w:rsidRDefault="004E3D11" w:rsidP="002B4381">
      <w:pPr>
        <w:jc w:val="both"/>
      </w:pPr>
    </w:p>
    <w:p w14:paraId="1D98FEC7" w14:textId="341FBADB" w:rsidR="009F7473" w:rsidRDefault="009F7473" w:rsidP="002B4381">
      <w:pPr>
        <w:jc w:val="both"/>
      </w:pPr>
    </w:p>
    <w:p w14:paraId="40502E43" w14:textId="6E8C68E5" w:rsidR="009F7473" w:rsidRDefault="009F7473" w:rsidP="002B4381">
      <w:pPr>
        <w:jc w:val="both"/>
      </w:pPr>
    </w:p>
    <w:p w14:paraId="51BF528C" w14:textId="77777777" w:rsidR="009F7473" w:rsidRDefault="009F7473" w:rsidP="002B4381">
      <w:pPr>
        <w:jc w:val="both"/>
      </w:pPr>
    </w:p>
    <w:p w14:paraId="28D7A860" w14:textId="77777777" w:rsidR="00ED1FE1" w:rsidRDefault="00ED1FE1">
      <w:r>
        <w:br w:type="page"/>
      </w:r>
    </w:p>
    <w:p w14:paraId="21C3DE04" w14:textId="10EDAAFF" w:rsidR="00DB41CE" w:rsidRDefault="009F7473" w:rsidP="002B4381">
      <w:pPr>
        <w:jc w:val="both"/>
      </w:pPr>
      <w:r>
        <w:lastRenderedPageBreak/>
        <w:t xml:space="preserve">Figure 5. </w:t>
      </w:r>
      <w:r w:rsidR="00DB41CE" w:rsidRPr="00DB41CE">
        <w:t>Association between changes in life expectancy and lifespan variation doubling infant mortality rates prior to 1990, a linear decrease to 10% higher rates in 2000, and constant inflation of 10% thereafter.</w:t>
      </w:r>
      <w:r w:rsidR="00AF6226">
        <w:t xml:space="preserve"> Table below shows the proportions of expected and unexpected </w:t>
      </w:r>
      <w:r w:rsidR="003D5E2F">
        <w:t>proportions.</w:t>
      </w:r>
    </w:p>
    <w:p w14:paraId="6304365B" w14:textId="77777777" w:rsidR="00DB41CE" w:rsidRPr="00DB41CE" w:rsidRDefault="00DB41CE" w:rsidP="002B4381">
      <w:pPr>
        <w:jc w:val="both"/>
      </w:pPr>
    </w:p>
    <w:p w14:paraId="5851C5FE" w14:textId="2548DC1E" w:rsidR="00DB41CE" w:rsidRDefault="00DB41CE" w:rsidP="002B4381">
      <w:pPr>
        <w:jc w:val="both"/>
        <w:rPr>
          <w:b/>
        </w:rPr>
      </w:pPr>
      <w:r>
        <w:rPr>
          <w:noProof/>
        </w:rPr>
        <w:drawing>
          <wp:inline distT="0" distB="0" distL="0" distR="0" wp14:anchorId="77313CF1" wp14:editId="1B8ACD8F">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9765"/>
                    </a:xfrm>
                    <a:prstGeom prst="rect">
                      <a:avLst/>
                    </a:prstGeom>
                  </pic:spPr>
                </pic:pic>
              </a:graphicData>
            </a:graphic>
          </wp:inline>
        </w:drawing>
      </w:r>
    </w:p>
    <w:p w14:paraId="606CB467" w14:textId="6429AEF0" w:rsidR="00DB41CE" w:rsidRDefault="00DB41CE" w:rsidP="002B4381">
      <w:pPr>
        <w:jc w:val="both"/>
        <w:rPr>
          <w:b/>
        </w:rPr>
      </w:pPr>
    </w:p>
    <w:tbl>
      <w:tblPr>
        <w:tblW w:w="6804" w:type="dxa"/>
        <w:tblInd w:w="108" w:type="dxa"/>
        <w:tblLook w:val="04A0" w:firstRow="1" w:lastRow="0" w:firstColumn="1" w:lastColumn="0" w:noHBand="0" w:noVBand="1"/>
      </w:tblPr>
      <w:tblGrid>
        <w:gridCol w:w="3080"/>
        <w:gridCol w:w="1760"/>
        <w:gridCol w:w="1964"/>
      </w:tblGrid>
      <w:tr w:rsidR="0064685C" w:rsidRPr="0064685C" w14:paraId="27BFB455" w14:textId="77777777" w:rsidTr="0064685C">
        <w:trPr>
          <w:trHeight w:val="1068"/>
        </w:trPr>
        <w:tc>
          <w:tcPr>
            <w:tcW w:w="3080" w:type="dxa"/>
            <w:tcBorders>
              <w:top w:val="nil"/>
              <w:left w:val="nil"/>
              <w:bottom w:val="nil"/>
              <w:right w:val="nil"/>
            </w:tcBorders>
            <w:shd w:val="clear" w:color="auto" w:fill="auto"/>
            <w:vAlign w:val="center"/>
            <w:hideMark/>
          </w:tcPr>
          <w:p w14:paraId="32130367" w14:textId="77777777" w:rsidR="0064685C" w:rsidRPr="0064685C" w:rsidRDefault="0064685C" w:rsidP="0064685C">
            <w:pPr>
              <w:rPr>
                <w:rFonts w:eastAsia="Times New Roman" w:cs="Times New Roman"/>
                <w:b/>
                <w:szCs w:val="24"/>
              </w:rPr>
            </w:pPr>
          </w:p>
        </w:tc>
        <w:tc>
          <w:tcPr>
            <w:tcW w:w="1760" w:type="dxa"/>
            <w:tcBorders>
              <w:top w:val="nil"/>
              <w:left w:val="nil"/>
              <w:bottom w:val="nil"/>
              <w:right w:val="nil"/>
            </w:tcBorders>
            <w:shd w:val="clear" w:color="auto" w:fill="auto"/>
            <w:vAlign w:val="center"/>
            <w:hideMark/>
          </w:tcPr>
          <w:p w14:paraId="1E76558B" w14:textId="4FD0C432"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Expected direction</w:t>
            </w:r>
            <w:r>
              <w:rPr>
                <w:rFonts w:eastAsia="Times New Roman" w:cs="Times New Roman"/>
                <w:b/>
                <w:color w:val="000000"/>
                <w:sz w:val="20"/>
                <w:szCs w:val="20"/>
              </w:rPr>
              <w:t xml:space="preserve"> (%)</w:t>
            </w:r>
          </w:p>
        </w:tc>
        <w:tc>
          <w:tcPr>
            <w:tcW w:w="1964" w:type="dxa"/>
            <w:tcBorders>
              <w:top w:val="nil"/>
              <w:left w:val="nil"/>
              <w:bottom w:val="nil"/>
              <w:right w:val="nil"/>
            </w:tcBorders>
            <w:shd w:val="clear" w:color="auto" w:fill="auto"/>
            <w:vAlign w:val="center"/>
            <w:hideMark/>
          </w:tcPr>
          <w:p w14:paraId="3CBC8824" w14:textId="4E5DBB55"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Unexpected direction</w:t>
            </w:r>
            <w:r>
              <w:rPr>
                <w:rFonts w:eastAsia="Times New Roman" w:cs="Times New Roman"/>
                <w:b/>
                <w:color w:val="000000"/>
                <w:sz w:val="20"/>
                <w:szCs w:val="20"/>
              </w:rPr>
              <w:t xml:space="preserve"> (%)</w:t>
            </w:r>
          </w:p>
        </w:tc>
      </w:tr>
      <w:tr w:rsidR="0064685C" w:rsidRPr="0064685C" w14:paraId="2D4AC412" w14:textId="77777777" w:rsidTr="0064685C">
        <w:trPr>
          <w:trHeight w:val="540"/>
        </w:trPr>
        <w:tc>
          <w:tcPr>
            <w:tcW w:w="3080" w:type="dxa"/>
            <w:tcBorders>
              <w:top w:val="nil"/>
              <w:left w:val="nil"/>
              <w:bottom w:val="nil"/>
              <w:right w:val="nil"/>
            </w:tcBorders>
            <w:shd w:val="clear" w:color="auto" w:fill="auto"/>
            <w:vAlign w:val="center"/>
            <w:hideMark/>
          </w:tcPr>
          <w:p w14:paraId="0075DFE6" w14:textId="77777777"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rPr>
              <w:t>Stagnation 1960-1980</w:t>
            </w:r>
          </w:p>
        </w:tc>
        <w:tc>
          <w:tcPr>
            <w:tcW w:w="1760" w:type="dxa"/>
            <w:tcBorders>
              <w:top w:val="nil"/>
              <w:left w:val="nil"/>
              <w:bottom w:val="nil"/>
              <w:right w:val="nil"/>
            </w:tcBorders>
            <w:shd w:val="clear" w:color="auto" w:fill="auto"/>
            <w:vAlign w:val="center"/>
            <w:hideMark/>
          </w:tcPr>
          <w:p w14:paraId="451B24D0"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52.3</w:t>
            </w:r>
          </w:p>
        </w:tc>
        <w:tc>
          <w:tcPr>
            <w:tcW w:w="1964" w:type="dxa"/>
            <w:tcBorders>
              <w:top w:val="nil"/>
              <w:left w:val="nil"/>
              <w:bottom w:val="nil"/>
              <w:right w:val="nil"/>
            </w:tcBorders>
            <w:shd w:val="clear" w:color="auto" w:fill="auto"/>
            <w:vAlign w:val="center"/>
            <w:hideMark/>
          </w:tcPr>
          <w:p w14:paraId="3D602A7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47.7</w:t>
            </w:r>
          </w:p>
        </w:tc>
      </w:tr>
      <w:tr w:rsidR="0064685C" w:rsidRPr="0064685C" w14:paraId="1E316B7D" w14:textId="77777777" w:rsidTr="0064685C">
        <w:trPr>
          <w:trHeight w:val="528"/>
        </w:trPr>
        <w:tc>
          <w:tcPr>
            <w:tcW w:w="3080" w:type="dxa"/>
            <w:tcBorders>
              <w:top w:val="nil"/>
              <w:left w:val="nil"/>
              <w:bottom w:val="nil"/>
              <w:right w:val="nil"/>
            </w:tcBorders>
            <w:shd w:val="clear" w:color="auto" w:fill="auto"/>
            <w:vAlign w:val="center"/>
            <w:hideMark/>
          </w:tcPr>
          <w:p w14:paraId="2850A508" w14:textId="77777777"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rPr>
              <w:t>Improvements 1980-1988</w:t>
            </w:r>
          </w:p>
        </w:tc>
        <w:tc>
          <w:tcPr>
            <w:tcW w:w="1760" w:type="dxa"/>
            <w:tcBorders>
              <w:top w:val="nil"/>
              <w:left w:val="nil"/>
              <w:bottom w:val="nil"/>
              <w:right w:val="nil"/>
            </w:tcBorders>
            <w:shd w:val="clear" w:color="auto" w:fill="auto"/>
            <w:vAlign w:val="center"/>
            <w:hideMark/>
          </w:tcPr>
          <w:p w14:paraId="38D7EA1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51.6</w:t>
            </w:r>
          </w:p>
        </w:tc>
        <w:tc>
          <w:tcPr>
            <w:tcW w:w="1964" w:type="dxa"/>
            <w:tcBorders>
              <w:top w:val="nil"/>
              <w:left w:val="nil"/>
              <w:bottom w:val="nil"/>
              <w:right w:val="nil"/>
            </w:tcBorders>
            <w:shd w:val="clear" w:color="auto" w:fill="auto"/>
            <w:vAlign w:val="center"/>
            <w:hideMark/>
          </w:tcPr>
          <w:p w14:paraId="4E3D3BF1"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48.4</w:t>
            </w:r>
          </w:p>
        </w:tc>
      </w:tr>
      <w:tr w:rsidR="0064685C" w:rsidRPr="0064685C" w14:paraId="4814576E" w14:textId="77777777" w:rsidTr="0064685C">
        <w:trPr>
          <w:trHeight w:val="288"/>
        </w:trPr>
        <w:tc>
          <w:tcPr>
            <w:tcW w:w="3080" w:type="dxa"/>
            <w:tcBorders>
              <w:top w:val="nil"/>
              <w:left w:val="nil"/>
              <w:bottom w:val="nil"/>
              <w:right w:val="nil"/>
            </w:tcBorders>
            <w:shd w:val="clear" w:color="auto" w:fill="auto"/>
            <w:vAlign w:val="center"/>
            <w:hideMark/>
          </w:tcPr>
          <w:p w14:paraId="68F55334" w14:textId="77777777"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rPr>
              <w:t>Deterioration 1988-1994</w:t>
            </w:r>
          </w:p>
        </w:tc>
        <w:tc>
          <w:tcPr>
            <w:tcW w:w="1760" w:type="dxa"/>
            <w:tcBorders>
              <w:top w:val="nil"/>
              <w:left w:val="nil"/>
              <w:bottom w:val="nil"/>
              <w:right w:val="nil"/>
            </w:tcBorders>
            <w:shd w:val="clear" w:color="auto" w:fill="auto"/>
            <w:vAlign w:val="center"/>
            <w:hideMark/>
          </w:tcPr>
          <w:p w14:paraId="2685E5F5" w14:textId="7065B373"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65.3</w:t>
            </w:r>
          </w:p>
        </w:tc>
        <w:tc>
          <w:tcPr>
            <w:tcW w:w="1964" w:type="dxa"/>
            <w:tcBorders>
              <w:top w:val="nil"/>
              <w:left w:val="nil"/>
              <w:bottom w:val="nil"/>
              <w:right w:val="nil"/>
            </w:tcBorders>
            <w:shd w:val="clear" w:color="auto" w:fill="auto"/>
            <w:vAlign w:val="center"/>
            <w:hideMark/>
          </w:tcPr>
          <w:p w14:paraId="79D3A957" w14:textId="39C004E0"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34.7</w:t>
            </w:r>
          </w:p>
        </w:tc>
      </w:tr>
      <w:tr w:rsidR="0064685C" w:rsidRPr="0064685C" w14:paraId="4A3DE3C5" w14:textId="77777777" w:rsidTr="0064685C">
        <w:trPr>
          <w:trHeight w:val="288"/>
        </w:trPr>
        <w:tc>
          <w:tcPr>
            <w:tcW w:w="3080" w:type="dxa"/>
            <w:tcBorders>
              <w:top w:val="nil"/>
              <w:left w:val="nil"/>
              <w:bottom w:val="nil"/>
              <w:right w:val="nil"/>
            </w:tcBorders>
            <w:shd w:val="clear" w:color="auto" w:fill="auto"/>
            <w:vAlign w:val="center"/>
            <w:hideMark/>
          </w:tcPr>
          <w:p w14:paraId="4F6AF54C" w14:textId="77777777"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rPr>
              <w:t>Divergence 1994-2000</w:t>
            </w:r>
          </w:p>
        </w:tc>
        <w:tc>
          <w:tcPr>
            <w:tcW w:w="1760" w:type="dxa"/>
            <w:tcBorders>
              <w:top w:val="nil"/>
              <w:left w:val="nil"/>
              <w:bottom w:val="nil"/>
              <w:right w:val="nil"/>
            </w:tcBorders>
            <w:shd w:val="clear" w:color="auto" w:fill="auto"/>
            <w:vAlign w:val="center"/>
            <w:hideMark/>
          </w:tcPr>
          <w:p w14:paraId="55513262" w14:textId="06276E39"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83.3</w:t>
            </w:r>
          </w:p>
        </w:tc>
        <w:tc>
          <w:tcPr>
            <w:tcW w:w="1964" w:type="dxa"/>
            <w:tcBorders>
              <w:top w:val="nil"/>
              <w:left w:val="nil"/>
              <w:bottom w:val="nil"/>
              <w:right w:val="nil"/>
            </w:tcBorders>
            <w:shd w:val="clear" w:color="auto" w:fill="auto"/>
            <w:vAlign w:val="center"/>
            <w:hideMark/>
          </w:tcPr>
          <w:p w14:paraId="2706C846" w14:textId="79A4B9A5"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16.7</w:t>
            </w:r>
          </w:p>
        </w:tc>
      </w:tr>
      <w:tr w:rsidR="0064685C" w:rsidRPr="0064685C" w14:paraId="3131B89C" w14:textId="77777777" w:rsidTr="0064685C">
        <w:trPr>
          <w:trHeight w:val="288"/>
        </w:trPr>
        <w:tc>
          <w:tcPr>
            <w:tcW w:w="3080" w:type="dxa"/>
            <w:tcBorders>
              <w:top w:val="nil"/>
              <w:left w:val="nil"/>
              <w:bottom w:val="nil"/>
              <w:right w:val="nil"/>
            </w:tcBorders>
            <w:shd w:val="clear" w:color="auto" w:fill="auto"/>
            <w:vAlign w:val="center"/>
            <w:hideMark/>
          </w:tcPr>
          <w:p w14:paraId="4357DB33" w14:textId="77777777" w:rsidR="0064685C" w:rsidRPr="0064685C" w:rsidRDefault="0064685C" w:rsidP="0064685C">
            <w:pPr>
              <w:ind w:firstLineChars="100" w:firstLine="200"/>
              <w:rPr>
                <w:rFonts w:eastAsia="Times New Roman" w:cs="Times New Roman"/>
                <w:b/>
                <w:color w:val="000000"/>
                <w:sz w:val="20"/>
                <w:szCs w:val="20"/>
              </w:rPr>
            </w:pPr>
            <w:r w:rsidRPr="0064685C">
              <w:rPr>
                <w:rFonts w:eastAsia="Times New Roman" w:cs="Times New Roman"/>
                <w:b/>
                <w:color w:val="000000"/>
                <w:sz w:val="20"/>
              </w:rPr>
              <w:t>Convergence 2000-present</w:t>
            </w:r>
          </w:p>
        </w:tc>
        <w:tc>
          <w:tcPr>
            <w:tcW w:w="1760" w:type="dxa"/>
            <w:tcBorders>
              <w:top w:val="nil"/>
              <w:left w:val="nil"/>
              <w:bottom w:val="nil"/>
              <w:right w:val="nil"/>
            </w:tcBorders>
            <w:shd w:val="clear" w:color="auto" w:fill="auto"/>
            <w:vAlign w:val="center"/>
            <w:hideMark/>
          </w:tcPr>
          <w:p w14:paraId="1C811D2E" w14:textId="3FD8D9C1"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63.4</w:t>
            </w:r>
          </w:p>
        </w:tc>
        <w:tc>
          <w:tcPr>
            <w:tcW w:w="1964" w:type="dxa"/>
            <w:tcBorders>
              <w:top w:val="nil"/>
              <w:left w:val="nil"/>
              <w:bottom w:val="nil"/>
              <w:right w:val="nil"/>
            </w:tcBorders>
            <w:shd w:val="clear" w:color="auto" w:fill="auto"/>
            <w:vAlign w:val="center"/>
            <w:hideMark/>
          </w:tcPr>
          <w:p w14:paraId="20492589" w14:textId="79C5FEC3"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3</w:t>
            </w:r>
            <w:r w:rsidR="008B73FF">
              <w:rPr>
                <w:rFonts w:eastAsia="Times New Roman" w:cs="Times New Roman"/>
                <w:color w:val="000000"/>
                <w:sz w:val="20"/>
              </w:rPr>
              <w:t>6.6</w:t>
            </w:r>
          </w:p>
        </w:tc>
      </w:tr>
      <w:tr w:rsidR="008B73FF" w:rsidRPr="0064685C" w14:paraId="782B63CD" w14:textId="77777777" w:rsidTr="0064685C">
        <w:trPr>
          <w:trHeight w:val="288"/>
        </w:trPr>
        <w:tc>
          <w:tcPr>
            <w:tcW w:w="3080" w:type="dxa"/>
            <w:tcBorders>
              <w:top w:val="nil"/>
              <w:left w:val="nil"/>
              <w:bottom w:val="nil"/>
              <w:right w:val="nil"/>
            </w:tcBorders>
            <w:shd w:val="clear" w:color="auto" w:fill="auto"/>
            <w:vAlign w:val="center"/>
          </w:tcPr>
          <w:p w14:paraId="4FD8076A" w14:textId="77777777" w:rsidR="008B73FF" w:rsidRPr="0064685C" w:rsidRDefault="008B73FF" w:rsidP="0064685C">
            <w:pPr>
              <w:ind w:firstLineChars="100" w:firstLine="200"/>
              <w:rPr>
                <w:rFonts w:eastAsia="Times New Roman" w:cs="Times New Roman"/>
                <w:b/>
                <w:color w:val="000000"/>
                <w:sz w:val="20"/>
              </w:rPr>
            </w:pPr>
          </w:p>
        </w:tc>
        <w:tc>
          <w:tcPr>
            <w:tcW w:w="1760" w:type="dxa"/>
            <w:tcBorders>
              <w:top w:val="nil"/>
              <w:left w:val="nil"/>
              <w:bottom w:val="nil"/>
              <w:right w:val="nil"/>
            </w:tcBorders>
            <w:shd w:val="clear" w:color="auto" w:fill="auto"/>
            <w:vAlign w:val="center"/>
          </w:tcPr>
          <w:p w14:paraId="2DA152F6" w14:textId="77777777" w:rsidR="008B73FF" w:rsidRPr="0064685C" w:rsidRDefault="008B73FF" w:rsidP="0064685C">
            <w:pPr>
              <w:ind w:firstLineChars="100" w:firstLine="200"/>
              <w:rPr>
                <w:rFonts w:eastAsia="Times New Roman" w:cs="Times New Roman"/>
                <w:color w:val="000000"/>
                <w:sz w:val="20"/>
              </w:rPr>
            </w:pPr>
          </w:p>
        </w:tc>
        <w:tc>
          <w:tcPr>
            <w:tcW w:w="1964" w:type="dxa"/>
            <w:tcBorders>
              <w:top w:val="nil"/>
              <w:left w:val="nil"/>
              <w:bottom w:val="nil"/>
              <w:right w:val="nil"/>
            </w:tcBorders>
            <w:shd w:val="clear" w:color="auto" w:fill="auto"/>
            <w:vAlign w:val="center"/>
          </w:tcPr>
          <w:p w14:paraId="20F87EF6" w14:textId="77777777" w:rsidR="008B73FF" w:rsidRPr="0064685C" w:rsidRDefault="008B73FF" w:rsidP="0064685C">
            <w:pPr>
              <w:ind w:firstLineChars="100" w:firstLine="200"/>
              <w:rPr>
                <w:rFonts w:eastAsia="Times New Roman" w:cs="Times New Roman"/>
                <w:color w:val="000000"/>
                <w:sz w:val="20"/>
              </w:rPr>
            </w:pPr>
          </w:p>
        </w:tc>
      </w:tr>
    </w:tbl>
    <w:p w14:paraId="2E290CF3" w14:textId="20214DEC" w:rsidR="00054DD6" w:rsidRDefault="00054DD6" w:rsidP="002B4381">
      <w:pPr>
        <w:jc w:val="both"/>
        <w:rPr>
          <w:b/>
        </w:rPr>
      </w:pPr>
    </w:p>
    <w:p w14:paraId="38B70AE3" w14:textId="77777777" w:rsidR="00054DD6" w:rsidRDefault="00054DD6" w:rsidP="002B4381">
      <w:pPr>
        <w:jc w:val="both"/>
        <w:rPr>
          <w:b/>
        </w:rPr>
      </w:pPr>
    </w:p>
    <w:p w14:paraId="64D271E1" w14:textId="77777777" w:rsidR="00CC6DDC" w:rsidRPr="00E713E6" w:rsidRDefault="00CC6DDC" w:rsidP="00CC6DDC">
      <w:pPr>
        <w:jc w:val="both"/>
      </w:pPr>
      <w:r w:rsidRPr="00E713E6">
        <w:t>References</w:t>
      </w:r>
    </w:p>
    <w:p w14:paraId="4B5B2319" w14:textId="77777777" w:rsidR="00CC6DDC" w:rsidRDefault="00CC6DDC" w:rsidP="00CC6DDC">
      <w:pPr>
        <w:jc w:val="both"/>
      </w:pPr>
    </w:p>
    <w:p w14:paraId="1B9FE358" w14:textId="77777777" w:rsidR="00CC6DDC" w:rsidRDefault="00CC6DDC" w:rsidP="00CC6DDC">
      <w:pPr>
        <w:jc w:val="both"/>
      </w:pPr>
    </w:p>
    <w:p w14:paraId="7867ABC3" w14:textId="77777777" w:rsidR="00CC6DDC" w:rsidRPr="00AD3456" w:rsidRDefault="00CC6DDC" w:rsidP="00CC6DDC">
      <w:pPr>
        <w:jc w:val="both"/>
      </w:pPr>
      <w:r w:rsidRPr="00AD3456">
        <w:t xml:space="preserve">Aleshina, N., &amp; Redmond, G. (2005). How high is infant mortality in Central and Eastern Europe and the Commonwealth of Independent States?. </w:t>
      </w:r>
      <w:r w:rsidRPr="00AD3456">
        <w:rPr>
          <w:i/>
          <w:iCs/>
        </w:rPr>
        <w:t>Population studies</w:t>
      </w:r>
      <w:r w:rsidRPr="00AD3456">
        <w:t xml:space="preserve">, </w:t>
      </w:r>
      <w:r w:rsidRPr="00AD3456">
        <w:rPr>
          <w:i/>
          <w:iCs/>
        </w:rPr>
        <w:t>59</w:t>
      </w:r>
      <w:r w:rsidRPr="00AD3456">
        <w:t>(1), 39-54.</w:t>
      </w:r>
    </w:p>
    <w:p w14:paraId="3C354EAD" w14:textId="77777777" w:rsidR="00CC6DDC" w:rsidRPr="00E713E6" w:rsidRDefault="00CC6DDC" w:rsidP="00CC6DDC">
      <w:pPr>
        <w:jc w:val="both"/>
      </w:pPr>
      <w:r w:rsidRPr="00AD3456" w:rsidDel="00AD3456">
        <w:t xml:space="preserve"> </w:t>
      </w:r>
    </w:p>
    <w:p w14:paraId="64181FFB" w14:textId="77777777" w:rsidR="00CC6DDC" w:rsidRPr="002A25CF" w:rsidRDefault="00CC6DDC" w:rsidP="00CC6DDC">
      <w:pPr>
        <w:jc w:val="both"/>
      </w:pPr>
      <w:r w:rsidRPr="002A25CF">
        <w:t xml:space="preserve">Anderson, B. A., &amp; Silver, B. D. (1986). Infant mortality in the Soviet Union: regional differences and measurement issues. </w:t>
      </w:r>
      <w:r w:rsidRPr="002A25CF">
        <w:rPr>
          <w:i/>
          <w:iCs/>
        </w:rPr>
        <w:t>Population and development review</w:t>
      </w:r>
      <w:r w:rsidRPr="002A25CF">
        <w:t>, 705-738.</w:t>
      </w:r>
    </w:p>
    <w:p w14:paraId="0C8FD7EC" w14:textId="77777777" w:rsidR="00CC6DDC" w:rsidRDefault="00CC6DDC" w:rsidP="00CC6DDC">
      <w:pPr>
        <w:jc w:val="both"/>
      </w:pPr>
    </w:p>
    <w:p w14:paraId="587DDC3A" w14:textId="77777777" w:rsidR="00CC6DDC" w:rsidRDefault="00CC6DDC" w:rsidP="00CC6DDC">
      <w:pPr>
        <w:jc w:val="both"/>
      </w:pPr>
      <w:r w:rsidRPr="00CC6DDC">
        <w:rPr>
          <w:lang w:val="es-ES"/>
        </w:rPr>
        <w:t xml:space="preserve">Engelman, M., Canudas-Romo, V., &amp; Agree, E. M. (2010). </w:t>
      </w:r>
      <w:r w:rsidRPr="004E3D11">
        <w:t>The implications of increased survivorship for mortality variation in aging populations. Population and Development Review, 36(3), 511-539.</w:t>
      </w:r>
    </w:p>
    <w:p w14:paraId="6F769075" w14:textId="77777777" w:rsidR="00CC6DDC" w:rsidRDefault="00CC6DDC" w:rsidP="00CC6DDC">
      <w:pPr>
        <w:jc w:val="both"/>
      </w:pPr>
    </w:p>
    <w:p w14:paraId="3290CE38" w14:textId="77777777" w:rsidR="00CC6DDC" w:rsidRPr="00D934AB" w:rsidRDefault="00CC6DDC" w:rsidP="00CC6DDC">
      <w:pPr>
        <w:jc w:val="both"/>
      </w:pPr>
      <w:r w:rsidRPr="008E1A0B">
        <w:t>Kingkade, W. W., &amp; Sawyer, C. C. (2001). Infant mortality in Eastern Europe and the former Soviet Union before and after the breakup. US Bureau of the Census, Population Division, Washington, DC.</w:t>
      </w:r>
    </w:p>
    <w:p w14:paraId="7843FB9A" w14:textId="77777777" w:rsidR="00CC6DDC" w:rsidRPr="00D934AB" w:rsidRDefault="00CC6DDC" w:rsidP="00CC6DDC">
      <w:pPr>
        <w:jc w:val="both"/>
      </w:pPr>
    </w:p>
    <w:p w14:paraId="37295422" w14:textId="77777777" w:rsidR="00CC6DDC" w:rsidRDefault="00CC6DDC" w:rsidP="00CC6DDC">
      <w:pPr>
        <w:jc w:val="both"/>
      </w:pPr>
      <w:r w:rsidRPr="00DB239E">
        <w:lastRenderedPageBreak/>
        <w:t>Unicef. (2003). Social monitor, 2003.</w:t>
      </w:r>
    </w:p>
    <w:p w14:paraId="478D5F7D" w14:textId="77777777" w:rsidR="00CC6DDC" w:rsidRPr="00D934AB" w:rsidRDefault="00CC6DDC" w:rsidP="00CC6DDC">
      <w:pPr>
        <w:jc w:val="both"/>
      </w:pPr>
    </w:p>
    <w:p w14:paraId="15950EA9" w14:textId="122A3DE6" w:rsidR="00CC6DDC" w:rsidRDefault="00CC6DDC" w:rsidP="00CC6DDC">
      <w:pPr>
        <w:jc w:val="both"/>
      </w:pPr>
      <w:r w:rsidRPr="00D76CE6">
        <w:rPr>
          <w:lang w:val="es-ES"/>
        </w:rPr>
        <w:t xml:space="preserve">van Raalte, A. A., &amp; Caswell, H. (2013). </w:t>
      </w:r>
      <w:r w:rsidRPr="007E13B7">
        <w:t>Perturbation analysis of indices of lifespan variability. Demography, 50(5), 1615-1640.</w:t>
      </w:r>
    </w:p>
    <w:p w14:paraId="1260317B" w14:textId="77777777" w:rsidR="00CC6DDC" w:rsidRDefault="00CC6DDC" w:rsidP="00CC6DDC">
      <w:pPr>
        <w:jc w:val="both"/>
      </w:pPr>
    </w:p>
    <w:p w14:paraId="02BA998A" w14:textId="10D81650"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17E63B2C" w14:textId="77777777" w:rsidR="00156786" w:rsidRDefault="00156786" w:rsidP="0053754D">
      <w:pPr>
        <w:jc w:val="both"/>
      </w:pPr>
    </w:p>
    <w:p w14:paraId="36CB6330" w14:textId="33A0D7C2" w:rsidR="00E363A2" w:rsidRDefault="00E363A2" w:rsidP="0053754D">
      <w:pPr>
        <w:jc w:val="both"/>
      </w:pPr>
      <w:r>
        <w:t xml:space="preserve">This is true and we made the following major changes to the manuscript. </w:t>
      </w:r>
    </w:p>
    <w:p w14:paraId="491605FD" w14:textId="77777777" w:rsidR="00E363A2" w:rsidRDefault="00E363A2" w:rsidP="0053754D">
      <w:pPr>
        <w:jc w:val="both"/>
      </w:pPr>
    </w:p>
    <w:p w14:paraId="2B9DCF1E" w14:textId="46ADF5F3" w:rsidR="00E363A2"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We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w:t>
      </w:r>
      <w:r w:rsidR="003F1760" w:rsidRPr="00D76CE6">
        <w:rPr>
          <w:rFonts w:ascii="Times New Roman" w:hAnsi="Times New Roman"/>
          <w:sz w:val="24"/>
          <w:lang w:val="en-US"/>
        </w:rPr>
        <w:t xml:space="preserve">mortality that is </w:t>
      </w:r>
      <w:r w:rsidRPr="00D76CE6">
        <w:rPr>
          <w:rFonts w:ascii="Times New Roman" w:hAnsi="Times New Roman"/>
          <w:sz w:val="24"/>
          <w:lang w:val="en-US"/>
        </w:rPr>
        <w:t xml:space="preserve">wholly attributable </w:t>
      </w:r>
      <w:r w:rsidR="003F1760" w:rsidRPr="00D76CE6">
        <w:rPr>
          <w:rFonts w:ascii="Times New Roman" w:hAnsi="Times New Roman"/>
          <w:sz w:val="24"/>
          <w:lang w:val="en-US"/>
        </w:rPr>
        <w:t>to alcohol</w:t>
      </w:r>
      <w:r w:rsidRPr="00D76CE6">
        <w:rPr>
          <w:rFonts w:ascii="Times New Roman" w:hAnsi="Times New Roman"/>
          <w:sz w:val="24"/>
          <w:lang w:val="en-US"/>
        </w:rPr>
        <w:t>. This way, we can infer over which ages/periods alcohol was likely to have played a larger role in changes to these larger COD groupings.</w:t>
      </w:r>
    </w:p>
    <w:p w14:paraId="3076CCDF" w14:textId="3D32BD43" w:rsidR="005943A1"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Related to the first, we were careful to point out in the results and discussion that changing alcohol patterns were not consistent with the changing COD patterns observed in Central Europe, and included a number of references from studies which had looked at other determinants such as improving medical care and changing </w:t>
      </w:r>
      <w:r w:rsidR="00D76CE6" w:rsidRPr="00D76CE6">
        <w:rPr>
          <w:rFonts w:ascii="Times New Roman" w:hAnsi="Times New Roman"/>
          <w:sz w:val="24"/>
          <w:lang w:val="en-US"/>
        </w:rPr>
        <w:t>dietary</w:t>
      </w:r>
      <w:r w:rsidRPr="00D76CE6">
        <w:rPr>
          <w:rFonts w:ascii="Times New Roman" w:hAnsi="Times New Roman"/>
          <w:sz w:val="24"/>
          <w:lang w:val="en-US"/>
        </w:rPr>
        <w:t xml:space="preserve"> habits</w:t>
      </w:r>
      <w:r w:rsidR="00BD2346" w:rsidRPr="00D76CE6">
        <w:rPr>
          <w:rFonts w:ascii="Times New Roman" w:hAnsi="Times New Roman"/>
          <w:sz w:val="24"/>
          <w:lang w:val="en-US"/>
        </w:rPr>
        <w:t xml:space="preserve"> (</w:t>
      </w:r>
      <w:r w:rsidR="003F1760" w:rsidRPr="00D76CE6">
        <w:rPr>
          <w:rFonts w:ascii="Times New Roman" w:hAnsi="Times New Roman"/>
          <w:sz w:val="24"/>
          <w:lang w:val="en-US"/>
        </w:rPr>
        <w:t xml:space="preserve">Cífková 2010, Cooper 1984, </w:t>
      </w:r>
      <w:r w:rsidR="00BD2346" w:rsidRPr="00D76CE6">
        <w:rPr>
          <w:rFonts w:ascii="Times New Roman" w:hAnsi="Times New Roman"/>
          <w:sz w:val="24"/>
          <w:lang w:val="en-US"/>
        </w:rPr>
        <w:t>Zatonski 1998</w:t>
      </w:r>
      <w:r w:rsidR="00222245" w:rsidRPr="00D76CE6">
        <w:rPr>
          <w:rFonts w:ascii="Times New Roman" w:hAnsi="Times New Roman"/>
          <w:sz w:val="24"/>
          <w:lang w:val="en-US"/>
        </w:rPr>
        <w:t>, Pająk and Kozela 2011</w:t>
      </w:r>
      <w:r w:rsidR="003F1760" w:rsidRPr="00D76CE6">
        <w:rPr>
          <w:rFonts w:ascii="Times New Roman" w:hAnsi="Times New Roman"/>
          <w:sz w:val="24"/>
          <w:lang w:val="en-US"/>
        </w:rPr>
        <w:t>, Nolte 2000a, 2000b, Rychtarikova 2004)</w:t>
      </w:r>
    </w:p>
    <w:p w14:paraId="24EF1ED8" w14:textId="0C252311" w:rsidR="00C144FB" w:rsidRDefault="00C144FB" w:rsidP="0053754D">
      <w:pPr>
        <w:jc w:val="both"/>
      </w:pPr>
    </w:p>
    <w:p w14:paraId="166CDCAE" w14:textId="134DF06D" w:rsidR="008648C5" w:rsidRDefault="008648C5" w:rsidP="0053754D">
      <w:pPr>
        <w:jc w:val="both"/>
      </w:pPr>
    </w:p>
    <w:p w14:paraId="300D3A46" w14:textId="0A6D448E" w:rsidR="008648C5" w:rsidRPr="00D76CE6" w:rsidRDefault="008648C5" w:rsidP="0053754D">
      <w:pPr>
        <w:jc w:val="both"/>
      </w:pPr>
      <w:r w:rsidRPr="00D76CE6">
        <w:t>References</w:t>
      </w:r>
    </w:p>
    <w:p w14:paraId="59BAFCA4" w14:textId="77777777" w:rsidR="002A25CF" w:rsidRDefault="002A25CF" w:rsidP="0053754D">
      <w:pPr>
        <w:jc w:val="both"/>
      </w:pPr>
    </w:p>
    <w:p w14:paraId="5564BBA7" w14:textId="5E13975E" w:rsidR="00101B2C" w:rsidRPr="00D76CE6" w:rsidRDefault="00101B2C" w:rsidP="0053754D">
      <w:pPr>
        <w:jc w:val="both"/>
      </w:pPr>
      <w:r w:rsidRPr="00D76CE6">
        <w:t>Cífková, Renata, et al. "Longitudinal trends in major cardiovascular risk factors in the Czech population between 1985 and 2007/8. Czech MONICA and Czech post-MONICA." Atherosclerosis 211.2 (2010): 676-681.</w:t>
      </w:r>
    </w:p>
    <w:p w14:paraId="212BDB5A" w14:textId="77777777" w:rsidR="00C2458F" w:rsidRPr="00D934AB" w:rsidRDefault="00C2458F" w:rsidP="0053754D">
      <w:pPr>
        <w:jc w:val="both"/>
      </w:pPr>
    </w:p>
    <w:p w14:paraId="232413A9" w14:textId="1F3C6E76" w:rsidR="002514AC" w:rsidRDefault="002514AC" w:rsidP="0053754D">
      <w:pPr>
        <w:jc w:val="both"/>
      </w:pPr>
      <w:r w:rsidRPr="00D934AB">
        <w:t>Cooper, R., Schatzkin, A., &amp; Sempos, C. (1984). Rising death rates among Polish men. International Journal of Health Services, 14(2), 289-302.</w:t>
      </w:r>
    </w:p>
    <w:p w14:paraId="6C66612F" w14:textId="5A914FE9" w:rsidR="004E3D11" w:rsidRDefault="004E3D11" w:rsidP="0053754D">
      <w:pPr>
        <w:jc w:val="both"/>
      </w:pPr>
    </w:p>
    <w:p w14:paraId="2CF1396A" w14:textId="6A57B5B6" w:rsidR="006D2F44" w:rsidRPr="00D934AB" w:rsidRDefault="006D2F44" w:rsidP="0053754D">
      <w:pPr>
        <w:jc w:val="both"/>
      </w:pPr>
      <w:r w:rsidRPr="00D934AB">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lastRenderedPageBreak/>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4BB529C2" w:rsidR="002A6470" w:rsidRDefault="002A6470" w:rsidP="0053754D">
      <w:pPr>
        <w:jc w:val="both"/>
      </w:pPr>
      <w:r w:rsidRPr="006C3BE9">
        <w:t>Pająk, A., &amp; Kozela, M. (2011). Cardiovascular disease in Central and East Europe. Public Health Reviews, 33(2), 416.</w:t>
      </w:r>
    </w:p>
    <w:p w14:paraId="000FDD02" w14:textId="77777777" w:rsidR="00101B2C" w:rsidRPr="00D934AB" w:rsidRDefault="00101B2C" w:rsidP="0053754D">
      <w:pPr>
        <w:jc w:val="both"/>
      </w:pPr>
    </w:p>
    <w:p w14:paraId="3867C439" w14:textId="3165F517" w:rsidR="008648C5" w:rsidRPr="00101B2C" w:rsidRDefault="00101B2C" w:rsidP="0053754D">
      <w:pPr>
        <w:jc w:val="both"/>
      </w:pPr>
      <w:r w:rsidRPr="00101B2C">
        <w:t>Rychtarikova, J. (2004). The case of the Czech Republic: Determinants of the recent favourable turnover in mortality. Demographic Research, 2, 105-138.</w:t>
      </w:r>
    </w:p>
    <w:p w14:paraId="2F78342B" w14:textId="77777777" w:rsidR="00101B2C" w:rsidRDefault="00101B2C" w:rsidP="0053754D">
      <w:pPr>
        <w:jc w:val="both"/>
      </w:pPr>
    </w:p>
    <w:p w14:paraId="1B03066F" w14:textId="0A67521F" w:rsidR="00DB239E" w:rsidRDefault="00DB239E" w:rsidP="0053754D">
      <w:pPr>
        <w:jc w:val="both"/>
      </w:pPr>
      <w:r w:rsidRPr="00DB239E">
        <w:t>Unicef. (2003). Social monitor, 2003.</w:t>
      </w:r>
    </w:p>
    <w:p w14:paraId="38C63745" w14:textId="77777777" w:rsidR="00DB239E" w:rsidRPr="00D934AB" w:rsidRDefault="00DB239E"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r w:rsidRPr="005943A1">
        <w:t>Zatonski, W. A., McMichael, A. J., &amp; Powles, J. W. (1998). Ecological study of reasons for sharp decline in mortality from ischaemic heart disease in Poland since 1991. Bmj, 316(7137), 1047.</w:t>
      </w:r>
    </w:p>
    <w:p w14:paraId="360D0F5D" w14:textId="77777777" w:rsidR="008648C5" w:rsidRPr="00CA23F5" w:rsidRDefault="008648C5" w:rsidP="0053754D">
      <w:pPr>
        <w:jc w:val="both"/>
      </w:pPr>
    </w:p>
    <w:p w14:paraId="49AD7A00" w14:textId="49D4CDC4" w:rsidR="002010C1" w:rsidRDefault="002010C1" w:rsidP="0053754D">
      <w:pPr>
        <w:jc w:val="both"/>
        <w:rPr>
          <w:b/>
        </w:rPr>
      </w:pPr>
      <w:r w:rsidRPr="005943A1">
        <w:cr/>
      </w:r>
      <w:r w:rsidR="00981CA2" w:rsidRPr="00981CA2">
        <w:rPr>
          <w:b/>
        </w:rPr>
        <w:t xml:space="preserve"> </w:t>
      </w:r>
      <w:r w:rsidR="00981CA2" w:rsidRPr="002010C1">
        <w:rPr>
          <w:b/>
        </w:rPr>
        <w:t>It is also quite problematic to separate the rest of circulatory diseases from IHD and stroke, as it is known, that many Eastern countries code a large part of IHD or stroke as „atherosclerosis“.</w:t>
      </w:r>
    </w:p>
    <w:p w14:paraId="03E6B006" w14:textId="4D9C2C67" w:rsidR="00981CA2" w:rsidRDefault="00981CA2" w:rsidP="0053754D">
      <w:pPr>
        <w:jc w:val="both"/>
        <w:rPr>
          <w:b/>
        </w:rPr>
      </w:pPr>
    </w:p>
    <w:p w14:paraId="4703954F" w14:textId="07E5ACE6" w:rsidR="00E363A2" w:rsidRDefault="00E363A2" w:rsidP="0053754D">
      <w:pPr>
        <w:jc w:val="both"/>
      </w:pPr>
      <w:r>
        <w:t>After carefully reviewing the previous version</w:t>
      </w:r>
      <w:r w:rsidR="006B10D2">
        <w:t>, we decided that the added value of keeping IHD separate from other circulatory diseases was low for the purposes of this study, and changing coding practices were visible for some countries in trends between these causes. Thus i</w:t>
      </w:r>
      <w:r>
        <w:t>n the new version of the manuscript we opted to combine all circulatory disease mortality together for th</w:t>
      </w:r>
      <w:r w:rsidR="006B10D2">
        <w:t>e reasons you describe above. We added the following to the limitations section:</w:t>
      </w:r>
    </w:p>
    <w:p w14:paraId="21442FE2" w14:textId="77777777" w:rsidR="00E363A2" w:rsidRDefault="00E363A2" w:rsidP="0053754D">
      <w:pPr>
        <w:jc w:val="both"/>
      </w:pPr>
    </w:p>
    <w:p w14:paraId="030AE4E7" w14:textId="36181810" w:rsidR="00E363A2" w:rsidRPr="00F230AC" w:rsidRDefault="006B10D2" w:rsidP="0053754D">
      <w:pPr>
        <w:jc w:val="both"/>
        <w:rPr>
          <w:i/>
        </w:rPr>
      </w:pPr>
      <w:r w:rsidRPr="00F230AC">
        <w:rPr>
          <w:i/>
        </w:rPr>
        <w:t>“…in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some degree of misclassification within circulatory disease is corrected for by the HCD team (Pechholdova 2017), for comparative purposes we felt it safer to combine all circulatory disease categories.”</w:t>
      </w:r>
    </w:p>
    <w:p w14:paraId="6E941E79" w14:textId="77777777" w:rsidR="006B10D2" w:rsidRDefault="006B10D2" w:rsidP="0053754D">
      <w:pPr>
        <w:jc w:val="both"/>
      </w:pPr>
    </w:p>
    <w:p w14:paraId="2511B650" w14:textId="2CA9586B" w:rsidR="00981CA2" w:rsidRPr="00D76CE6" w:rsidRDefault="00981CA2" w:rsidP="0053754D">
      <w:pPr>
        <w:jc w:val="both"/>
        <w:rPr>
          <w:lang w:val="es-ES"/>
        </w:rPr>
      </w:pPr>
    </w:p>
    <w:p w14:paraId="28E69E1A" w14:textId="6D4BF9BA" w:rsidR="00367546" w:rsidRPr="00D76CE6" w:rsidRDefault="00256790" w:rsidP="0053754D">
      <w:pPr>
        <w:jc w:val="both"/>
        <w:rPr>
          <w:lang w:val="es-ES"/>
        </w:rPr>
      </w:pPr>
      <w:r w:rsidRPr="00D76CE6">
        <w:rPr>
          <w:lang w:val="es-ES"/>
        </w:rPr>
        <w:t>References:</w:t>
      </w:r>
    </w:p>
    <w:p w14:paraId="74145E7D" w14:textId="77777777" w:rsidR="00256790" w:rsidRPr="00D76CE6" w:rsidRDefault="00256790" w:rsidP="0053754D">
      <w:pPr>
        <w:jc w:val="both"/>
        <w:rPr>
          <w:rFonts w:ascii="Arial" w:hAnsi="Arial" w:cs="Arial"/>
          <w:color w:val="222222"/>
          <w:sz w:val="20"/>
          <w:szCs w:val="20"/>
          <w:shd w:val="clear" w:color="auto" w:fill="FFFFFF"/>
          <w:lang w:val="es-ES"/>
        </w:rPr>
      </w:pPr>
    </w:p>
    <w:p w14:paraId="385C2E02" w14:textId="4021E2D9" w:rsidR="006B10D2" w:rsidRPr="00D76CE6" w:rsidRDefault="006B10D2" w:rsidP="00D76CE6">
      <w:pPr>
        <w:rPr>
          <w:lang w:val="fr-FR"/>
        </w:rPr>
      </w:pPr>
      <w:r w:rsidRPr="00D76CE6">
        <w:rPr>
          <w:lang w:val="es-ES"/>
        </w:rPr>
        <w:t>Jasilionis, D.; Meslé, F.; Shkolnikov, V. M. &amp; Vallin, J. (2011).</w:t>
      </w:r>
      <w:r>
        <w:rPr>
          <w:lang w:val="es-ES"/>
        </w:rPr>
        <w:t xml:space="preserve">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1EFB91D3" w14:textId="77777777" w:rsidR="006B10D2" w:rsidRDefault="006B10D2" w:rsidP="006B10D2">
      <w:pPr>
        <w:jc w:val="both"/>
        <w:rPr>
          <w:lang w:val="fr-FR"/>
        </w:rPr>
      </w:pPr>
      <w:r w:rsidRPr="00D76CE6">
        <w:rPr>
          <w:lang w:val="fr-FR"/>
        </w:rPr>
        <w:t xml:space="preserve"> </w:t>
      </w:r>
    </w:p>
    <w:p w14:paraId="4CAE0978" w14:textId="77777777" w:rsidR="006B10D2" w:rsidRDefault="00256790" w:rsidP="006B10D2">
      <w:pPr>
        <w:jc w:val="both"/>
        <w:rPr>
          <w:rFonts w:eastAsia="Times New Roman" w:cs="Times New Roman"/>
          <w:color w:val="222222"/>
          <w:szCs w:val="24"/>
        </w:rPr>
      </w:pPr>
      <w:r w:rsidRPr="00D76CE6">
        <w:rPr>
          <w:lang w:val="fr-FR"/>
        </w:rPr>
        <w:lastRenderedPageBreak/>
        <w:t xml:space="preserve">Pechholdová, M., Camarda, C. G., Meslé, F., &amp; Vallin, J. (2017). </w:t>
      </w:r>
      <w:r w:rsidRPr="00256790">
        <w:t>Reconstructing Long-Term Coherent Cause-of-Death Series, a Necessary Step for Analyzing Trends. European Journal of Population, 1-22.</w:t>
      </w:r>
      <w:r w:rsidR="006B10D2" w:rsidRPr="006B10D2">
        <w:rPr>
          <w:rFonts w:eastAsia="Times New Roman" w:cs="Times New Roman"/>
          <w:color w:val="222222"/>
          <w:szCs w:val="24"/>
        </w:rPr>
        <w:t xml:space="preserve"> </w:t>
      </w:r>
    </w:p>
    <w:p w14:paraId="2FB4C540" w14:textId="77777777" w:rsidR="006B10D2" w:rsidRDefault="006B10D2" w:rsidP="006B10D2">
      <w:pPr>
        <w:jc w:val="both"/>
        <w:rPr>
          <w:rFonts w:eastAsia="Times New Roman" w:cs="Times New Roman"/>
          <w:color w:val="222222"/>
          <w:szCs w:val="24"/>
        </w:rPr>
      </w:pPr>
    </w:p>
    <w:p w14:paraId="717EA1F7" w14:textId="4BAE3016" w:rsidR="006B10D2" w:rsidRPr="006B10D2" w:rsidRDefault="006B10D2" w:rsidP="006B10D2">
      <w:pPr>
        <w:jc w:val="both"/>
      </w:pPr>
      <w:r w:rsidRPr="00D76CE6">
        <w:rPr>
          <w:lang w:val="sv-SE"/>
        </w:rPr>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4B062D3F" w14:textId="601E741D" w:rsidR="00D55B0E" w:rsidRDefault="00AC6114" w:rsidP="0053754D">
      <w:pPr>
        <w:jc w:val="both"/>
      </w:pPr>
      <w:r>
        <w:t xml:space="preserve">Thank you for the suggestion. </w:t>
      </w:r>
      <w:r w:rsidR="001B349A">
        <w:t xml:space="preserve">While this might explain some of the between-country differences in levels of mortality increase, the overall trends of mortality increase was also a feature in central European countries, thought to have better quality old age data during the 1960s. To our knowledge a comprehensive assessment of the magnitude of bias this might have caused throughout the region has not been undertaken. For this reason we did not do any robustness checks on old age data, but instead </w:t>
      </w:r>
      <w:r w:rsidR="00D55B0E">
        <w:t>added the following paragraph to the limitations:</w:t>
      </w:r>
    </w:p>
    <w:p w14:paraId="0C76373F" w14:textId="77777777" w:rsidR="00AC6114" w:rsidRDefault="00AC6114" w:rsidP="0053754D">
      <w:pPr>
        <w:jc w:val="both"/>
      </w:pPr>
    </w:p>
    <w:p w14:paraId="01765540" w14:textId="75BC4EA4" w:rsidR="00D55B0E" w:rsidRPr="00D76CE6" w:rsidRDefault="00D55B0E" w:rsidP="0053754D">
      <w:pPr>
        <w:jc w:val="both"/>
        <w:rPr>
          <w:i/>
        </w:rPr>
      </w:pPr>
      <w:r w:rsidRPr="00D76CE6">
        <w:rPr>
          <w:i/>
        </w:rPr>
        <w:t xml:space="preserve">The HMD data used in this project is the highest quality and most comparable data available for the region. However, the data quality differs between countries, age groups and periods, and is well documented in the database. The main data quality concerns which have been flagged in the region include: age heaping and likely age exaggeration in many FSU countries and Bulgaria in the 1960s (Grigoriev 2017, Jasilionis 2017a, Jdanov &amp; Shkolnikov 2017, Pyrozhkov et al. 2017, Philipov and Jasilionis 2017); lower quality data above age 80 in Belarus in the 1970s (Grigoriev 2017) and Russia after the mid-1990s (Jdanov &amp; Shkolnikov 2017); and consistency problems in population estimates in Lithuania for the 1960s and 1970s (Jasilionis &amp; Stankukiene), in Estonia during the 1990s (Jasilionis 2017b) and in Slovenia (Jasilionis 2017c). Age heaping is less of a problem for life table </w:t>
      </w:r>
      <w:r w:rsidR="00AC6114" w:rsidRPr="00D76CE6">
        <w:rPr>
          <w:i/>
        </w:rPr>
        <w:t>summary measures</w:t>
      </w:r>
      <w:r w:rsidRPr="00D76CE6">
        <w:rPr>
          <w:i/>
        </w:rPr>
        <w:t xml:space="preserve">, but age exaggeration is difficult to correct for and could have led to artificially worsening mortality at older ages as data quality improved. While a degree of caution should be applied in interpreting mortality differences and trends for these periods, age groups and countries, even if we were to exclude all instances of these flagged problems, the broader patterns of mortality development that we document here still hold.   </w:t>
      </w:r>
    </w:p>
    <w:p w14:paraId="7E8A9F5B" w14:textId="77777777" w:rsidR="00D55B0E" w:rsidRPr="00D76CE6" w:rsidRDefault="00D55B0E" w:rsidP="0053754D">
      <w:pPr>
        <w:jc w:val="both"/>
        <w:rPr>
          <w:b/>
          <w:i/>
        </w:rPr>
      </w:pPr>
    </w:p>
    <w:p w14:paraId="5F6F8FCA" w14:textId="77777777" w:rsidR="001B349A" w:rsidRPr="001B349A" w:rsidRDefault="001B349A" w:rsidP="00D76CE6">
      <w:pPr>
        <w:ind w:left="720" w:hanging="720"/>
        <w:jc w:val="both"/>
      </w:pPr>
      <w:r w:rsidRPr="001B349A">
        <w:t>References:</w:t>
      </w:r>
    </w:p>
    <w:p w14:paraId="55EC12D2" w14:textId="77777777" w:rsidR="001B349A" w:rsidRPr="001B349A" w:rsidRDefault="001B349A" w:rsidP="00D76CE6">
      <w:pPr>
        <w:ind w:left="720" w:hanging="720"/>
        <w:jc w:val="both"/>
        <w:rPr>
          <w:i/>
          <w:iCs/>
        </w:rPr>
      </w:pPr>
      <w:r w:rsidRPr="001B349A">
        <w:t xml:space="preserve">Grigoriev, P. (2017). About mortality data for Belarus. Human Mortality Database: Background and Documentation. </w:t>
      </w:r>
      <w:r w:rsidRPr="001B349A">
        <w:rPr>
          <w:i/>
          <w:iCs/>
        </w:rPr>
        <w:t xml:space="preserve">University of California, Berkeley and Max Planck Institute for Demographic Research, available at: </w:t>
      </w:r>
      <w:hyperlink r:id="rId19" w:history="1">
        <w:r w:rsidRPr="001B349A">
          <w:rPr>
            <w:rStyle w:val="Hyperlink"/>
            <w:i/>
            <w:iCs/>
          </w:rPr>
          <w:t>http://www.mortality.org/</w:t>
        </w:r>
      </w:hyperlink>
    </w:p>
    <w:p w14:paraId="5C9AE558" w14:textId="77777777" w:rsidR="001B349A" w:rsidRPr="001B349A" w:rsidRDefault="001B349A" w:rsidP="00D76CE6">
      <w:pPr>
        <w:ind w:left="720" w:hanging="720"/>
        <w:jc w:val="both"/>
      </w:pPr>
      <w:r w:rsidRPr="001B349A">
        <w:t xml:space="preserve">Jasilionis, D. (2017a). About mortality data for Latvia. Human Mortality Database: Background and Documentation. </w:t>
      </w:r>
      <w:r w:rsidRPr="001B349A">
        <w:rPr>
          <w:i/>
          <w:iCs/>
        </w:rPr>
        <w:t xml:space="preserve">University of California, Berkeley and Max Planck Institute for Demographic Research, available at: </w:t>
      </w:r>
      <w:hyperlink r:id="rId20" w:history="1">
        <w:r w:rsidRPr="001B349A">
          <w:rPr>
            <w:rStyle w:val="Hyperlink"/>
            <w:i/>
            <w:iCs/>
          </w:rPr>
          <w:t>http://www.mortality.org/</w:t>
        </w:r>
      </w:hyperlink>
    </w:p>
    <w:p w14:paraId="3D5D3FC1" w14:textId="77777777" w:rsidR="001B349A" w:rsidRPr="001B349A" w:rsidRDefault="001B349A" w:rsidP="00D76CE6">
      <w:pPr>
        <w:ind w:left="720" w:hanging="720"/>
        <w:jc w:val="both"/>
        <w:rPr>
          <w:i/>
          <w:iCs/>
        </w:rPr>
      </w:pPr>
      <w:r w:rsidRPr="001B349A">
        <w:t xml:space="preserve">Jasilionis, D. (2017b). About mortality data for Estonia. Human Mortality Database: Background and Documentation. </w:t>
      </w:r>
      <w:r w:rsidRPr="001B349A">
        <w:rPr>
          <w:i/>
          <w:iCs/>
        </w:rPr>
        <w:t xml:space="preserve">University of California, Berkeley and Max Planck Institute for Demographic Research, available at: </w:t>
      </w:r>
      <w:hyperlink r:id="rId21" w:history="1">
        <w:r w:rsidRPr="001B349A">
          <w:rPr>
            <w:rStyle w:val="Hyperlink"/>
            <w:i/>
            <w:iCs/>
          </w:rPr>
          <w:t>http://www.mortality.org/</w:t>
        </w:r>
      </w:hyperlink>
    </w:p>
    <w:p w14:paraId="3D63A056" w14:textId="77777777" w:rsidR="001B349A" w:rsidRPr="001B349A" w:rsidRDefault="001B349A" w:rsidP="00D76CE6">
      <w:pPr>
        <w:ind w:left="720" w:hanging="720"/>
        <w:jc w:val="both"/>
        <w:rPr>
          <w:i/>
          <w:iCs/>
        </w:rPr>
      </w:pPr>
      <w:r w:rsidRPr="001B349A">
        <w:lastRenderedPageBreak/>
        <w:t xml:space="preserve">Jasilionis, D. (2017c). About mortality data for Slovenia. Human Mortality Database: Background and Documentation. </w:t>
      </w:r>
      <w:r w:rsidRPr="001B349A">
        <w:rPr>
          <w:i/>
          <w:iCs/>
        </w:rPr>
        <w:t xml:space="preserve">University of California, Berkeley and Max Planck Institute for Demographic Research, available at: </w:t>
      </w:r>
      <w:hyperlink r:id="rId22" w:history="1">
        <w:r w:rsidRPr="001B349A">
          <w:rPr>
            <w:rStyle w:val="Hyperlink"/>
            <w:i/>
            <w:iCs/>
          </w:rPr>
          <w:t>http://www.mortality.org/</w:t>
        </w:r>
      </w:hyperlink>
    </w:p>
    <w:p w14:paraId="320AD930" w14:textId="77777777" w:rsidR="001B349A" w:rsidRPr="001B349A" w:rsidRDefault="001B349A" w:rsidP="00D76CE6">
      <w:pPr>
        <w:ind w:left="720" w:hanging="720"/>
        <w:jc w:val="both"/>
        <w:rPr>
          <w:i/>
          <w:iCs/>
        </w:rPr>
      </w:pPr>
      <w:r w:rsidRPr="001B349A">
        <w:t xml:space="preserve">Jasilionis, D. , &amp; Stankuniene, V. (2017). About mortality data for Lithuania. Human Mortality Database: Background and Documentation. </w:t>
      </w:r>
      <w:r w:rsidRPr="001B349A">
        <w:rPr>
          <w:i/>
          <w:iCs/>
        </w:rPr>
        <w:t xml:space="preserve">University of California, Berkeley and Max Planck Institute for Demographic Research, available at: </w:t>
      </w:r>
      <w:hyperlink r:id="rId23" w:history="1">
        <w:r w:rsidRPr="001B349A">
          <w:rPr>
            <w:rStyle w:val="Hyperlink"/>
            <w:i/>
            <w:iCs/>
          </w:rPr>
          <w:t>http://www.mortality.org/</w:t>
        </w:r>
      </w:hyperlink>
    </w:p>
    <w:p w14:paraId="653AC706" w14:textId="77777777" w:rsidR="001B349A" w:rsidRPr="001B349A" w:rsidRDefault="001B349A" w:rsidP="00D76CE6">
      <w:pPr>
        <w:ind w:left="720" w:hanging="720"/>
        <w:jc w:val="both"/>
        <w:rPr>
          <w:i/>
          <w:iCs/>
        </w:rPr>
      </w:pPr>
      <w:r w:rsidRPr="001B349A">
        <w:t xml:space="preserve">Jdanov, D.A. and Shkolnikov, V.M. (2017) About mortality data for Russia. Human Mortality Database: Background and Documentation. </w:t>
      </w:r>
      <w:r w:rsidRPr="001B349A">
        <w:rPr>
          <w:i/>
          <w:iCs/>
        </w:rPr>
        <w:t xml:space="preserve">University of California, Berkeley and Max Planck Institute for Demographic Research, available at: </w:t>
      </w:r>
      <w:hyperlink r:id="rId24" w:history="1">
        <w:r w:rsidRPr="001B349A">
          <w:rPr>
            <w:rStyle w:val="Hyperlink"/>
            <w:i/>
            <w:iCs/>
          </w:rPr>
          <w:t>http://www.mortality.org/</w:t>
        </w:r>
      </w:hyperlink>
    </w:p>
    <w:p w14:paraId="2C9D5E68" w14:textId="2B0337FD" w:rsidR="0092417F" w:rsidRPr="0092417F" w:rsidRDefault="0092417F" w:rsidP="0092417F">
      <w:pPr>
        <w:ind w:left="720" w:hanging="720"/>
        <w:jc w:val="both"/>
        <w:rPr>
          <w:i/>
          <w:iCs/>
        </w:rPr>
      </w:pPr>
      <w:r>
        <w:t>Philipov</w:t>
      </w:r>
      <w:r w:rsidRPr="0092417F">
        <w:t xml:space="preserve">, D and Jasilionis, D (2017) About mortality data for </w:t>
      </w:r>
      <w:r>
        <w:t>Bulgaria</w:t>
      </w:r>
      <w:r w:rsidRPr="0092417F">
        <w:t xml:space="preserve">. Human Mortality Database: Background and Documentation. </w:t>
      </w:r>
      <w:r w:rsidRPr="0092417F">
        <w:rPr>
          <w:i/>
          <w:iCs/>
        </w:rPr>
        <w:t xml:space="preserve">University of California, Berkeley and Max Planck Institute for Demographic Research, available at: </w:t>
      </w:r>
      <w:hyperlink r:id="rId25" w:history="1">
        <w:r w:rsidRPr="0092417F">
          <w:rPr>
            <w:rStyle w:val="Hyperlink"/>
            <w:i/>
            <w:iCs/>
          </w:rPr>
          <w:t>http://www.mortality.org/</w:t>
        </w:r>
      </w:hyperlink>
    </w:p>
    <w:p w14:paraId="1AF2210D" w14:textId="61018CDF" w:rsidR="001B349A" w:rsidRPr="001B349A" w:rsidRDefault="001B349A" w:rsidP="00D76CE6">
      <w:pPr>
        <w:ind w:left="720" w:hanging="720"/>
        <w:jc w:val="both"/>
      </w:pPr>
      <w:r w:rsidRPr="001B349A">
        <w:t>Pyrozhkov, S., Foygt, N., &amp; Jdanov, D. (2017). About mortality data for Ukraine. The Human Mortality Database: Background and documentation.</w:t>
      </w:r>
      <w:r w:rsidRPr="001B349A">
        <w:rPr>
          <w:i/>
          <w:iCs/>
        </w:rPr>
        <w:t xml:space="preserve"> University of California, Berkeley and Max Planck Institute for Demographic Research, available at: </w:t>
      </w:r>
      <w:hyperlink r:id="rId26" w:history="1">
        <w:r w:rsidRPr="001B349A">
          <w:rPr>
            <w:rStyle w:val="Hyperlink"/>
            <w:i/>
            <w:iCs/>
          </w:rPr>
          <w:t>http://www.mortality.org/</w:t>
        </w:r>
      </w:hyperlink>
      <w:r w:rsidRPr="001B349A">
        <w:t>.</w:t>
      </w:r>
    </w:p>
    <w:p w14:paraId="601219A7" w14:textId="13AB5B68" w:rsidR="001B349A" w:rsidRDefault="001B349A" w:rsidP="0053754D">
      <w:pPr>
        <w:jc w:val="both"/>
        <w:rPr>
          <w:b/>
        </w:rPr>
      </w:pPr>
    </w:p>
    <w:p w14:paraId="0533B07E" w14:textId="77777777" w:rsidR="001B349A" w:rsidRDefault="001B349A" w:rsidP="0053754D">
      <w:pPr>
        <w:jc w:val="both"/>
        <w:rPr>
          <w:b/>
        </w:rPr>
      </w:pPr>
    </w:p>
    <w:p w14:paraId="627B3465" w14:textId="77777777" w:rsidR="001B349A" w:rsidRDefault="001B349A" w:rsidP="0053754D">
      <w:pPr>
        <w:jc w:val="both"/>
        <w:rPr>
          <w:b/>
        </w:rPr>
      </w:pPr>
    </w:p>
    <w:p w14:paraId="4A6B7C3B" w14:textId="358D5A57" w:rsidR="002010C1" w:rsidRDefault="002010C1" w:rsidP="0053754D">
      <w:pPr>
        <w:jc w:val="both"/>
        <w:rPr>
          <w:b/>
        </w:rPr>
      </w:pPr>
      <w:r w:rsidRPr="002010C1">
        <w:rPr>
          <w:b/>
        </w:rPr>
        <w:cr/>
        <w:t>In the Limitations section, the author discusses several approaches to the measurement of alcohol mortality effects. This limitation could be avoided if authors gave less importance to the alcohol as the main (and only) factor for past and recent mortality changes in Central and Eastern Europe.</w:t>
      </w:r>
    </w:p>
    <w:p w14:paraId="0ACF9A05" w14:textId="60C7648E" w:rsidR="00931BDE" w:rsidRDefault="00931BDE" w:rsidP="0053754D">
      <w:pPr>
        <w:jc w:val="both"/>
        <w:rPr>
          <w:b/>
        </w:rPr>
      </w:pPr>
    </w:p>
    <w:p w14:paraId="78960CF3" w14:textId="5F036A90" w:rsidR="00681D8C" w:rsidRDefault="00931BDE" w:rsidP="0053754D">
      <w:pPr>
        <w:jc w:val="both"/>
      </w:pPr>
      <w:r w:rsidRPr="00931BDE">
        <w:t>We thank the reviewer for her/his suggestion</w:t>
      </w:r>
      <w:r>
        <w:t>. Although we believe that categorizing alcohol-related mortality has several limitations, explained in the manuscript, we did changes to the manuscript to explicitly add other explanations to past and recent mortality changes in Central and Eastern Europe. The changes were as follows:</w:t>
      </w:r>
    </w:p>
    <w:p w14:paraId="211BF553" w14:textId="3E13652C" w:rsidR="00931BDE" w:rsidRDefault="00931BDE" w:rsidP="0053754D">
      <w:pPr>
        <w:jc w:val="both"/>
      </w:pPr>
    </w:p>
    <w:p w14:paraId="091D0EE5" w14:textId="574C8766" w:rsidR="00931BDE" w:rsidRDefault="00931BDE" w:rsidP="0053754D">
      <w:pPr>
        <w:jc w:val="both"/>
        <w:rPr>
          <w:i/>
          <w:color w:val="000000"/>
        </w:rPr>
      </w:pPr>
      <w:r>
        <w:t xml:space="preserve">Abstract. We change </w:t>
      </w:r>
      <w:r w:rsidRPr="00931BDE">
        <w:rPr>
          <w:i/>
        </w:rPr>
        <w:t>“</w:t>
      </w:r>
      <w:r w:rsidRPr="00931BDE">
        <w:rPr>
          <w:i/>
          <w:color w:val="000000"/>
        </w:rPr>
        <w:t>Fluctuations in mortality were, to a large extent, directly or partially attributable to changes in alcohol consumption.”</w:t>
      </w:r>
      <w:r>
        <w:rPr>
          <w:color w:val="000000"/>
        </w:rPr>
        <w:t xml:space="preserve"> by </w:t>
      </w:r>
      <w:r w:rsidRPr="00931BDE">
        <w:rPr>
          <w:i/>
          <w:color w:val="000000"/>
        </w:rPr>
        <w:t>“Fluctuations in mortality were, to a large extent, directly or partially attributable to changes in deaths related to alcohol consumption, among other factors.”</w:t>
      </w:r>
    </w:p>
    <w:p w14:paraId="2DF32B46" w14:textId="0667F809" w:rsidR="00931BDE" w:rsidRDefault="00931BDE" w:rsidP="0053754D">
      <w:pPr>
        <w:jc w:val="both"/>
        <w:rPr>
          <w:i/>
          <w:color w:val="000000"/>
        </w:rPr>
      </w:pPr>
    </w:p>
    <w:p w14:paraId="556D3127" w14:textId="6CBEEC42" w:rsidR="007936C9" w:rsidRDefault="00931BDE" w:rsidP="00C86997">
      <w:pPr>
        <w:jc w:val="both"/>
        <w:rPr>
          <w:color w:val="000000"/>
        </w:rPr>
      </w:pPr>
      <w:r w:rsidRPr="00931BDE">
        <w:rPr>
          <w:color w:val="000000"/>
        </w:rPr>
        <w:t>Cause-of-death subsection in discussion:</w:t>
      </w:r>
      <w:r>
        <w:rPr>
          <w:i/>
          <w:color w:val="000000"/>
        </w:rPr>
        <w:t xml:space="preserve"> </w:t>
      </w:r>
    </w:p>
    <w:p w14:paraId="1B30F0DA" w14:textId="68A6AA48" w:rsidR="00C86997" w:rsidRDefault="00C86997" w:rsidP="00C86997">
      <w:pPr>
        <w:jc w:val="both"/>
        <w:rPr>
          <w:i/>
        </w:rPr>
      </w:pPr>
      <w:r>
        <w:rPr>
          <w:i/>
        </w:rPr>
        <w:t>“</w:t>
      </w:r>
      <w:r w:rsidRPr="00C86997">
        <w:rPr>
          <w:i/>
        </w:rPr>
        <w:t>Fluctuating alcohol-related mortality was an important component of the moving life disparity trends in</w:t>
      </w:r>
      <w:r>
        <w:rPr>
          <w:i/>
        </w:rPr>
        <w:t xml:space="preserve"> </w:t>
      </w:r>
      <w:r w:rsidRPr="00C86997">
        <w:rPr>
          <w:i/>
        </w:rPr>
        <w:t>the countries of the former Soviet Un</w:t>
      </w:r>
      <w:r>
        <w:rPr>
          <w:i/>
        </w:rPr>
        <w:t>ion, although it occurred to diff</w:t>
      </w:r>
      <w:r w:rsidRPr="00C86997">
        <w:rPr>
          <w:i/>
        </w:rPr>
        <w:t>erent degrees</w:t>
      </w:r>
      <w:r>
        <w:rPr>
          <w:i/>
        </w:rPr>
        <w:t xml:space="preserve"> in each region, and manifested itself in diff</w:t>
      </w:r>
      <w:r w:rsidRPr="00C86997">
        <w:rPr>
          <w:i/>
        </w:rPr>
        <w:t xml:space="preserve">erent causes. Over young ages, a large role was found for </w:t>
      </w:r>
      <w:r>
        <w:rPr>
          <w:i/>
        </w:rPr>
        <w:t xml:space="preserve">the reduction of external cause </w:t>
      </w:r>
      <w:r w:rsidRPr="00C86997">
        <w:rPr>
          <w:i/>
        </w:rPr>
        <w:t>mortalit</w:t>
      </w:r>
      <w:r>
        <w:rPr>
          <w:i/>
        </w:rPr>
        <w:t>y including traffi</w:t>
      </w:r>
      <w:r w:rsidRPr="00C86997">
        <w:rPr>
          <w:i/>
        </w:rPr>
        <w:t>c accidents in the Baltic countries throughout the</w:t>
      </w:r>
      <w:r>
        <w:rPr>
          <w:i/>
        </w:rPr>
        <w:t xml:space="preserve"> period, and in Russia, Belarus </w:t>
      </w:r>
      <w:r w:rsidRPr="00C86997">
        <w:rPr>
          <w:i/>
        </w:rPr>
        <w:t>and Ukraine from 2000 onwards. Since these causes often co-moved with mor</w:t>
      </w:r>
      <w:r>
        <w:rPr>
          <w:i/>
        </w:rPr>
        <w:t xml:space="preserve">tality directly attributable to </w:t>
      </w:r>
      <w:r w:rsidRPr="00C86997">
        <w:rPr>
          <w:i/>
        </w:rPr>
        <w:t>alcohol over these ages it is suggestive that healthier patterns of alcohol c</w:t>
      </w:r>
      <w:r>
        <w:rPr>
          <w:i/>
        </w:rPr>
        <w:t xml:space="preserve">onsumption were contributing to </w:t>
      </w:r>
      <w:r w:rsidRPr="00C86997">
        <w:rPr>
          <w:i/>
        </w:rPr>
        <w:t>these reductions in life disparity. At</w:t>
      </w:r>
      <w:r>
        <w:rPr>
          <w:i/>
        </w:rPr>
        <w:t xml:space="preserve"> older ages, between-country diff</w:t>
      </w:r>
      <w:r w:rsidRPr="00C86997">
        <w:rPr>
          <w:i/>
        </w:rPr>
        <w:t>erence</w:t>
      </w:r>
      <w:r>
        <w:rPr>
          <w:i/>
        </w:rPr>
        <w:t xml:space="preserve">s in mortality reduction seemed </w:t>
      </w:r>
      <w:r w:rsidRPr="00C86997">
        <w:rPr>
          <w:i/>
        </w:rPr>
        <w:t>to be driven by the extent of mortality reduction from circulatory diseases. In addition, al</w:t>
      </w:r>
      <w:r>
        <w:rPr>
          <w:i/>
        </w:rPr>
        <w:t xml:space="preserve">cohol </w:t>
      </w:r>
      <w:r w:rsidRPr="00C86997">
        <w:rPr>
          <w:i/>
        </w:rPr>
        <w:t>consumption</w:t>
      </w:r>
      <w:r>
        <w:rPr>
          <w:i/>
        </w:rPr>
        <w:t xml:space="preserve"> </w:t>
      </w:r>
      <w:r w:rsidRPr="00C86997">
        <w:rPr>
          <w:i/>
        </w:rPr>
        <w:t xml:space="preserve">is not the only factor that explains mortality trajectories in the region, or </w:t>
      </w:r>
      <w:r>
        <w:rPr>
          <w:i/>
        </w:rPr>
        <w:t xml:space="preserve">the sole </w:t>
      </w:r>
      <w:r w:rsidRPr="00C86997">
        <w:rPr>
          <w:i/>
        </w:rPr>
        <w:lastRenderedPageBreak/>
        <w:t xml:space="preserve">explanation for </w:t>
      </w:r>
      <w:r>
        <w:rPr>
          <w:i/>
        </w:rPr>
        <w:t xml:space="preserve">difference </w:t>
      </w:r>
      <w:r w:rsidRPr="00C86997">
        <w:rPr>
          <w:i/>
        </w:rPr>
        <w:t>between life expectancy and lifespa</w:t>
      </w:r>
      <w:r>
        <w:rPr>
          <w:i/>
        </w:rPr>
        <w:t xml:space="preserve">n variation levels with western </w:t>
      </w:r>
      <w:r w:rsidRPr="00C86997">
        <w:rPr>
          <w:i/>
        </w:rPr>
        <w:t>European</w:t>
      </w:r>
      <w:r>
        <w:rPr>
          <w:i/>
        </w:rPr>
        <w:t xml:space="preserve"> countries. Other factors, such </w:t>
      </w:r>
      <w:r w:rsidRPr="00C86997">
        <w:rPr>
          <w:i/>
        </w:rPr>
        <w:t>as environmental p</w:t>
      </w:r>
      <w:r>
        <w:rPr>
          <w:i/>
        </w:rPr>
        <w:t xml:space="preserve">ollution, medical care, smoking </w:t>
      </w:r>
      <w:r w:rsidRPr="00C86997">
        <w:rPr>
          <w:i/>
        </w:rPr>
        <w:t xml:space="preserve">behaviors and diet have been </w:t>
      </w:r>
      <w:r>
        <w:rPr>
          <w:i/>
        </w:rPr>
        <w:t xml:space="preserve">important determinants of </w:t>
      </w:r>
      <w:r w:rsidRPr="00C86997">
        <w:rPr>
          <w:i/>
        </w:rPr>
        <w:t xml:space="preserve">health outcomes in this region since at least 1970 (Bobak and Marmot 1996). </w:t>
      </w:r>
      <w:r>
        <w:rPr>
          <w:i/>
        </w:rPr>
        <w:t xml:space="preserve">Indeed, the strong declines in circulatory disease </w:t>
      </w:r>
      <w:r w:rsidRPr="00C86997">
        <w:rPr>
          <w:i/>
        </w:rPr>
        <w:t>mortality in the Baltic countries (Jasilionis et al. 2011</w:t>
      </w:r>
      <w:r>
        <w:rPr>
          <w:i/>
        </w:rPr>
        <w:t xml:space="preserve">), and more recently Russia </w:t>
      </w:r>
      <w:r w:rsidRPr="00C86997">
        <w:rPr>
          <w:i/>
        </w:rPr>
        <w:t xml:space="preserve">(Grigoriev et al. 2014) have been seen as hopeful signs that these countries </w:t>
      </w:r>
      <w:r>
        <w:rPr>
          <w:i/>
        </w:rPr>
        <w:t xml:space="preserve">are finally on a path toward the </w:t>
      </w:r>
      <w:r w:rsidRPr="00C86997">
        <w:rPr>
          <w:i/>
        </w:rPr>
        <w:t xml:space="preserve">lower levels of cardiovascular mortality that </w:t>
      </w:r>
      <w:r>
        <w:rPr>
          <w:i/>
        </w:rPr>
        <w:t xml:space="preserve">have been achieved in the west. </w:t>
      </w:r>
    </w:p>
    <w:p w14:paraId="4A33A9A6" w14:textId="77777777" w:rsidR="00C86997" w:rsidRDefault="00C86997" w:rsidP="00C86997">
      <w:pPr>
        <w:jc w:val="both"/>
        <w:rPr>
          <w:i/>
        </w:rPr>
      </w:pPr>
    </w:p>
    <w:p w14:paraId="737A843A" w14:textId="14EB6C72" w:rsidR="00C86997" w:rsidRPr="00C86997" w:rsidRDefault="00C86997" w:rsidP="00C86997">
      <w:pPr>
        <w:jc w:val="both"/>
        <w:rPr>
          <w:i/>
        </w:rPr>
      </w:pPr>
      <w:r w:rsidRPr="00C86997">
        <w:rPr>
          <w:i/>
        </w:rPr>
        <w:t xml:space="preserve">In contrast to the Baltic and other FSU countries, the smoother trends in </w:t>
      </w:r>
      <w:r>
        <w:rPr>
          <w:i/>
        </w:rPr>
        <w:t xml:space="preserve">life disparity found in Central </w:t>
      </w:r>
      <w:r w:rsidRPr="00C86997">
        <w:rPr>
          <w:i/>
        </w:rPr>
        <w:t>Europe were driven by sustained declines in circulatory disease an</w:t>
      </w:r>
      <w:r>
        <w:rPr>
          <w:i/>
        </w:rPr>
        <w:t xml:space="preserve">d cancers, with external causes playing a </w:t>
      </w:r>
      <w:r w:rsidRPr="00C86997">
        <w:rPr>
          <w:i/>
        </w:rPr>
        <w:t>much smaller role, and no change in mortality directly attributable to alcohol</w:t>
      </w:r>
      <w:r>
        <w:rPr>
          <w:i/>
        </w:rPr>
        <w:t xml:space="preserve">. This is consistent with others </w:t>
      </w:r>
      <w:r w:rsidRPr="00C86997">
        <w:rPr>
          <w:i/>
        </w:rPr>
        <w:t>who have argued that the steady post-19</w:t>
      </w:r>
      <w:r>
        <w:rPr>
          <w:i/>
        </w:rPr>
        <w:t xml:space="preserve">90 improvements in mortality in </w:t>
      </w:r>
      <w:r w:rsidRPr="00C86997">
        <w:rPr>
          <w:i/>
        </w:rPr>
        <w:t>th</w:t>
      </w:r>
      <w:r>
        <w:rPr>
          <w:i/>
        </w:rPr>
        <w:t xml:space="preserve">e region were attributable to a </w:t>
      </w:r>
      <w:r w:rsidRPr="00C86997">
        <w:rPr>
          <w:i/>
        </w:rPr>
        <w:t>combination of improvements in medicine, a reorg</w:t>
      </w:r>
      <w:r>
        <w:rPr>
          <w:i/>
        </w:rPr>
        <w:t xml:space="preserve">anization of </w:t>
      </w:r>
      <w:r w:rsidRPr="00C86997">
        <w:rPr>
          <w:i/>
        </w:rPr>
        <w:t>the health care system, and general shifts</w:t>
      </w:r>
      <w:r>
        <w:rPr>
          <w:i/>
        </w:rPr>
        <w:t xml:space="preserve"> toward </w:t>
      </w:r>
      <w:r w:rsidRPr="00C86997">
        <w:rPr>
          <w:i/>
        </w:rPr>
        <w:t>healthier beh</w:t>
      </w:r>
      <w:r>
        <w:rPr>
          <w:i/>
        </w:rPr>
        <w:t xml:space="preserve">avior including improving diets </w:t>
      </w:r>
      <w:r w:rsidRPr="00C86997">
        <w:rPr>
          <w:i/>
        </w:rPr>
        <w:t xml:space="preserve">and reductions in smoking (Pajak and Kozela 2011, </w:t>
      </w:r>
      <w:r>
        <w:rPr>
          <w:i/>
        </w:rPr>
        <w:t xml:space="preserve">Zatonski </w:t>
      </w:r>
      <w:r w:rsidRPr="00C86997">
        <w:rPr>
          <w:i/>
        </w:rPr>
        <w:t xml:space="preserve">et al. 1998, </w:t>
      </w:r>
      <w:r>
        <w:rPr>
          <w:i/>
        </w:rPr>
        <w:t xml:space="preserve">Fihel and </w:t>
      </w:r>
      <w:r w:rsidRPr="00C86997">
        <w:rPr>
          <w:i/>
        </w:rPr>
        <w:t xml:space="preserve">Pechholdov_a 2017, </w:t>
      </w:r>
      <w:r w:rsidR="00C9481C">
        <w:rPr>
          <w:i/>
        </w:rPr>
        <w:t>Cifkov</w:t>
      </w:r>
      <w:r w:rsidRPr="00C86997">
        <w:rPr>
          <w:i/>
        </w:rPr>
        <w:t xml:space="preserve">a et al. 2010, Cooper et al. 1984, Rychtarikova 2004, </w:t>
      </w:r>
      <w:r>
        <w:rPr>
          <w:i/>
        </w:rPr>
        <w:t xml:space="preserve">Nolte </w:t>
      </w:r>
      <w:r w:rsidRPr="00C86997">
        <w:rPr>
          <w:i/>
        </w:rPr>
        <w:t>et al. 2000a;b).</w:t>
      </w:r>
      <w:r>
        <w:rPr>
          <w:i/>
        </w:rPr>
        <w:t>”</w:t>
      </w:r>
    </w:p>
    <w:p w14:paraId="3B837473" w14:textId="2D5DE23D" w:rsidR="00494FFF" w:rsidRDefault="00494FFF" w:rsidP="00C86997">
      <w:pPr>
        <w:jc w:val="both"/>
        <w:rPr>
          <w:i/>
          <w:color w:val="000000"/>
        </w:rPr>
      </w:pPr>
    </w:p>
    <w:p w14:paraId="05BCFDA1" w14:textId="325F8E49" w:rsidR="00494FFF" w:rsidRDefault="00494FFF" w:rsidP="0053754D">
      <w:pPr>
        <w:jc w:val="both"/>
        <w:rPr>
          <w:color w:val="000000"/>
        </w:rPr>
      </w:pPr>
      <w:r w:rsidRPr="00262D78">
        <w:rPr>
          <w:color w:val="000000"/>
        </w:rPr>
        <w:t>Discussion.</w:t>
      </w:r>
      <w:r>
        <w:rPr>
          <w:color w:val="000000"/>
        </w:rPr>
        <w:t xml:space="preserve"> In order to downplay the examination exclusively of alcohol-attributable mortality, we replaced the sentences: “we used high quality comparably reconstructed cause of death data to </w:t>
      </w:r>
      <w:r w:rsidRPr="00D76CE6">
        <w:rPr>
          <w:color w:val="000000"/>
        </w:rPr>
        <w:t>analyze</w:t>
      </w:r>
      <w:r>
        <w:rPr>
          <w:color w:val="000000"/>
        </w:rPr>
        <w:t xml:space="preserve"> the role of alcohol-related mortality on changing lifespan variation based on a reflective classification” with:</w:t>
      </w:r>
    </w:p>
    <w:p w14:paraId="16E244CA" w14:textId="49DFE859" w:rsidR="00494FFF" w:rsidRPr="00262D78" w:rsidRDefault="00494FFF" w:rsidP="0053754D">
      <w:pPr>
        <w:jc w:val="both"/>
        <w:rPr>
          <w:color w:val="000000"/>
        </w:rPr>
      </w:pPr>
      <w:r>
        <w:rPr>
          <w:color w:val="000000"/>
        </w:rPr>
        <w:t>“</w:t>
      </w:r>
      <w:r>
        <w:t>we looked into the causes of death that were responsible for the major changes in lifespan variation in the region.”</w:t>
      </w:r>
    </w:p>
    <w:p w14:paraId="5E0A1678" w14:textId="268FAED8" w:rsidR="007936C9" w:rsidRDefault="007936C9" w:rsidP="0053754D">
      <w:pPr>
        <w:jc w:val="both"/>
        <w:rPr>
          <w:i/>
          <w:color w:val="000000"/>
        </w:rPr>
      </w:pPr>
    </w:p>
    <w:p w14:paraId="713356B4" w14:textId="77777777" w:rsidR="007936C9" w:rsidRDefault="007936C9" w:rsidP="0053754D">
      <w:pPr>
        <w:jc w:val="both"/>
        <w:rPr>
          <w:color w:val="000000"/>
        </w:rPr>
      </w:pPr>
    </w:p>
    <w:p w14:paraId="37DD71AF" w14:textId="6A370F70"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37B9B287" w14:textId="77777777" w:rsidR="00FE3BE5" w:rsidRPr="00933E94" w:rsidRDefault="00FE3BE5" w:rsidP="00FE3BE5">
      <w:pPr>
        <w:jc w:val="both"/>
        <w:rPr>
          <w:color w:val="000000"/>
        </w:rPr>
      </w:pPr>
    </w:p>
    <w:p w14:paraId="6A02B2D1" w14:textId="77777777" w:rsidR="00FE3BE5" w:rsidRPr="00933E94" w:rsidRDefault="00FE3BE5" w:rsidP="00FE3BE5">
      <w:pPr>
        <w:jc w:val="both"/>
        <w:rPr>
          <w:color w:val="000000"/>
        </w:rPr>
      </w:pPr>
      <w:r w:rsidRPr="00933E94">
        <w:rPr>
          <w:color w:val="000000"/>
        </w:rPr>
        <w:t>Bobak, M., &amp; Marmot, M. (1996). East-West mortality divide and its potential explanations: proposed research agenda. BMJ: British Medical Journal, 312(7028), 421.</w:t>
      </w:r>
    </w:p>
    <w:p w14:paraId="65123A1F" w14:textId="016B6566" w:rsidR="006254AA" w:rsidRDefault="006254AA" w:rsidP="0053754D">
      <w:pPr>
        <w:jc w:val="both"/>
        <w:rPr>
          <w:color w:val="000000"/>
        </w:rPr>
      </w:pPr>
    </w:p>
    <w:p w14:paraId="2997416A" w14:textId="77777777" w:rsidR="00FE3BE5" w:rsidRPr="00D76CE6" w:rsidRDefault="00FE3BE5" w:rsidP="00FE3BE5">
      <w:pPr>
        <w:jc w:val="both"/>
      </w:pPr>
      <w:r w:rsidRPr="00D76CE6">
        <w:t>Cífková, Renata, et al. "Longitudinal trends in major cardiovascular risk factors in the Czech population between 1985 and 2007/8. Czech MONICA and Czech post-MONICA." Atherosclerosis 211.2 (2010): 676-681.</w:t>
      </w:r>
    </w:p>
    <w:p w14:paraId="2AB542CC" w14:textId="77777777" w:rsidR="00FE3BE5" w:rsidRPr="00D934AB" w:rsidRDefault="00FE3BE5" w:rsidP="00FE3BE5">
      <w:pPr>
        <w:jc w:val="both"/>
      </w:pPr>
    </w:p>
    <w:p w14:paraId="06D043EF" w14:textId="77777777" w:rsidR="00FE3BE5" w:rsidRDefault="00FE3BE5" w:rsidP="00FE3BE5">
      <w:pPr>
        <w:jc w:val="both"/>
      </w:pPr>
      <w:r w:rsidRPr="00D934AB">
        <w:t>Cooper, R., Schatzkin, A., &amp; Sempos, C. (1984). Rising death rates among Polish men. International Journal of Health Services, 14(2), 289-302.</w:t>
      </w:r>
    </w:p>
    <w:p w14:paraId="7ECAE7A9" w14:textId="77777777" w:rsidR="00FE3BE5" w:rsidRDefault="00FE3BE5" w:rsidP="00FE3BE5">
      <w:pPr>
        <w:jc w:val="both"/>
      </w:pPr>
    </w:p>
    <w:p w14:paraId="4926354E" w14:textId="77777777" w:rsidR="00FE3BE5" w:rsidRPr="00D934AB" w:rsidRDefault="00FE3BE5" w:rsidP="00FE3BE5">
      <w:pPr>
        <w:jc w:val="both"/>
      </w:pPr>
      <w:r w:rsidRPr="00D934AB">
        <w:t>Nolte, Ellen, Vladimir Shkolnikov, and Martin McKee. "Changing mortality patterns in East and West Germany and Poland. I: Long term trends (1960–1997)." Journal of Epidemiology &amp; Community Health 54.12 (2000a): 890-898.</w:t>
      </w:r>
    </w:p>
    <w:p w14:paraId="59D7D55D" w14:textId="77777777" w:rsidR="00FE3BE5" w:rsidRPr="00D934AB" w:rsidRDefault="00FE3BE5" w:rsidP="00FE3BE5">
      <w:pPr>
        <w:jc w:val="both"/>
      </w:pPr>
    </w:p>
    <w:p w14:paraId="48213D6E" w14:textId="77777777" w:rsidR="00FE3BE5" w:rsidRDefault="00FE3BE5" w:rsidP="00FE3BE5">
      <w:pPr>
        <w:jc w:val="both"/>
      </w:pPr>
      <w:r w:rsidRPr="00D934AB">
        <w:lastRenderedPageBreak/>
        <w:t>Nolte, Ellen, Vladimir Shkolnikov, and Martin McKee. "Changing mortality patterns in East and West Germany and Poland. II: Short-term trends during transition and in the 1990s." Journal of Epidemiology &amp; Community Health 54.12 (2000b): 899-906.</w:t>
      </w:r>
    </w:p>
    <w:p w14:paraId="3E3E8D56" w14:textId="77777777" w:rsidR="00FE3BE5" w:rsidRDefault="00FE3BE5" w:rsidP="00FE3BE5">
      <w:pPr>
        <w:jc w:val="both"/>
      </w:pPr>
    </w:p>
    <w:p w14:paraId="00C0F70F" w14:textId="77777777" w:rsidR="00FE3BE5" w:rsidRDefault="00FE3BE5" w:rsidP="00FE3BE5">
      <w:pPr>
        <w:jc w:val="both"/>
      </w:pPr>
      <w:r w:rsidRPr="006C3BE9">
        <w:t>Pająk, A., &amp; Kozela, M. (2011). Cardiovascular disease in Central and East Europe. Public Health Reviews, 33(2), 416.</w:t>
      </w:r>
    </w:p>
    <w:p w14:paraId="05D2B3A0" w14:textId="77777777" w:rsidR="00FE3BE5" w:rsidRPr="00D934AB" w:rsidRDefault="00FE3BE5" w:rsidP="00FE3BE5">
      <w:pPr>
        <w:jc w:val="both"/>
      </w:pPr>
    </w:p>
    <w:p w14:paraId="7F41A4F0" w14:textId="77777777" w:rsidR="00FE3BE5" w:rsidRPr="00101B2C" w:rsidRDefault="00FE3BE5" w:rsidP="00FE3BE5">
      <w:pPr>
        <w:jc w:val="both"/>
      </w:pPr>
      <w:r w:rsidRPr="00101B2C">
        <w:t>Rychtarikova, J. (2004). The case of the Czech Republic: Determinants of the recent favourable turnover in mortality. Demographic Research, 2, 105-138.</w:t>
      </w:r>
    </w:p>
    <w:p w14:paraId="02619ED2" w14:textId="77777777" w:rsidR="00FE3BE5" w:rsidRDefault="00FE3BE5" w:rsidP="00FE3BE5">
      <w:pPr>
        <w:jc w:val="both"/>
      </w:pPr>
    </w:p>
    <w:p w14:paraId="76169369" w14:textId="77777777" w:rsidR="00FE3BE5" w:rsidRPr="007E13B7" w:rsidRDefault="00FE3BE5" w:rsidP="00FE3BE5">
      <w:pPr>
        <w:jc w:val="both"/>
      </w:pPr>
      <w:r w:rsidRPr="005943A1">
        <w:t>Zatonski, W. A., McMichael, A. J., &amp; Powles, J. W. (1998). Ecological study of reasons for sharp decline in mortality from ischaemic heart disease in Poland since 1991. Bmj, 316(7137), 1047.</w:t>
      </w:r>
    </w:p>
    <w:p w14:paraId="5B221B08" w14:textId="20D92176" w:rsidR="00FE3BE5" w:rsidRDefault="00FE3BE5" w:rsidP="00FE3BE5">
      <w:pPr>
        <w:jc w:val="both"/>
      </w:pPr>
    </w:p>
    <w:p w14:paraId="2094690C" w14:textId="682C3D9D" w:rsidR="00957D97" w:rsidRDefault="00957D97" w:rsidP="00957D97">
      <w:pPr>
        <w:rPr>
          <w:lang w:val="fr-FR"/>
        </w:rPr>
      </w:pPr>
      <w:r w:rsidRPr="00D76CE6">
        <w:rPr>
          <w:lang w:val="es-ES"/>
        </w:rPr>
        <w:t>Jasilionis, D.; Meslé, F.; Shkolnikov, V. M. &amp; Vallin, J. (2011).</w:t>
      </w:r>
      <w:r>
        <w:rPr>
          <w:lang w:val="es-ES"/>
        </w:rPr>
        <w:t xml:space="preserve">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0444A0F5" w14:textId="330391D2" w:rsidR="00957D97" w:rsidRDefault="00957D97" w:rsidP="00957D97">
      <w:pPr>
        <w:rPr>
          <w:lang w:val="fr-FR"/>
        </w:rPr>
      </w:pPr>
    </w:p>
    <w:p w14:paraId="2AFE0460" w14:textId="24DF8952" w:rsidR="00957D97" w:rsidRPr="00957D97" w:rsidRDefault="00957D97" w:rsidP="00957D97">
      <w:pPr>
        <w:rPr>
          <w:lang w:val="es-ES"/>
        </w:rPr>
      </w:pPr>
      <w:r w:rsidRPr="00957D97">
        <w:rPr>
          <w:lang w:val="es-ES"/>
        </w:rPr>
        <w:t>Grigoriev, P., Meslé, F., Shkolnikov, V. M., Andreev, E., Fihel, A., Pechholdova, M., &amp; Vallin, J. (2014). The recent mortality decline in Russia: Beginning of the cardiovascular revolution?. Population and Development review, 40(1), 107-129.</w:t>
      </w:r>
    </w:p>
    <w:p w14:paraId="44E56350" w14:textId="77777777" w:rsidR="00957D97" w:rsidRPr="00957D97" w:rsidRDefault="00957D97" w:rsidP="00FE3BE5">
      <w:pPr>
        <w:jc w:val="both"/>
        <w:rPr>
          <w:lang w:val="es-ES"/>
        </w:rPr>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4189D451" w:rsidR="00ED20E2" w:rsidRDefault="00ED20E2" w:rsidP="000352B2">
      <w:pPr>
        <w:jc w:val="both"/>
      </w:pPr>
      <w:r w:rsidRPr="000352B2">
        <w:t xml:space="preserve">In page </w:t>
      </w:r>
      <w:r w:rsidR="00A75D4E">
        <w:t>15</w:t>
      </w:r>
      <w:r w:rsidR="000352B2" w:rsidRPr="000352B2">
        <w:t xml:space="preserve">,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expectancy), but also by how disperse ages at death are (Edwards and Tuljapurkar 2005). 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w:t>
      </w:r>
      <w:r w:rsidR="00B575D7" w:rsidRPr="00225E5A">
        <w:rPr>
          <w:i/>
          <w:color w:val="000000"/>
        </w:rPr>
        <w:lastRenderedPageBreak/>
        <w:t>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4132E779" w:rsidR="005F6A12" w:rsidRPr="008B74CF" w:rsidRDefault="00E2428D" w:rsidP="008B7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w:t>
      </w:r>
      <w:r w:rsidR="005F6A12" w:rsidRPr="005506CB">
        <w:rPr>
          <w:i/>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sidRPr="005506CB">
        <w:rPr>
          <w:i/>
          <w:color w:val="000000"/>
        </w:rPr>
        <w:t xml:space="preserve"> (Zhang and Vaupel 2009, Gillespie et al. 2014)</w:t>
      </w:r>
      <w:r w:rsidR="005F6A12" w:rsidRPr="005506CB">
        <w:rPr>
          <w:i/>
          <w:color w:val="000000"/>
        </w:rPr>
        <w:t>. These properties indicate that life expectancy and lifespan variation have different sensitivities to mortality changes over the age-span</w:t>
      </w:r>
      <w:r w:rsidRPr="005506CB">
        <w:rPr>
          <w:i/>
          <w:color w:val="000000"/>
        </w:rPr>
        <w:t xml:space="preserve"> (van Raalte and Caswell 2013)</w:t>
      </w:r>
      <w:r w:rsidR="005F6A12" w:rsidRPr="005506CB">
        <w:rPr>
          <w:i/>
          <w:color w:val="000000"/>
        </w:rPr>
        <w:t>.</w:t>
      </w:r>
      <w:r w:rsidR="006C429B" w:rsidRPr="005506CB">
        <w:rPr>
          <w:i/>
          <w:color w:val="000000"/>
        </w:rPr>
        <w:t xml:space="preserve"> </w:t>
      </w:r>
      <w:r w:rsidR="005506CB" w:rsidRPr="005506CB">
        <w:rPr>
          <w:i/>
          <w:color w:val="000000"/>
        </w:rPr>
        <w:t xml:space="preserve">Thus, </w:t>
      </w:r>
      <w:r w:rsidR="006C429B" w:rsidRPr="005506CB">
        <w:rPr>
          <w:i/>
          <w:color w:val="000000"/>
        </w:rPr>
        <w:t xml:space="preserve">lifespan </w:t>
      </w:r>
      <w:r w:rsidR="005506CB" w:rsidRPr="005506CB">
        <w:rPr>
          <w:i/>
          <w:color w:val="000000"/>
        </w:rPr>
        <w:t>variation, when m</w:t>
      </w:r>
      <w:r w:rsidR="006C429B" w:rsidRPr="005506CB">
        <w:rPr>
          <w:i/>
          <w:color w:val="000000"/>
        </w:rPr>
        <w:t>easured across the entire age range, depends on two processes: premature and old-age mortality</w:t>
      </w:r>
      <w:r w:rsidR="005506CB" w:rsidRPr="005506CB">
        <w:rPr>
          <w:i/>
          <w:color w:val="000000"/>
        </w:rPr>
        <w:t>. M</w:t>
      </w:r>
      <w:r w:rsidR="006C429B" w:rsidRPr="005506CB">
        <w:rPr>
          <w:i/>
          <w:color w:val="000000"/>
        </w:rPr>
        <w:t>ortality compresses or expands</w:t>
      </w:r>
      <w:r w:rsidR="005506CB" w:rsidRPr="005506CB">
        <w:rPr>
          <w:i/>
          <w:color w:val="000000"/>
        </w:rPr>
        <w:t xml:space="preserve">, depending on the balance between </w:t>
      </w:r>
      <w:r w:rsidR="006C429B" w:rsidRPr="005506CB">
        <w:rPr>
          <w:i/>
          <w:color w:val="000000"/>
        </w:rPr>
        <w:t>these two processes</w:t>
      </w:r>
      <w:r w:rsidR="005506CB" w:rsidRPr="005506CB">
        <w:rPr>
          <w:i/>
          <w:color w:val="000000"/>
        </w:rPr>
        <w:t xml:space="preserve">. Our results for Central and Eastern Europe, which run counter the western narrative, are a product of </w:t>
      </w:r>
      <w:r w:rsidR="006C429B" w:rsidRPr="005506CB">
        <w:rPr>
          <w:i/>
          <w:color w:val="000000"/>
        </w:rPr>
        <w:t xml:space="preserve">different sensitivity of </w:t>
      </w:r>
      <w:r w:rsidR="005506CB" w:rsidRPr="005506CB">
        <w:rPr>
          <w:i/>
          <w:color w:val="000000"/>
        </w:rPr>
        <w:t xml:space="preserve">life expectancy and lifespan variation </w:t>
      </w:r>
      <w:r w:rsidR="006C429B" w:rsidRPr="005506CB">
        <w:rPr>
          <w:i/>
          <w:color w:val="000000"/>
        </w:rPr>
        <w:t>to mortality age-patterns.</w:t>
      </w:r>
      <w:r w:rsidR="006C429B" w:rsidRPr="006C429B">
        <w:rPr>
          <w:color w:val="000000"/>
        </w:rPr>
        <w:t xml:space="preserve"> </w:t>
      </w:r>
      <w:r>
        <w:rPr>
          <w:color w:val="000000"/>
        </w:rPr>
        <w:t>”</w:t>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Edwards, R. D., &amp; Tuljapurkar,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Tuljapurkar,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Gillespie, D. O., Trotter, M. V., &amp; Tuljapurkar,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br w:type="page"/>
      </w:r>
    </w:p>
    <w:p w14:paraId="17B807A3" w14:textId="7EC2858C" w:rsidR="007E573E" w:rsidRDefault="007E573E" w:rsidP="007E573E">
      <w:pPr>
        <w:jc w:val="both"/>
        <w:rPr>
          <w:b/>
        </w:rPr>
      </w:pPr>
      <w:r w:rsidRPr="00111E2D">
        <w:rPr>
          <w:b/>
        </w:rPr>
        <w:lastRenderedPageBreak/>
        <w:t>R</w:t>
      </w:r>
      <w:r>
        <w:rPr>
          <w:b/>
        </w:rPr>
        <w:t>eviewer 2</w:t>
      </w: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08F54290" w14:textId="3609F7A1"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r w:rsidR="00AD293F" w:rsidRPr="00E5567B">
        <w:rPr>
          <w:b/>
        </w:rPr>
        <w:t>fluctuating</w:t>
      </w:r>
      <w:r w:rsidRPr="00E5567B">
        <w:rPr>
          <w:b/>
        </w:rPr>
        <w:t xml:space="preserve"> over the time period. Life expectancy and life disparity moved independently from one another, particularly during periods of life expectancy stagnation." This is a fairly "plain" description of the results, missing some interesting patterns identifiable in the results.</w:t>
      </w:r>
    </w:p>
    <w:p w14:paraId="6403C49B" w14:textId="186CEC86"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b/>
        </w:rPr>
      </w:pPr>
    </w:p>
    <w:p w14:paraId="6A531AEB" w14:textId="0B33A7CD" w:rsidR="00E81404" w:rsidRPr="00807AB8" w:rsidRDefault="00E81404" w:rsidP="0053754D">
      <w:pPr>
        <w:jc w:val="both"/>
      </w:pPr>
      <w:r w:rsidRPr="0098710D">
        <w:t>O</w:t>
      </w:r>
      <w:r w:rsidR="00972F0B" w:rsidRPr="00807AB8">
        <w:t>ne major reason why lifespan inequality is rarely tracked is because of the high negative correlation with life expectancy. There is of course no reason why that needs to be the case, and we found it striking that for nearly 30 years the two measures moved in the same direction</w:t>
      </w:r>
      <w:r w:rsidR="008D31E8">
        <w:t xml:space="preserve"> (meaning toward a weakening of the longstanding negative correlation)</w:t>
      </w:r>
      <w:r w:rsidR="00972F0B" w:rsidRPr="00807AB8">
        <w:t xml:space="preserve"> more often than in </w:t>
      </w:r>
      <w:r w:rsidR="008D31E8">
        <w:t>opposite</w:t>
      </w:r>
      <w:r w:rsidR="00972F0B" w:rsidRPr="00807AB8">
        <w:t xml:space="preserve"> directions. To our knowledge this has never been shown empirically before, and we consider it a major </w:t>
      </w:r>
      <w:r w:rsidRPr="00807AB8">
        <w:t>finding from this analysis</w:t>
      </w:r>
      <w:r w:rsidR="00972F0B" w:rsidRPr="00807AB8">
        <w:t xml:space="preserve"> worthy of being highlighted. </w:t>
      </w:r>
      <w:r w:rsidRPr="00807AB8">
        <w:t>While it is true that</w:t>
      </w:r>
      <w:r w:rsidR="00972F0B" w:rsidRPr="00807AB8">
        <w:t xml:space="preserve"> the overall trends w</w:t>
      </w:r>
      <w:r w:rsidRPr="00807AB8">
        <w:t>ere</w:t>
      </w:r>
      <w:r w:rsidR="00972F0B" w:rsidRPr="00807AB8">
        <w:t xml:space="preserve"> flat, as you point out, the year-to-year differences</w:t>
      </w:r>
      <w:r w:rsidRPr="00807AB8">
        <w:t xml:space="preserve"> were up to 2% in e0 and up to 5% in e†, so not</w:t>
      </w:r>
      <w:r w:rsidR="00C13ABF" w:rsidRPr="00807AB8">
        <w:t xml:space="preserve"> always</w:t>
      </w:r>
      <w:r w:rsidRPr="00807AB8">
        <w:t xml:space="preserve"> inconsequential</w:t>
      </w:r>
      <w:r w:rsidR="00972F0B" w:rsidRPr="00807AB8">
        <w:t>.</w:t>
      </w:r>
      <w:r w:rsidRPr="00807AB8">
        <w:t xml:space="preserve"> </w:t>
      </w:r>
      <w:r w:rsidR="00C13ABF" w:rsidRPr="00807AB8">
        <w:t>Nevertheless, it’s an important point</w:t>
      </w:r>
      <w:r w:rsidRPr="00807AB8">
        <w:t xml:space="preserve"> that the two </w:t>
      </w:r>
      <w:r w:rsidR="008D31E8">
        <w:t>metrics</w:t>
      </w:r>
      <w:r w:rsidRPr="00807AB8">
        <w:t xml:space="preserve"> were </w:t>
      </w:r>
      <w:r w:rsidR="008D31E8">
        <w:t>more often changing in the direction expected from a negative correlation</w:t>
      </w:r>
      <w:r w:rsidRPr="00807AB8">
        <w:t xml:space="preserve"> after 1988</w:t>
      </w:r>
      <w:r w:rsidR="00C13ABF" w:rsidRPr="00807AB8">
        <w:t xml:space="preserve">, when yearly mortality change was </w:t>
      </w:r>
      <w:r w:rsidR="00FF304E" w:rsidRPr="00807AB8">
        <w:t xml:space="preserve">on average </w:t>
      </w:r>
      <w:r w:rsidR="00C13ABF" w:rsidRPr="00807AB8">
        <w:t>larger</w:t>
      </w:r>
      <w:r w:rsidRPr="00807AB8">
        <w:t xml:space="preserve">. </w:t>
      </w:r>
      <w:r w:rsidR="00C13ABF" w:rsidRPr="00807AB8">
        <w:t xml:space="preserve">So we have to be careful not to </w:t>
      </w:r>
      <w:r w:rsidRPr="00807AB8">
        <w:t xml:space="preserve">oversell the independence argument. </w:t>
      </w:r>
      <w:r w:rsidR="00C13ABF" w:rsidRPr="00807AB8">
        <w:t>As we see it, t</w:t>
      </w:r>
      <w:r w:rsidRPr="00807AB8">
        <w:t xml:space="preserve">he main difference from before and after 1988 was that in the earlier periods age-specific </w:t>
      </w:r>
      <w:r w:rsidR="008D31E8">
        <w:t>mortality itself</w:t>
      </w:r>
      <w:r w:rsidRPr="00807AB8">
        <w:t xml:space="preserve"> w</w:t>
      </w:r>
      <w:r w:rsidR="008D31E8">
        <w:t>as</w:t>
      </w:r>
      <w:r w:rsidRPr="00807AB8">
        <w:t xml:space="preserve"> moving in opposite directions</w:t>
      </w:r>
      <w:r w:rsidR="008D31E8">
        <w:t xml:space="preserve"> for different age groups</w:t>
      </w:r>
      <w:r w:rsidR="00C13ABF" w:rsidRPr="00807AB8">
        <w:t>.</w:t>
      </w:r>
      <w:r w:rsidRPr="00807AB8">
        <w:t xml:space="preserve"> </w:t>
      </w:r>
      <w:r w:rsidR="00C13ABF" w:rsidRPr="00807AB8">
        <w:t>A</w:t>
      </w:r>
      <w:r w:rsidRPr="00807AB8">
        <w:t>fterwards</w:t>
      </w:r>
      <w:r w:rsidR="00C13ABF" w:rsidRPr="00807AB8">
        <w:t>,</w:t>
      </w:r>
      <w:r w:rsidRPr="00807AB8">
        <w:t xml:space="preserve"> through </w:t>
      </w:r>
      <w:r w:rsidR="00C13ABF" w:rsidRPr="00807AB8">
        <w:t xml:space="preserve">both </w:t>
      </w:r>
      <w:r w:rsidRPr="00807AB8">
        <w:t>periods of crises and recovery, age-specific trends tended to move in the same direction</w:t>
      </w:r>
      <w:r w:rsidR="00C13ABF" w:rsidRPr="00807AB8">
        <w:t xml:space="preserve"> at all ages (with younger ages being the strongest drivers</w:t>
      </w:r>
      <w:r w:rsidR="008D31E8">
        <w:t xml:space="preserve"> of both mortality increase and decrease</w:t>
      </w:r>
      <w:r w:rsidR="00C13ABF" w:rsidRPr="00807AB8">
        <w:t>)</w:t>
      </w:r>
      <w:r w:rsidRPr="00807AB8">
        <w:t xml:space="preserve">, which explains why the e† and e0 relationship resumed being negatively correlated. </w:t>
      </w:r>
    </w:p>
    <w:p w14:paraId="0ED2AD88" w14:textId="77777777" w:rsidR="00E81404" w:rsidRPr="00807AB8" w:rsidRDefault="00E81404" w:rsidP="0053754D">
      <w:pPr>
        <w:jc w:val="both"/>
      </w:pPr>
    </w:p>
    <w:p w14:paraId="4357F4A0" w14:textId="6B307856" w:rsidR="00E81404" w:rsidRPr="00807AB8" w:rsidRDefault="00E81404" w:rsidP="0053754D">
      <w:pPr>
        <w:jc w:val="both"/>
      </w:pPr>
      <w:r w:rsidRPr="00807AB8">
        <w:t xml:space="preserve">To make the above clear, we reframed all of this within the context of typical ‘Western’ patterns versus </w:t>
      </w:r>
      <w:r w:rsidR="00C13ABF" w:rsidRPr="00807AB8">
        <w:t xml:space="preserve">the </w:t>
      </w:r>
      <w:r w:rsidR="009214E8" w:rsidRPr="00807AB8">
        <w:t>anomalous</w:t>
      </w:r>
      <w:r w:rsidRPr="00807AB8">
        <w:t xml:space="preserve"> </w:t>
      </w:r>
      <w:r w:rsidR="00C13ABF" w:rsidRPr="00807AB8">
        <w:t xml:space="preserve">Eastern age-specific </w:t>
      </w:r>
      <w:r w:rsidRPr="00807AB8">
        <w:t>mortality change</w:t>
      </w:r>
      <w:r w:rsidR="00C13ABF" w:rsidRPr="00807AB8">
        <w:t>, highlighting the different age-specific mortality trajectories</w:t>
      </w:r>
      <w:r w:rsidRPr="00807AB8">
        <w:t xml:space="preserve"> as you suggested above. </w:t>
      </w:r>
      <w:r w:rsidR="001B23C3" w:rsidRPr="00807AB8">
        <w:t>We made the following changes:</w:t>
      </w:r>
    </w:p>
    <w:p w14:paraId="4616FF1F" w14:textId="77777777" w:rsidR="001B23C3" w:rsidRPr="00807AB8" w:rsidRDefault="001B23C3" w:rsidP="0053754D">
      <w:pPr>
        <w:jc w:val="both"/>
      </w:pPr>
    </w:p>
    <w:p w14:paraId="729CDE98" w14:textId="77777777" w:rsidR="00E81404" w:rsidRPr="00807AB8" w:rsidRDefault="00E81404" w:rsidP="0053754D">
      <w:pPr>
        <w:jc w:val="both"/>
      </w:pPr>
    </w:p>
    <w:p w14:paraId="07145573" w14:textId="61532DF2" w:rsidR="00E81404" w:rsidRPr="00807AB8" w:rsidRDefault="00FE686E" w:rsidP="0053754D">
      <w:pPr>
        <w:jc w:val="both"/>
      </w:pPr>
      <w:r w:rsidRPr="00807AB8">
        <w:lastRenderedPageBreak/>
        <w:t>Changes to the Abstract:</w:t>
      </w:r>
    </w:p>
    <w:p w14:paraId="0184B8EE" w14:textId="75FF61AD" w:rsidR="00FE686E" w:rsidRPr="009214E8" w:rsidRDefault="00FE686E" w:rsidP="0053754D">
      <w:pPr>
        <w:jc w:val="both"/>
        <w:rPr>
          <w:i/>
        </w:rPr>
      </w:pPr>
      <w:r w:rsidRPr="00807AB8">
        <w:t>…</w:t>
      </w:r>
      <w:r w:rsidRPr="009214E8">
        <w:rPr>
          <w:i/>
        </w:rPr>
        <w:t xml:space="preserve">Generally life disparity was high and strongly fluctuating over the period. For nearly 30 of these years, life expectancy and life disparity moved independently from one another, largely because mortality trends ran in opposite directions over different ages. …Mortality patterns in CEE countries were heterogeneous and run counter to the common patterns observed in most developed countries. </w:t>
      </w:r>
    </w:p>
    <w:p w14:paraId="575C929C" w14:textId="77777777" w:rsidR="00FE686E" w:rsidRPr="00807AB8" w:rsidRDefault="00FE686E" w:rsidP="0053754D">
      <w:pPr>
        <w:jc w:val="both"/>
      </w:pPr>
    </w:p>
    <w:p w14:paraId="4F167FBE" w14:textId="1424EA4B" w:rsidR="00FE686E" w:rsidRPr="00807AB8" w:rsidRDefault="00FE686E" w:rsidP="0053754D">
      <w:pPr>
        <w:jc w:val="both"/>
      </w:pPr>
      <w:r w:rsidRPr="00807AB8">
        <w:t>Changes to the Discussion</w:t>
      </w:r>
    </w:p>
    <w:p w14:paraId="0B87928E" w14:textId="4706766D" w:rsidR="001B23C3" w:rsidRDefault="00A278D0" w:rsidP="001B23C3">
      <w:pPr>
        <w:jc w:val="both"/>
      </w:pPr>
      <w:r>
        <w:t xml:space="preserve">The second paragraph refers to the negative correlation </w:t>
      </w:r>
      <w:r w:rsidR="009B4E26">
        <w:t>found</w:t>
      </w:r>
      <w:r>
        <w:t xml:space="preserve"> in Western countries. In the third </w:t>
      </w:r>
      <w:r w:rsidR="009B4E26">
        <w:t>paragraph,</w:t>
      </w:r>
      <w:r>
        <w:t xml:space="preserve"> we reframe</w:t>
      </w:r>
      <w:r w:rsidR="009B4E26">
        <w:t>d</w:t>
      </w:r>
      <w:r>
        <w:t xml:space="preserve"> our results in perspective with the Western pattern:</w:t>
      </w:r>
    </w:p>
    <w:p w14:paraId="5DFA0724" w14:textId="77777777" w:rsidR="00180597" w:rsidRDefault="00180597" w:rsidP="001B23C3">
      <w:pPr>
        <w:jc w:val="both"/>
      </w:pPr>
    </w:p>
    <w:p w14:paraId="7F23F049" w14:textId="32A4CC9A" w:rsidR="009B4E26" w:rsidRDefault="009B4E26" w:rsidP="009B4E26">
      <w:pPr>
        <w:autoSpaceDE w:val="0"/>
        <w:autoSpaceDN w:val="0"/>
        <w:adjustRightInd w:val="0"/>
        <w:jc w:val="both"/>
        <w:rPr>
          <w:i/>
        </w:rPr>
      </w:pPr>
      <w:r w:rsidRPr="009B4E26">
        <w:rPr>
          <w:i/>
        </w:rPr>
        <w:t>“Central and Eastern European countries run counter to this narrative. Although they too experienced the sharp declines in infectious disease mortality up to the mid-twentieth Century, mortality at mid-life stalled or even increased for most of the last half of the twentieth Century (McKee and Shkolnikov 2001),with no appreciable declines in cardiovascular mortality until very recently (Caselli et al. 2002, Grigoriev et al. 2014, Mesl_e 2004, Timonin et al. 2017). As our results made clear, mortality change at different ages was far from even, with the result that changes in lifespan variation did not correspond in intensity or even direction with changes observed in life expectancy.”</w:t>
      </w:r>
    </w:p>
    <w:p w14:paraId="774A0596" w14:textId="5BFDC88E" w:rsidR="00180597" w:rsidRDefault="00180597" w:rsidP="009B4E26">
      <w:pPr>
        <w:autoSpaceDE w:val="0"/>
        <w:autoSpaceDN w:val="0"/>
        <w:adjustRightInd w:val="0"/>
        <w:jc w:val="both"/>
        <w:rPr>
          <w:i/>
        </w:rPr>
      </w:pPr>
    </w:p>
    <w:p w14:paraId="3203CAC6" w14:textId="31EEAC89" w:rsidR="00180597" w:rsidRDefault="00180597" w:rsidP="009B4E26">
      <w:pPr>
        <w:autoSpaceDE w:val="0"/>
        <w:autoSpaceDN w:val="0"/>
        <w:adjustRightInd w:val="0"/>
        <w:jc w:val="both"/>
      </w:pPr>
      <w:r w:rsidRPr="00180597">
        <w:t>In the Age-specific contributions section in the discussion</w:t>
      </w:r>
      <w:r>
        <w:t xml:space="preserve"> we added</w:t>
      </w:r>
      <w:r w:rsidRPr="00180597">
        <w:t>:</w:t>
      </w:r>
    </w:p>
    <w:p w14:paraId="2C5DD73E" w14:textId="52D214BD" w:rsidR="00180597" w:rsidRDefault="00180597" w:rsidP="009B4E26">
      <w:pPr>
        <w:autoSpaceDE w:val="0"/>
        <w:autoSpaceDN w:val="0"/>
        <w:adjustRightInd w:val="0"/>
        <w:jc w:val="both"/>
      </w:pPr>
    </w:p>
    <w:p w14:paraId="607276B7" w14:textId="21E3FFA2" w:rsidR="00180597" w:rsidRDefault="00180597" w:rsidP="009B4E26">
      <w:pPr>
        <w:autoSpaceDE w:val="0"/>
        <w:autoSpaceDN w:val="0"/>
        <w:adjustRightInd w:val="0"/>
        <w:jc w:val="both"/>
        <w:rPr>
          <w:i/>
          <w:color w:val="000000"/>
        </w:rPr>
      </w:pPr>
      <w:r>
        <w:rPr>
          <w:i/>
          <w:color w:val="000000"/>
        </w:rPr>
        <w:t xml:space="preserve">“… </w:t>
      </w:r>
      <w:r w:rsidRPr="00180597">
        <w:rPr>
          <w:i/>
          <w:color w:val="000000"/>
        </w:rPr>
        <w:t>Mortality compresses or expands, depending on the balance between these two processes. Our results for Central and Eastern Europe, which run counter the western narrative, are a product of different sensitivity of life expectancy and lifespan variation to mortality age-patterns.  Typically, trends in lifespan variation are thought to be driven by changes in the ``younger age'' component of lifespan variation, with variation from the ``older age'' mortality component holding steady</w:t>
      </w:r>
      <w:r>
        <w:rPr>
          <w:i/>
          <w:color w:val="000000"/>
        </w:rPr>
        <w:t>…”</w:t>
      </w:r>
    </w:p>
    <w:p w14:paraId="42D2B561" w14:textId="3A292564" w:rsidR="008E075C" w:rsidRDefault="008E075C" w:rsidP="009B4E26">
      <w:pPr>
        <w:autoSpaceDE w:val="0"/>
        <w:autoSpaceDN w:val="0"/>
        <w:adjustRightInd w:val="0"/>
        <w:jc w:val="both"/>
        <w:rPr>
          <w:i/>
          <w:color w:val="000000"/>
        </w:rPr>
      </w:pPr>
    </w:p>
    <w:p w14:paraId="578C50D6" w14:textId="19869708" w:rsidR="008E075C" w:rsidRPr="008E075C" w:rsidRDefault="008E075C" w:rsidP="009B4E26">
      <w:pPr>
        <w:autoSpaceDE w:val="0"/>
        <w:autoSpaceDN w:val="0"/>
        <w:adjustRightInd w:val="0"/>
        <w:jc w:val="both"/>
        <w:rPr>
          <w:color w:val="000000"/>
        </w:rPr>
      </w:pPr>
      <w:r w:rsidRPr="008E075C">
        <w:rPr>
          <w:color w:val="000000"/>
        </w:rPr>
        <w:t>In the Cause-of-death section in the discussion we added:</w:t>
      </w:r>
    </w:p>
    <w:p w14:paraId="5B5CCFEB" w14:textId="51E27137" w:rsidR="008E075C" w:rsidRDefault="008E075C" w:rsidP="009B4E26">
      <w:pPr>
        <w:autoSpaceDE w:val="0"/>
        <w:autoSpaceDN w:val="0"/>
        <w:adjustRightInd w:val="0"/>
        <w:jc w:val="both"/>
        <w:rPr>
          <w:i/>
          <w:color w:val="000000"/>
        </w:rPr>
      </w:pPr>
    </w:p>
    <w:p w14:paraId="771E3560" w14:textId="5547A040" w:rsidR="008E075C" w:rsidRPr="008E075C" w:rsidRDefault="008E075C" w:rsidP="008E075C">
      <w:pPr>
        <w:autoSpaceDE w:val="0"/>
        <w:autoSpaceDN w:val="0"/>
        <w:adjustRightInd w:val="0"/>
        <w:jc w:val="both"/>
        <w:rPr>
          <w:i/>
          <w:color w:val="000000"/>
        </w:rPr>
      </w:pPr>
      <w:r>
        <w:rPr>
          <w:i/>
          <w:color w:val="000000"/>
        </w:rPr>
        <w:t>“</w:t>
      </w:r>
      <w:r w:rsidRPr="008E075C">
        <w:rPr>
          <w:i/>
          <w:color w:val="000000"/>
        </w:rPr>
        <w:t xml:space="preserve">Fluctuating alcohol-related mortality was an important component of the </w:t>
      </w:r>
      <w:r>
        <w:rPr>
          <w:i/>
          <w:color w:val="000000"/>
        </w:rPr>
        <w:t xml:space="preserve">moving life disparity trends in </w:t>
      </w:r>
      <w:r w:rsidRPr="008E075C">
        <w:rPr>
          <w:i/>
          <w:color w:val="000000"/>
        </w:rPr>
        <w:t>the countries of the former Soviet Un</w:t>
      </w:r>
      <w:r>
        <w:rPr>
          <w:i/>
          <w:color w:val="000000"/>
        </w:rPr>
        <w:t>ion, although it occurred to diff</w:t>
      </w:r>
      <w:r w:rsidRPr="008E075C">
        <w:rPr>
          <w:i/>
          <w:color w:val="000000"/>
        </w:rPr>
        <w:t>erent degrees</w:t>
      </w:r>
      <w:r>
        <w:rPr>
          <w:i/>
          <w:color w:val="000000"/>
        </w:rPr>
        <w:t xml:space="preserve"> in each region, and manifested itself in diff</w:t>
      </w:r>
      <w:r w:rsidRPr="008E075C">
        <w:rPr>
          <w:i/>
          <w:color w:val="000000"/>
        </w:rPr>
        <w:t xml:space="preserve">erent causes. Over young ages, a large role was found for </w:t>
      </w:r>
      <w:r>
        <w:rPr>
          <w:i/>
          <w:color w:val="000000"/>
        </w:rPr>
        <w:t>the reduction of external cause mortality including traffi</w:t>
      </w:r>
      <w:r w:rsidRPr="008E075C">
        <w:rPr>
          <w:i/>
          <w:color w:val="000000"/>
        </w:rPr>
        <w:t>c accidents in the Baltic countries throughout the</w:t>
      </w:r>
      <w:r>
        <w:rPr>
          <w:i/>
          <w:color w:val="000000"/>
        </w:rPr>
        <w:t xml:space="preserve"> period, and in Russia, Belarus </w:t>
      </w:r>
      <w:r w:rsidRPr="008E075C">
        <w:rPr>
          <w:i/>
          <w:color w:val="000000"/>
        </w:rPr>
        <w:t>and Ukraine from 2000 onwards. Since these causes often co-moved with mortality d</w:t>
      </w:r>
      <w:r>
        <w:rPr>
          <w:i/>
          <w:color w:val="000000"/>
        </w:rPr>
        <w:t xml:space="preserve">irectly attributable to </w:t>
      </w:r>
      <w:r w:rsidRPr="008E075C">
        <w:rPr>
          <w:i/>
          <w:color w:val="000000"/>
        </w:rPr>
        <w:t>alcohol over these ages it is suggestive that healthier patterns of alcohol c</w:t>
      </w:r>
      <w:r>
        <w:rPr>
          <w:i/>
          <w:color w:val="000000"/>
        </w:rPr>
        <w:t xml:space="preserve">onsumption were contributing to </w:t>
      </w:r>
      <w:r w:rsidRPr="008E075C">
        <w:rPr>
          <w:i/>
          <w:color w:val="000000"/>
        </w:rPr>
        <w:t>these reductions in life disparity. At</w:t>
      </w:r>
      <w:r>
        <w:rPr>
          <w:i/>
          <w:color w:val="000000"/>
        </w:rPr>
        <w:t xml:space="preserve"> older ages, between-country diff</w:t>
      </w:r>
      <w:r w:rsidRPr="008E075C">
        <w:rPr>
          <w:i/>
          <w:color w:val="000000"/>
        </w:rPr>
        <w:t>erence</w:t>
      </w:r>
      <w:r>
        <w:rPr>
          <w:i/>
          <w:color w:val="000000"/>
        </w:rPr>
        <w:t xml:space="preserve">s in mortality reduction seemed </w:t>
      </w:r>
      <w:r w:rsidRPr="008E075C">
        <w:rPr>
          <w:i/>
          <w:color w:val="000000"/>
        </w:rPr>
        <w:t>to be driven by the extent of mortality reduction from circulatory</w:t>
      </w:r>
      <w:r>
        <w:rPr>
          <w:i/>
          <w:color w:val="000000"/>
        </w:rPr>
        <w:t xml:space="preserve"> diseases. In addition, alcohol consumption </w:t>
      </w:r>
      <w:r w:rsidRPr="008E075C">
        <w:rPr>
          <w:i/>
          <w:color w:val="000000"/>
        </w:rPr>
        <w:t xml:space="preserve">is not the only factor that explains mortality trajectories in the region, or </w:t>
      </w:r>
      <w:r>
        <w:rPr>
          <w:i/>
          <w:color w:val="000000"/>
        </w:rPr>
        <w:t xml:space="preserve">the sole </w:t>
      </w:r>
      <w:r w:rsidRPr="008E075C">
        <w:rPr>
          <w:i/>
          <w:color w:val="000000"/>
        </w:rPr>
        <w:t xml:space="preserve">explanation for </w:t>
      </w:r>
      <w:r>
        <w:rPr>
          <w:i/>
          <w:color w:val="000000"/>
        </w:rPr>
        <w:t xml:space="preserve">difference </w:t>
      </w:r>
      <w:r w:rsidRPr="008E075C">
        <w:rPr>
          <w:i/>
          <w:color w:val="000000"/>
        </w:rPr>
        <w:t>between life expectancy and lifespan variation levels with western European</w:t>
      </w:r>
      <w:r>
        <w:rPr>
          <w:i/>
          <w:color w:val="000000"/>
        </w:rPr>
        <w:t xml:space="preserve"> countries. Other factors, such </w:t>
      </w:r>
      <w:r w:rsidRPr="008E075C">
        <w:rPr>
          <w:i/>
          <w:color w:val="000000"/>
        </w:rPr>
        <w:t xml:space="preserve">as environmental pollution, medical care, smoking behaviors and diet have been </w:t>
      </w:r>
      <w:r>
        <w:rPr>
          <w:i/>
          <w:color w:val="000000"/>
        </w:rPr>
        <w:t xml:space="preserve">important determinants of </w:t>
      </w:r>
      <w:r w:rsidRPr="008E075C">
        <w:rPr>
          <w:i/>
          <w:color w:val="000000"/>
        </w:rPr>
        <w:t>health outcomes in this region since at least 1970 (Bobak and Marmot 1996). Indeed, the strong declines</w:t>
      </w:r>
      <w:r>
        <w:rPr>
          <w:i/>
          <w:color w:val="000000"/>
        </w:rPr>
        <w:t xml:space="preserve"> </w:t>
      </w:r>
      <w:r w:rsidRPr="008E075C">
        <w:rPr>
          <w:i/>
          <w:color w:val="000000"/>
        </w:rPr>
        <w:t>in circulatory disease mortality in the Baltic countries (Jasilionis et al. 2011), and more recently Russia</w:t>
      </w:r>
      <w:r>
        <w:rPr>
          <w:i/>
          <w:color w:val="000000"/>
        </w:rPr>
        <w:t xml:space="preserve"> </w:t>
      </w:r>
      <w:r w:rsidRPr="008E075C">
        <w:rPr>
          <w:i/>
          <w:color w:val="000000"/>
        </w:rPr>
        <w:t xml:space="preserve">(Grigoriev et </w:t>
      </w:r>
      <w:r w:rsidRPr="008E075C">
        <w:rPr>
          <w:i/>
          <w:color w:val="000000"/>
        </w:rPr>
        <w:lastRenderedPageBreak/>
        <w:t xml:space="preserve">al. 2014) have been seen as hopeful </w:t>
      </w:r>
      <w:r w:rsidR="009728EE">
        <w:rPr>
          <w:i/>
          <w:color w:val="000000"/>
        </w:rPr>
        <w:t>signs that these countries are fi</w:t>
      </w:r>
      <w:r w:rsidRPr="008E075C">
        <w:rPr>
          <w:i/>
          <w:color w:val="000000"/>
        </w:rPr>
        <w:t>nally on a path toward the</w:t>
      </w:r>
      <w:r>
        <w:rPr>
          <w:i/>
          <w:color w:val="000000"/>
        </w:rPr>
        <w:t xml:space="preserve"> </w:t>
      </w:r>
      <w:r w:rsidRPr="008E075C">
        <w:rPr>
          <w:i/>
          <w:color w:val="000000"/>
        </w:rPr>
        <w:t>lower levels of cardiovascular mortality that have been achieved in the west.</w:t>
      </w:r>
      <w:r>
        <w:rPr>
          <w:i/>
          <w:color w:val="000000"/>
        </w:rPr>
        <w:t>”</w:t>
      </w:r>
    </w:p>
    <w:p w14:paraId="1329CC99" w14:textId="50B03FD1" w:rsidR="009B4E26" w:rsidRDefault="009B4E26" w:rsidP="009B4E26">
      <w:pPr>
        <w:autoSpaceDE w:val="0"/>
        <w:autoSpaceDN w:val="0"/>
        <w:adjustRightInd w:val="0"/>
        <w:jc w:val="both"/>
        <w:rPr>
          <w:i/>
        </w:rPr>
      </w:pPr>
    </w:p>
    <w:p w14:paraId="367D9A54" w14:textId="38A8A7E1"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t>Also, it will help readers if the 12 countries are distinctly split into two or three subgroups based on their differential patterns of time trend in e0 and e† and if the grouping is used consistency throughout the paper.</w:t>
      </w:r>
    </w:p>
    <w:p w14:paraId="0D0FC104" w14:textId="1470A942" w:rsidR="00262D78" w:rsidRPr="00807AB8" w:rsidRDefault="00E5567B" w:rsidP="0053754D">
      <w:pPr>
        <w:jc w:val="both"/>
      </w:pPr>
      <w:r w:rsidRPr="00E5567B">
        <w:rPr>
          <w:b/>
        </w:rPr>
        <w:cr/>
      </w:r>
      <w:r w:rsidR="00C13ABF" w:rsidRPr="00807AB8">
        <w:t>As reviewer 3 also suggested, as far as possible we grouped our discussion around three main groupings</w:t>
      </w:r>
      <w:r w:rsidR="00FE686E" w:rsidRPr="00807AB8">
        <w:t xml:space="preserve"> that experienced more similar trends</w:t>
      </w:r>
      <w:r w:rsidR="00C13ABF" w:rsidRPr="00807AB8">
        <w:t>: Central Europe</w:t>
      </w:r>
      <w:r w:rsidR="001B23C3" w:rsidRPr="00807AB8">
        <w:t xml:space="preserve"> + Bulgaria</w:t>
      </w:r>
      <w:r w:rsidR="00C13ABF" w:rsidRPr="00807AB8">
        <w:t xml:space="preserve">, the Baltic Countries, and other </w:t>
      </w:r>
      <w:r w:rsidR="000378EE">
        <w:t xml:space="preserve">former Soviet Union </w:t>
      </w:r>
      <w:r w:rsidR="00C13ABF" w:rsidRPr="00807AB8">
        <w:t>countries</w:t>
      </w:r>
      <w:r w:rsidR="000378EE">
        <w:t xml:space="preserve"> (</w:t>
      </w:r>
      <w:r w:rsidR="000378EE" w:rsidRPr="00807AB8">
        <w:t>FSU</w:t>
      </w:r>
      <w:r w:rsidR="000378EE">
        <w:t>)</w:t>
      </w:r>
      <w:r w:rsidR="00C13ABF" w:rsidRPr="00807AB8">
        <w:t xml:space="preserve">. </w:t>
      </w:r>
      <w:r w:rsidR="00FE686E" w:rsidRPr="00807AB8">
        <w:t>We hope that</w:t>
      </w:r>
      <w:r w:rsidR="00C13ABF" w:rsidRPr="00807AB8">
        <w:t xml:space="preserve"> this patterning help</w:t>
      </w:r>
      <w:r w:rsidR="00FE686E" w:rsidRPr="00807AB8">
        <w:t>s t</w:t>
      </w:r>
      <w:r w:rsidR="00C13ABF" w:rsidRPr="00807AB8">
        <w:t xml:space="preserve">o anchor the trajectories geographically and has livened up </w:t>
      </w:r>
      <w:r w:rsidR="00FE686E" w:rsidRPr="00807AB8">
        <w:t xml:space="preserve">some of the </w:t>
      </w:r>
      <w:r w:rsidR="009214E8" w:rsidRPr="00807AB8">
        <w:t>denser</w:t>
      </w:r>
      <w:r w:rsidR="00FE686E" w:rsidRPr="00807AB8">
        <w:t xml:space="preserve"> </w:t>
      </w:r>
      <w:r w:rsidR="00C13ABF" w:rsidRPr="00807AB8">
        <w:t>sections of the paper.</w:t>
      </w:r>
      <w:r w:rsidR="009214E8">
        <w:t xml:space="preserve"> </w:t>
      </w:r>
      <w:r w:rsidR="00262D78">
        <w:t xml:space="preserve">In </w:t>
      </w:r>
      <w:r w:rsidR="009214E8">
        <w:t>addition,</w:t>
      </w:r>
      <w:r w:rsidR="00262D78">
        <w:t xml:space="preserve"> we recreated all decomposition figures in concordance with the grouping by adding a specific label and background color in each country. </w:t>
      </w:r>
    </w:p>
    <w:p w14:paraId="4C569603" w14:textId="0E258C52"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b/>
        </w:rPr>
      </w:pPr>
    </w:p>
    <w:p w14:paraId="7D83633D" w14:textId="7BB23C8C" w:rsidR="00FF304E" w:rsidRPr="00674EC3" w:rsidRDefault="00FF304E" w:rsidP="0053754D">
      <w:pPr>
        <w:jc w:val="both"/>
      </w:pPr>
      <w:r w:rsidRPr="00674EC3">
        <w:t>That’s true. We tried as much as possible to avoid strong normative wording, but these morta</w:t>
      </w:r>
      <w:r w:rsidR="008D31E8">
        <w:t>l</w:t>
      </w:r>
      <w:r w:rsidRPr="00674EC3">
        <w:t>i</w:t>
      </w:r>
      <w:r w:rsidR="00674EC3">
        <w:t>t</w:t>
      </w:r>
      <w:r w:rsidRPr="00674EC3">
        <w:t>y changes were objectively massive by any definition. To better convey this, we:</w:t>
      </w:r>
    </w:p>
    <w:p w14:paraId="2467546A" w14:textId="1CF1A43A" w:rsidR="00FF304E" w:rsidRPr="00674EC3" w:rsidRDefault="00FF304E" w:rsidP="0053754D">
      <w:pPr>
        <w:jc w:val="both"/>
      </w:pPr>
    </w:p>
    <w:p w14:paraId="7D360069" w14:textId="705E85D7" w:rsidR="00C83017" w:rsidRDefault="00C83017" w:rsidP="0053754D">
      <w:pPr>
        <w:jc w:val="both"/>
      </w:pPr>
      <w:r w:rsidRPr="00674EC3">
        <w:t>Introduction: “Since the ‘sharpest fluctuation’ in age-specific mortality occurred over working ages…” changed to “Since the ‘largest deviations’ in age-specific mortality occurred over working ages”</w:t>
      </w:r>
    </w:p>
    <w:p w14:paraId="754178E5" w14:textId="6BC7E9B1" w:rsidR="00397B9A" w:rsidRDefault="00397B9A" w:rsidP="0053754D">
      <w:pPr>
        <w:jc w:val="both"/>
      </w:pPr>
    </w:p>
    <w:p w14:paraId="6F5D18EB" w14:textId="0EE164F2" w:rsidR="00397B9A" w:rsidRPr="00674EC3" w:rsidRDefault="00397B9A" w:rsidP="0053754D">
      <w:pPr>
        <w:jc w:val="both"/>
      </w:pPr>
      <w:r>
        <w:t>“</w:t>
      </w:r>
      <w:r>
        <w:rPr>
          <w:color w:val="000000"/>
        </w:rPr>
        <w:t>We complement the existing literature by focusing on the Central and Eastern European case, which shows atypical periods of mortality upheaval and substantial life expectancy fluctuation” changed to “We complement the existing literature by focusing on the Central and Eastern European case, which shows atypical periods of mortality upheaval and substantial life expectancy changes”</w:t>
      </w:r>
    </w:p>
    <w:p w14:paraId="4DF323C2" w14:textId="77777777" w:rsidR="00FF304E" w:rsidRPr="00674EC3" w:rsidRDefault="00FF304E" w:rsidP="0053754D">
      <w:pPr>
        <w:jc w:val="both"/>
      </w:pPr>
      <w:r w:rsidRPr="00674EC3">
        <w:t>-</w:t>
      </w:r>
    </w:p>
    <w:p w14:paraId="2B5937B8" w14:textId="206A35BE" w:rsidR="00B20B9D" w:rsidRPr="00674EC3" w:rsidRDefault="00B20B9D" w:rsidP="0053754D">
      <w:pPr>
        <w:jc w:val="both"/>
      </w:pPr>
      <w:r w:rsidRPr="00674EC3">
        <w:t>Data and Methods: “Mortality fluctuated more strongly among men” changed to “Mortality change was larger and more abrupt among men”</w:t>
      </w:r>
    </w:p>
    <w:p w14:paraId="0225029B" w14:textId="212ACDF8" w:rsidR="00FF304E" w:rsidRDefault="00FF304E" w:rsidP="0053754D">
      <w:pPr>
        <w:jc w:val="both"/>
        <w:rPr>
          <w:b/>
        </w:rPr>
      </w:pPr>
      <w:r>
        <w:rPr>
          <w:b/>
        </w:rPr>
        <w:t>-</w:t>
      </w:r>
    </w:p>
    <w:p w14:paraId="022C5BE5" w14:textId="177B1F88" w:rsidR="004A7EA8" w:rsidRDefault="00B82DF6" w:rsidP="0053754D">
      <w:pPr>
        <w:jc w:val="both"/>
      </w:pPr>
      <w:r>
        <w:t>Discussion</w:t>
      </w:r>
    </w:p>
    <w:p w14:paraId="697558B4" w14:textId="1CCF10E3" w:rsidR="00B82DF6" w:rsidRDefault="00B82DF6" w:rsidP="0053754D">
      <w:pPr>
        <w:jc w:val="both"/>
        <w:rPr>
          <w:color w:val="000000"/>
        </w:rPr>
      </w:pPr>
      <w:r>
        <w:rPr>
          <w:color w:val="000000"/>
        </w:rPr>
        <w:t>“Changes in life disparity were, to a large extent, caused by fluctuation in mid-life mortality, with different net effects depending on the country and time period” changed to “Changes in life disparity were, to a large extent, caused by changes in mid-life mortality, with different net effects depending on the country and time period.”</w:t>
      </w:r>
    </w:p>
    <w:p w14:paraId="4EC78FBC" w14:textId="2E96065E" w:rsidR="00AA5C09" w:rsidRDefault="00AA5C09" w:rsidP="0053754D">
      <w:pPr>
        <w:jc w:val="both"/>
        <w:rPr>
          <w:color w:val="000000"/>
        </w:rPr>
      </w:pPr>
    </w:p>
    <w:p w14:paraId="4D93940D" w14:textId="7457C0AC" w:rsidR="00320978" w:rsidRDefault="00AA5C09" w:rsidP="0053754D">
      <w:pPr>
        <w:jc w:val="both"/>
        <w:rPr>
          <w:color w:val="000000"/>
        </w:rPr>
      </w:pPr>
      <w:r>
        <w:rPr>
          <w:color w:val="000000"/>
        </w:rPr>
        <w:t xml:space="preserve"> “</w:t>
      </w:r>
      <w:r w:rsidRPr="00AA5C09">
        <w:rPr>
          <w:color w:val="000000"/>
        </w:rPr>
        <w:t>Gillespie et al (2</w:t>
      </w:r>
      <w:r>
        <w:rPr>
          <w:color w:val="000000"/>
        </w:rPr>
        <w:t>014) showed that fluctuation in lifespan variation in Canada, Japan and the United States was almost entirely driven by younger ages.” Changed to “</w:t>
      </w:r>
      <w:r w:rsidRPr="00AA5C09">
        <w:rPr>
          <w:color w:val="000000"/>
        </w:rPr>
        <w:t xml:space="preserve">Gillespie et al (2014) </w:t>
      </w:r>
      <w:r>
        <w:rPr>
          <w:color w:val="000000"/>
        </w:rPr>
        <w:lastRenderedPageBreak/>
        <w:t>showed that changes in lifespan variation in Canada, Japan and the United States was almost entirely driven by younger ages.”</w:t>
      </w:r>
    </w:p>
    <w:p w14:paraId="440E4CA3" w14:textId="18F38D4B" w:rsidR="00320978" w:rsidRDefault="00320978" w:rsidP="0053754D">
      <w:pPr>
        <w:jc w:val="both"/>
        <w:rPr>
          <w:color w:val="000000"/>
        </w:rPr>
      </w:pPr>
    </w:p>
    <w:p w14:paraId="52802932" w14:textId="551B927B" w:rsidR="00320978" w:rsidRDefault="00320978" w:rsidP="0053754D">
      <w:pPr>
        <w:jc w:val="both"/>
        <w:rPr>
          <w:color w:val="000000"/>
        </w:rPr>
      </w:pPr>
      <w:r>
        <w:rPr>
          <w:color w:val="000000"/>
        </w:rPr>
        <w:t>“By contrast, in this study, we found highly fluctuating lifespan variation owed to fluctuation in both the younger and older age components.” Changed to “By contrast, in this study, we found high irregularity in lifespan variation owed to changes in both the younger and older age components.”</w:t>
      </w:r>
    </w:p>
    <w:p w14:paraId="1DCF5958" w14:textId="5ABFBF3D" w:rsidR="00320978" w:rsidRDefault="00320978" w:rsidP="0053754D">
      <w:pPr>
        <w:jc w:val="both"/>
        <w:rPr>
          <w:color w:val="000000"/>
        </w:rPr>
      </w:pPr>
    </w:p>
    <w:p w14:paraId="09186340" w14:textId="47DE0C85" w:rsidR="00320978" w:rsidRDefault="00320978" w:rsidP="0053754D">
      <w:pPr>
        <w:jc w:val="both"/>
        <w:rPr>
          <w:color w:val="000000"/>
        </w:rPr>
      </w:pPr>
      <w:r>
        <w:rPr>
          <w:color w:val="000000"/>
        </w:rPr>
        <w:t>“As a result, the combination of mortality fluctuation over younger ages with growing mortality differentials at older adult ages can lead to widening between-country inequalities in life expectancy, alongside stable life disparity differences.” Changed to “As a result, the combination of mortality changes over younger ages with growing mortality differentials at older adult ages can lead to widening between-country inequalities in life expectancy, alongside stable life disparity differences.”</w:t>
      </w:r>
    </w:p>
    <w:p w14:paraId="2C931E50" w14:textId="150C9A85" w:rsidR="00320978" w:rsidRDefault="00320978" w:rsidP="0053754D">
      <w:pPr>
        <w:jc w:val="both"/>
        <w:rPr>
          <w:color w:val="000000"/>
        </w:rPr>
      </w:pPr>
    </w:p>
    <w:p w14:paraId="1F908A81" w14:textId="543BB1ED" w:rsidR="00320978" w:rsidRPr="00AA5C09" w:rsidRDefault="00320978" w:rsidP="0053754D">
      <w:pPr>
        <w:jc w:val="both"/>
        <w:rPr>
          <w:color w:val="000000"/>
        </w:rPr>
      </w:pPr>
      <w:r>
        <w:rPr>
          <w:color w:val="000000"/>
        </w:rPr>
        <w:t>“Mortality associated to the most hazardous forms of alcohol consumption, such as alcohol liver disease or poisoning by exposure to alcohol, did not play a central role in the lifespan variation fluctuation.” Changed to “Mortality associated to the most hazardous forms of alcohol consumption, such as alcohol liver disease or poisoning by exposure to alcohol, did not play a central role in lifespan variation.”</w:t>
      </w:r>
    </w:p>
    <w:p w14:paraId="4512359C" w14:textId="790687D0" w:rsidR="00847CAD" w:rsidRPr="00AA5C09" w:rsidRDefault="00847CAD" w:rsidP="0053754D">
      <w:pPr>
        <w:jc w:val="both"/>
        <w:rPr>
          <w:color w:val="000000"/>
        </w:rPr>
      </w:pPr>
    </w:p>
    <w:p w14:paraId="7BE8FA10" w14:textId="20004FC2" w:rsidR="007E573E" w:rsidRDefault="007E573E" w:rsidP="007E573E">
      <w:pPr>
        <w:jc w:val="both"/>
        <w:rPr>
          <w:b/>
        </w:rPr>
      </w:pPr>
      <w:r w:rsidRPr="00111E2D">
        <w:rPr>
          <w:b/>
        </w:rPr>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664CF978" w:rsidR="00847CAD" w:rsidRDefault="00847CAD" w:rsidP="0053754D">
      <w:pPr>
        <w:autoSpaceDE w:val="0"/>
        <w:autoSpaceDN w:val="0"/>
        <w:adjustRightInd w:val="0"/>
        <w:jc w:val="both"/>
        <w:rPr>
          <w:b/>
        </w:rPr>
      </w:pPr>
      <w:r w:rsidRPr="00847CAD">
        <w:rPr>
          <w:b/>
        </w:rPr>
        <w:t xml:space="preserve">Hope that my further comments would be useful in improving the manuscript. </w:t>
      </w:r>
    </w:p>
    <w:p w14:paraId="6FD3BB6B" w14:textId="77777777" w:rsidR="004B0A50" w:rsidRPr="0053754D" w:rsidRDefault="004B0A50" w:rsidP="004B0A50">
      <w:pPr>
        <w:jc w:val="both"/>
      </w:pPr>
      <w:r>
        <w:t>Thanks for the careful reading and suggestions. Below are the changes/responses to the comments.</w:t>
      </w:r>
    </w:p>
    <w:p w14:paraId="320B4F01" w14:textId="77777777" w:rsidR="004B0A50" w:rsidRPr="00847CAD" w:rsidRDefault="004B0A50" w:rsidP="0053754D">
      <w:pPr>
        <w:autoSpaceDE w:val="0"/>
        <w:autoSpaceDN w:val="0"/>
        <w:adjustRightInd w:val="0"/>
        <w:jc w:val="both"/>
        <w:rPr>
          <w:b/>
        </w:rPr>
      </w:pPr>
    </w:p>
    <w:p w14:paraId="2F57B1E4" w14:textId="77777777" w:rsidR="00847CAD" w:rsidRPr="00847CAD" w:rsidRDefault="00847CAD" w:rsidP="0053754D">
      <w:pPr>
        <w:autoSpaceDE w:val="0"/>
        <w:autoSpaceDN w:val="0"/>
        <w:adjustRightInd w:val="0"/>
        <w:jc w:val="both"/>
        <w:rPr>
          <w:b/>
        </w:rPr>
      </w:pPr>
    </w:p>
    <w:p w14:paraId="6012B5A7" w14:textId="7EEA5713" w:rsidR="00847CAD" w:rsidRDefault="00847CAD" w:rsidP="0053754D">
      <w:pPr>
        <w:autoSpaceDE w:val="0"/>
        <w:autoSpaceDN w:val="0"/>
        <w:adjustRightInd w:val="0"/>
        <w:jc w:val="both"/>
        <w:rPr>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7F1B6C4F" w14:textId="55E46681" w:rsidR="004B0A50" w:rsidRDefault="004B0A50" w:rsidP="0053754D">
      <w:pPr>
        <w:autoSpaceDE w:val="0"/>
        <w:autoSpaceDN w:val="0"/>
        <w:adjustRightInd w:val="0"/>
        <w:jc w:val="both"/>
        <w:rPr>
          <w:b/>
        </w:rPr>
      </w:pPr>
    </w:p>
    <w:p w14:paraId="7ADEC3E8" w14:textId="385E219F" w:rsidR="004B0A50" w:rsidRDefault="008D31E8" w:rsidP="004B0A50">
      <w:pPr>
        <w:jc w:val="both"/>
      </w:pPr>
      <w:r>
        <w:t>A</w:t>
      </w:r>
      <w:r w:rsidR="004B0A50" w:rsidRPr="00807AB8">
        <w:t>s far as possible we grouped our discussion around three main groupings that experienced more similar trends: Central Europe + Bulgaria, the Baltic Countries, and other</w:t>
      </w:r>
      <w:r w:rsidR="000139CC">
        <w:t xml:space="preserve"> former Soviet Union</w:t>
      </w:r>
      <w:r w:rsidR="004B0A50" w:rsidRPr="00807AB8">
        <w:t xml:space="preserve"> </w:t>
      </w:r>
      <w:r w:rsidR="000139CC">
        <w:t>(</w:t>
      </w:r>
      <w:r w:rsidR="004B0A50" w:rsidRPr="00807AB8">
        <w:t>FSU</w:t>
      </w:r>
      <w:r w:rsidR="000139CC">
        <w:t>)</w:t>
      </w:r>
      <w:r w:rsidR="004B0A50" w:rsidRPr="00807AB8">
        <w:t xml:space="preserve"> countries. We hope that this patterning helps to anchor the trajectories geographically and has livened up some of the more dense sections of the paper.</w:t>
      </w:r>
      <w:r w:rsidR="00901FBE">
        <w:t xml:space="preserve"> </w:t>
      </w:r>
      <w:r w:rsidR="004B0A50">
        <w:t>In addition</w:t>
      </w:r>
      <w:r w:rsidR="00901FBE">
        <w:t>,</w:t>
      </w:r>
      <w:r w:rsidR="004B0A50">
        <w:t xml:space="preserve"> we recreated all decomposition figures in concordance with the grouping by adding a specific label and background color in each country. </w:t>
      </w:r>
    </w:p>
    <w:p w14:paraId="1153C982" w14:textId="30646C5A" w:rsidR="004B0A50" w:rsidRDefault="004B0A50" w:rsidP="004B0A50">
      <w:pPr>
        <w:jc w:val="both"/>
      </w:pPr>
    </w:p>
    <w:p w14:paraId="2F8870C3" w14:textId="77777777" w:rsidR="004B0A50" w:rsidRDefault="004B0A50" w:rsidP="004B0A50">
      <w:pPr>
        <w:jc w:val="both"/>
      </w:pPr>
      <w:r>
        <w:lastRenderedPageBreak/>
        <w:t>The text containing the main findings at the end of the introduction was deleted from this section and merged with the first paragraph of the discussion to highlight the main contribution of the study. It now reads:</w:t>
      </w:r>
    </w:p>
    <w:p w14:paraId="205AAD07" w14:textId="77777777" w:rsidR="004B0A50" w:rsidRDefault="004B0A50" w:rsidP="004B0A50">
      <w:pPr>
        <w:jc w:val="both"/>
      </w:pPr>
    </w:p>
    <w:p w14:paraId="51ACA442" w14:textId="77777777" w:rsidR="004B0A50" w:rsidRDefault="004B0A50" w:rsidP="004B0A50">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mid-life mortality that was directly or partially attributable to mortality amenable to alcohol consumption, with different net effects depending on the country and time period.</w:t>
      </w:r>
      <w:r>
        <w:rPr>
          <w:color w:val="000000"/>
        </w:rPr>
        <w:t>”</w:t>
      </w:r>
    </w:p>
    <w:p w14:paraId="67265316" w14:textId="77777777" w:rsidR="004B0A50" w:rsidRDefault="004B0A50" w:rsidP="004B0A50">
      <w:pPr>
        <w:jc w:val="both"/>
        <w:rPr>
          <w:color w:val="000000"/>
        </w:rPr>
      </w:pPr>
    </w:p>
    <w:p w14:paraId="179D7E15" w14:textId="77777777" w:rsidR="004B0A50" w:rsidRPr="00807AB8" w:rsidRDefault="004B0A50" w:rsidP="004B0A50">
      <w:pPr>
        <w:jc w:val="both"/>
      </w:pPr>
    </w:p>
    <w:p w14:paraId="363D52CF" w14:textId="77777777" w:rsidR="004B0A50" w:rsidRPr="00847CAD" w:rsidRDefault="004B0A50" w:rsidP="0053754D">
      <w:pPr>
        <w:autoSpaceDE w:val="0"/>
        <w:autoSpaceDN w:val="0"/>
        <w:adjustRightInd w:val="0"/>
        <w:jc w:val="both"/>
        <w:rPr>
          <w:b/>
        </w:rPr>
      </w:pPr>
    </w:p>
    <w:p w14:paraId="46AD0123" w14:textId="77777777" w:rsidR="00847CAD" w:rsidRPr="00847CAD" w:rsidRDefault="00847CAD" w:rsidP="0053754D">
      <w:pPr>
        <w:autoSpaceDE w:val="0"/>
        <w:autoSpaceDN w:val="0"/>
        <w:adjustRightInd w:val="0"/>
        <w:jc w:val="both"/>
        <w:rPr>
          <w:b/>
        </w:rPr>
      </w:pPr>
    </w:p>
    <w:p w14:paraId="36DD029B" w14:textId="0E9E2C38" w:rsidR="00847CAD" w:rsidRDefault="00847CAD" w:rsidP="0053754D">
      <w:pPr>
        <w:autoSpaceDE w:val="0"/>
        <w:autoSpaceDN w:val="0"/>
        <w:adjustRightInd w:val="0"/>
        <w:jc w:val="both"/>
        <w:rPr>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5132B0C" w14:textId="773D8C5C" w:rsidR="00BC2C03" w:rsidRDefault="00BC2C03" w:rsidP="0053754D">
      <w:pPr>
        <w:autoSpaceDE w:val="0"/>
        <w:autoSpaceDN w:val="0"/>
        <w:adjustRightInd w:val="0"/>
        <w:jc w:val="both"/>
        <w:rPr>
          <w:b/>
        </w:rPr>
      </w:pPr>
    </w:p>
    <w:p w14:paraId="6AC1E128" w14:textId="4914D1F1" w:rsidR="00BC2C03" w:rsidRDefault="00BC2C03" w:rsidP="00BC2C03">
      <w:pPr>
        <w:jc w:val="both"/>
      </w:pPr>
      <w:r>
        <w:t>Regarding the decomposition, we added a paragraph explaining with more detail the decomposition method and how the age-cause specific effects between two time points are derived following the line integral model (Horiuchi et al 2008). In addition, we added a footnote with ou</w:t>
      </w:r>
      <w:r w:rsidR="00D733E9">
        <w:t>r discrete formula for e-dagger, and in the final version of the paper a link to a repository with the data and R-code to reproduce all results in the paper will be available.</w:t>
      </w:r>
      <w:r>
        <w:t xml:space="preserve"> </w:t>
      </w:r>
    </w:p>
    <w:p w14:paraId="2AE7AF5F" w14:textId="77777777" w:rsidR="00BC2C03" w:rsidRDefault="00BC2C03" w:rsidP="00BC2C03">
      <w:pPr>
        <w:jc w:val="both"/>
      </w:pPr>
    </w:p>
    <w:p w14:paraId="153FA24F"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Pr="004B50C8">
        <w:rPr>
          <w:i/>
        </w:rPr>
        <w:t xml:space="preserve"> </w:t>
      </w:r>
      <w:r w:rsidRPr="00A369AA">
        <w:rPr>
          <w:i/>
        </w:rPr>
        <w:t>(e.g.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Pr="004B50C8">
        <w:rPr>
          <w:rFonts w:eastAsiaTheme="minorEastAsia"/>
          <w:i/>
        </w:rPr>
        <w:t xml:space="preserve"> </w:t>
      </w:r>
      <w:r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Pr="004B50C8">
        <w:rPr>
          <w:i/>
        </w:rPr>
        <w:t xml:space="preserve"> </w:t>
      </w:r>
      <w:r w:rsidRPr="00A369AA">
        <w:rPr>
          <w:i/>
        </w:rPr>
        <w:t xml:space="preserve">and </w:t>
      </w:r>
      <m:oMath>
        <m:r>
          <m:rPr>
            <m:sty m:val="bi"/>
          </m:rPr>
          <w:rPr>
            <w:rFonts w:ascii="Cambria Math" w:hAnsi="Cambria Math"/>
          </w:rPr>
          <m:t>A</m:t>
        </m:r>
      </m:oMath>
      <w:r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Pr="004B50C8">
        <w:rPr>
          <w:i/>
        </w:rPr>
        <w:t xml:space="preserve">and that we have observations </w:t>
      </w:r>
      <w:r w:rsidRPr="00A369AA">
        <w:rPr>
          <w:i/>
        </w:rPr>
        <w:t>available in two time points</w:t>
      </w:r>
      <w:r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Pr="004B50C8">
        <w:rPr>
          <w:i/>
        </w:rPr>
        <w:t xml:space="preserve"> is a differentiable </w:t>
      </w:r>
      <w:r w:rsidRPr="00A369AA">
        <w:rPr>
          <w:i/>
        </w:rPr>
        <w:t xml:space="preserve">function of </w:t>
      </w:r>
      <m:oMath>
        <m:r>
          <w:rPr>
            <w:rFonts w:ascii="Cambria Math" w:hAnsi="Cambria Math"/>
          </w:rPr>
          <m:t>t</m:t>
        </m:r>
      </m:oMath>
      <w:r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B50C8">
        <w:rPr>
          <w:i/>
        </w:rPr>
        <w:t xml:space="preserve">can be </w:t>
      </w:r>
      <w:r w:rsidRPr="00A369AA">
        <w:rPr>
          <w:i/>
        </w:rPr>
        <w:t>expressed as follows:</w:t>
      </w:r>
    </w:p>
    <w:p w14:paraId="45427F86" w14:textId="77777777" w:rsidR="00BC2C03" w:rsidRPr="004B50C8" w:rsidRDefault="00641A6E"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232314D1"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13E2674D"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6FA1B27C" w14:textId="77777777" w:rsidR="00BC2C03" w:rsidRPr="004B50C8" w:rsidRDefault="00BC2C03" w:rsidP="00BC2C03">
      <w:pPr>
        <w:jc w:val="both"/>
        <w:rPr>
          <w:i/>
        </w:rPr>
      </w:pPr>
      <w:r w:rsidRPr="004B50C8">
        <w:rPr>
          <w:rFonts w:eastAsia="Times New Roman" w:cs="Times New Roman"/>
          <w:i/>
          <w:color w:val="000000"/>
          <w:szCs w:val="24"/>
        </w:rPr>
        <w:t>We perform such decomposition by single age, period and cause of death..”</w:t>
      </w:r>
    </w:p>
    <w:p w14:paraId="0F3E9DD6" w14:textId="77777777" w:rsidR="00BC2C03" w:rsidRPr="00847CAD" w:rsidRDefault="00BC2C03" w:rsidP="0053754D">
      <w:pPr>
        <w:autoSpaceDE w:val="0"/>
        <w:autoSpaceDN w:val="0"/>
        <w:adjustRightInd w:val="0"/>
        <w:jc w:val="both"/>
        <w:rPr>
          <w:b/>
        </w:rPr>
      </w:pPr>
    </w:p>
    <w:p w14:paraId="63BAA5DB" w14:textId="77777777" w:rsidR="00847CAD" w:rsidRPr="00847CAD" w:rsidRDefault="00847CAD" w:rsidP="0053754D">
      <w:pPr>
        <w:autoSpaceDE w:val="0"/>
        <w:autoSpaceDN w:val="0"/>
        <w:adjustRightInd w:val="0"/>
        <w:jc w:val="both"/>
        <w:rPr>
          <w:b/>
        </w:rPr>
      </w:pPr>
    </w:p>
    <w:p w14:paraId="783C5E48" w14:textId="1AE047B6" w:rsidR="00847CAD" w:rsidRDefault="00847CAD" w:rsidP="0053754D">
      <w:pPr>
        <w:autoSpaceDE w:val="0"/>
        <w:autoSpaceDN w:val="0"/>
        <w:adjustRightInd w:val="0"/>
        <w:jc w:val="both"/>
        <w:rPr>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not sure that the last period of convergence started in 2000. A little bit later?</w:t>
      </w:r>
    </w:p>
    <w:p w14:paraId="292BCE43" w14:textId="31679A4A" w:rsidR="00955DBF" w:rsidRDefault="00955DBF" w:rsidP="0053754D">
      <w:pPr>
        <w:autoSpaceDE w:val="0"/>
        <w:autoSpaceDN w:val="0"/>
        <w:adjustRightInd w:val="0"/>
        <w:jc w:val="both"/>
        <w:rPr>
          <w:b/>
        </w:rPr>
      </w:pPr>
    </w:p>
    <w:p w14:paraId="6E96CA98" w14:textId="415E6B00" w:rsidR="006205B0" w:rsidRPr="006205B0" w:rsidRDefault="006205B0" w:rsidP="0053754D">
      <w:pPr>
        <w:autoSpaceDE w:val="0"/>
        <w:autoSpaceDN w:val="0"/>
        <w:adjustRightInd w:val="0"/>
        <w:jc w:val="both"/>
      </w:pPr>
      <w:r w:rsidRPr="006205B0">
        <w:lastRenderedPageBreak/>
        <w:t xml:space="preserve">As suggested by the reviewer, we now included a full description in the methods section on </w:t>
      </w:r>
    </w:p>
    <w:p w14:paraId="392FCA80" w14:textId="7237A895" w:rsidR="006205B0" w:rsidRPr="00CC3617" w:rsidRDefault="00955DBF" w:rsidP="006205B0">
      <w:pPr>
        <w:autoSpaceDE w:val="0"/>
        <w:autoSpaceDN w:val="0"/>
        <w:adjustRightInd w:val="0"/>
        <w:jc w:val="both"/>
      </w:pPr>
      <w:r w:rsidRPr="006205B0">
        <w:t>h</w:t>
      </w:r>
      <w:r w:rsidR="006205B0" w:rsidRPr="006205B0">
        <w:t>ow the periods were determined.</w:t>
      </w:r>
      <w:r w:rsidR="006205B0">
        <w:t xml:space="preserve"> </w:t>
      </w:r>
      <w:r w:rsidR="006205B0" w:rsidRPr="00CC3617">
        <w:t xml:space="preserve">Regarding the post-2000 convergence period. </w:t>
      </w:r>
      <w:r w:rsidR="006205B0">
        <w:t>The statistical break point found with the hierarchical estimation was 2001. We decided to start the period in 2000 to cover since the start of the 21</w:t>
      </w:r>
      <w:r w:rsidR="006205B0" w:rsidRPr="00CC3617">
        <w:rPr>
          <w:vertAlign w:val="superscript"/>
        </w:rPr>
        <w:t>st</w:t>
      </w:r>
      <w:r w:rsidR="006205B0">
        <w:t xml:space="preserve"> century. While it is true that some countries such as Russia and Ukraine started later following the same trend of increasing life expectancy, the coefficient of variation after 2000 continued decreasing. To alleviate any concerns about the choice and labels of the periods that we use,  we added the next paragraph.</w:t>
      </w:r>
    </w:p>
    <w:p w14:paraId="629941BD" w14:textId="7EB8E7B5" w:rsidR="00955DBF" w:rsidRDefault="00955DBF" w:rsidP="00955DBF">
      <w:pPr>
        <w:jc w:val="both"/>
        <w:rPr>
          <w:i/>
          <w:color w:val="000000"/>
        </w:rPr>
      </w:pPr>
    </w:p>
    <w:p w14:paraId="2C7BD74A" w14:textId="77777777" w:rsidR="00955DBF" w:rsidRPr="00190709" w:rsidRDefault="00955DBF" w:rsidP="00955DBF">
      <w:pPr>
        <w:jc w:val="both"/>
        <w:rPr>
          <w:i/>
        </w:rPr>
      </w:pPr>
      <w:r>
        <w:rPr>
          <w:i/>
          <w:color w:val="000000"/>
        </w:rPr>
        <w:t xml:space="preserve"> “</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4D750B47" w14:textId="44126631" w:rsidR="00955DBF" w:rsidRDefault="00955DBF" w:rsidP="0053754D">
      <w:pPr>
        <w:autoSpaceDE w:val="0"/>
        <w:autoSpaceDN w:val="0"/>
        <w:adjustRightInd w:val="0"/>
        <w:jc w:val="both"/>
        <w:rPr>
          <w:b/>
        </w:rPr>
      </w:pPr>
    </w:p>
    <w:p w14:paraId="338DBEA2" w14:textId="77777777" w:rsidR="00847CAD" w:rsidRPr="00847CAD" w:rsidRDefault="00847CAD" w:rsidP="0053754D">
      <w:pPr>
        <w:autoSpaceDE w:val="0"/>
        <w:autoSpaceDN w:val="0"/>
        <w:adjustRightInd w:val="0"/>
        <w:jc w:val="both"/>
        <w:rPr>
          <w:b/>
        </w:rPr>
      </w:pPr>
    </w:p>
    <w:p w14:paraId="512A8A27" w14:textId="653F2A90" w:rsidR="00847CAD" w:rsidRDefault="00847CAD" w:rsidP="0053754D">
      <w:pPr>
        <w:autoSpaceDE w:val="0"/>
        <w:autoSpaceDN w:val="0"/>
        <w:adjustRightInd w:val="0"/>
        <w:jc w:val="both"/>
        <w:rPr>
          <w:b/>
        </w:rPr>
      </w:pPr>
      <w:r w:rsidRPr="00847CAD">
        <w:rPr>
          <w:b/>
        </w:rPr>
        <w:t>Data from HMD for 12 countries and HCoD for 8 countries ar</w:t>
      </w:r>
      <w:r>
        <w:rPr>
          <w:b/>
        </w:rPr>
        <w:t xml:space="preserve">e used. Is it impossible to get the </w:t>
      </w:r>
      <w:r w:rsidRPr="00847CAD">
        <w:rPr>
          <w:b/>
        </w:rPr>
        <w:t>rest cause-specific data from the WHO mortality datab</w:t>
      </w:r>
      <w:r>
        <w:rPr>
          <w:b/>
        </w:rPr>
        <w:t xml:space="preserve">ases? I realize that it is much 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4 countries that are not covered in HCoD.</w:t>
      </w:r>
    </w:p>
    <w:p w14:paraId="4350D252" w14:textId="1BFD96AA" w:rsidR="000E5CC6" w:rsidRDefault="000E5CC6" w:rsidP="0053754D">
      <w:pPr>
        <w:autoSpaceDE w:val="0"/>
        <w:autoSpaceDN w:val="0"/>
        <w:adjustRightInd w:val="0"/>
        <w:jc w:val="both"/>
        <w:rPr>
          <w:b/>
        </w:rPr>
      </w:pPr>
    </w:p>
    <w:p w14:paraId="1924708B" w14:textId="77777777" w:rsidR="000E5CC6" w:rsidRDefault="000E5CC6" w:rsidP="000E5CC6">
      <w:pPr>
        <w:autoSpaceDE w:val="0"/>
        <w:autoSpaceDN w:val="0"/>
        <w:adjustRightInd w:val="0"/>
        <w:jc w:val="both"/>
      </w:pPr>
      <w:r>
        <w:t xml:space="preserve">We followed the reviewer’s suggestion and analyzed data from WHO for Bulgaria, Hungary, Slovakia and Slovenia. All except one (Slovakia) experienced the change from ICD9 to ICD10 in the period studied in the manuscript from 1994 to 2010. Bulgaria started coding deaths with ICD10 in 2005, Hungary in 1996, and Slovenia in 1997. </w:t>
      </w:r>
    </w:p>
    <w:p w14:paraId="25FE4E87" w14:textId="77777777" w:rsidR="000E5CC6" w:rsidRDefault="000E5CC6" w:rsidP="000E5CC6">
      <w:pPr>
        <w:autoSpaceDE w:val="0"/>
        <w:autoSpaceDN w:val="0"/>
        <w:adjustRightInd w:val="0"/>
        <w:jc w:val="both"/>
      </w:pPr>
    </w:p>
    <w:p w14:paraId="28175634" w14:textId="77777777" w:rsidR="000E5CC6" w:rsidRDefault="000E5CC6" w:rsidP="000E5CC6">
      <w:pPr>
        <w:jc w:val="both"/>
      </w:pPr>
      <w:r>
        <w:t>There are several limitations of using WHO data for alcohol related mortality in this set of countries. Firstly, deaths coded with ICD9 (Table 5. ICD9-9 from WHO documentation) are not sufficiently disaggregated to analyze some of the specific causes of death that we are interested in. For example, the codes that in ICD10 (F10) account for deaths due to alcohol psychosis, alcohol abuse, and alcohol dependence syndrome in ICD9 are 291, 305.0, 303.0, 303.9. However, 291 is grouped in the category of other psychoses (codes 291-294, 297-299) in WHO data, 305 is not available and the rest are grouped in 303 (we use this group for our analysis in this section). Similarly, deaths caused by poisoning by exposure to alcohol (X45 in ICD10) are not ungrouped in the WHO data, all of them (E860.0, E860.1, E860.2 and E860.9) are in the category “</w:t>
      </w:r>
      <w:r w:rsidRPr="00DA4D9B">
        <w:t>Accidental poisoning by other solid and liquid substances</w:t>
      </w:r>
      <w:r>
        <w:t xml:space="preserve">” which includes E860-E866, </w:t>
      </w:r>
      <w:r>
        <w:lastRenderedPageBreak/>
        <w:t>and 980.0, 980.1 and 790.3 (Excessive blood level of alcohol) do not appear in the list. The bridge codes were taken from the Center for Disease Control and Prevention from USA.</w:t>
      </w:r>
    </w:p>
    <w:p w14:paraId="2252D578" w14:textId="77777777" w:rsidR="000E5CC6" w:rsidRDefault="000E5CC6" w:rsidP="000E5CC6">
      <w:pPr>
        <w:jc w:val="both"/>
      </w:pPr>
    </w:p>
    <w:p w14:paraId="5ED4287F" w14:textId="572C68C9" w:rsidR="000E5CC6" w:rsidRDefault="000E5CC6" w:rsidP="000E5CC6">
      <w:pPr>
        <w:jc w:val="both"/>
      </w:pPr>
      <w:r>
        <w:t>As noted above</w:t>
      </w:r>
      <w:r w:rsidR="00842B6D">
        <w:t>,</w:t>
      </w:r>
      <w:r>
        <w:t xml:space="preserve"> the relationship</w:t>
      </w:r>
      <w:r w:rsidR="00842B6D">
        <w:t xml:space="preserve"> of</w:t>
      </w:r>
      <w:r>
        <w:t xml:space="preserve"> ICD codes when changing revisions is very complex for </w:t>
      </w:r>
      <w:r w:rsidR="00842B6D">
        <w:t>many</w:t>
      </w:r>
      <w:r>
        <w:t xml:space="preserve"> conditions. Consequently, various levels of the classification (e.g. alcohol related mortality) do not reflect actual long-term trends in mortality. Moreover, available raw data cannot be used to draw any conclusions about patterns without a thorough analysis of the quality of the data (Vallin et al. 1988). In order to </w:t>
      </w:r>
      <w:r w:rsidR="00F636B9">
        <w:t>e</w:t>
      </w:r>
      <w:r>
        <w:t>stablish comparable continuous time series on causes of death it is necessary to reconstruct mortality trends, assess the statistical impact of changes of coding practices, and a</w:t>
      </w:r>
      <w:r w:rsidR="00884192">
        <w:t>n</w:t>
      </w:r>
      <w:r>
        <w:t xml:space="preserve"> automatized routine that allows to compare between countries described elsewhere (</w:t>
      </w:r>
      <w:r w:rsidRPr="00F8181A">
        <w:t>Pechholdová</w:t>
      </w:r>
      <w:r>
        <w:t xml:space="preserve"> et al 2017).</w:t>
      </w:r>
    </w:p>
    <w:p w14:paraId="0C226A0E" w14:textId="77777777" w:rsidR="000E5CC6" w:rsidRDefault="000E5CC6" w:rsidP="000E5CC6">
      <w:pPr>
        <w:jc w:val="both"/>
      </w:pPr>
    </w:p>
    <w:p w14:paraId="1F4B4D5D" w14:textId="77777777" w:rsidR="000E5CC6" w:rsidRDefault="000E5CC6" w:rsidP="000E5CC6">
      <w:pPr>
        <w:jc w:val="both"/>
      </w:pPr>
      <w:r>
        <w:t>An additional limitation is the completeness of the data. WHO recovers data from statistical offices without any assessment of completeness. For instance, Hungarian data do not show any information on some causes of death after 1996, while for others there is a complete time series.</w:t>
      </w:r>
    </w:p>
    <w:p w14:paraId="26E3BE0E" w14:textId="77777777" w:rsidR="000E5CC6" w:rsidRDefault="000E5CC6" w:rsidP="000E5CC6">
      <w:pPr>
        <w:jc w:val="both"/>
      </w:pPr>
    </w:p>
    <w:p w14:paraId="09FEEDB0" w14:textId="77777777" w:rsidR="000E5CC6" w:rsidRDefault="000E5CC6" w:rsidP="000E5CC6">
      <w:pPr>
        <w:jc w:val="both"/>
      </w:pPr>
      <w:r>
        <w:t>We mitigate the issue of ICD comparable information using the recently published Human Cause of Death Database (HCoD). This database performed quality checks and reconstructed mortality trends for the countries showed in the manuscript following</w:t>
      </w:r>
      <w:r w:rsidRPr="00B12364">
        <w:t xml:space="preserve"> </w:t>
      </w:r>
      <w:r w:rsidRPr="00F8181A">
        <w:t>Pechholdová</w:t>
      </w:r>
      <w:r>
        <w:t xml:space="preserve"> et al (2017) when needed. Further, to mitigate the completeness limitation, we use the HCoD’s cause of deaths structure and applied it to the mortality rates in the HMD.</w:t>
      </w:r>
    </w:p>
    <w:p w14:paraId="13F1412C" w14:textId="77777777" w:rsidR="000E5CC6" w:rsidRDefault="000E5CC6" w:rsidP="000E5CC6">
      <w:pPr>
        <w:jc w:val="both"/>
      </w:pPr>
    </w:p>
    <w:p w14:paraId="295DEC5C" w14:textId="77777777" w:rsidR="000E5CC6" w:rsidRDefault="000E5CC6" w:rsidP="000E5CC6">
      <w:pPr>
        <w:jc w:val="both"/>
      </w:pPr>
      <w:r>
        <w:t xml:space="preserve">To show these limitations, we did a country-specific analysis with this information to decide whether the data was reliable enough to include the country in the manuscript for the cause-of-death analysis. We additionally created an interactive app to analyze the results in the panel ‘Rupture analysis’ at </w:t>
      </w:r>
      <w:hyperlink r:id="rId27" w:history="1">
        <w:r w:rsidRPr="005F3CED">
          <w:rPr>
            <w:rStyle w:val="Hyperlink"/>
          </w:rPr>
          <w:t>https://demographs.shinyapps.io/CEE_App/</w:t>
        </w:r>
      </w:hyperlink>
      <w:r>
        <w:t>. A summary of these analyses is below.</w:t>
      </w:r>
    </w:p>
    <w:p w14:paraId="134141D1" w14:textId="77777777" w:rsidR="000E5CC6" w:rsidRDefault="000E5CC6" w:rsidP="000E5CC6">
      <w:pPr>
        <w:jc w:val="both"/>
      </w:pPr>
    </w:p>
    <w:p w14:paraId="4986B1D6" w14:textId="77777777" w:rsidR="000E5CC6" w:rsidRDefault="000E5CC6" w:rsidP="000E5CC6">
      <w:pPr>
        <w:jc w:val="both"/>
      </w:pPr>
      <w:r>
        <w:t xml:space="preserve">Bulgaria: Stroke and Other circulatory categories show a clear rupture in the year when ICD changed. This rupture suggests that they complement each other. Grouping all cardiovascular (i.e. IHD, Stroke and Other circulatory) could make comparable the trends. However, infectious and respiratory diseases also show clear change in trends after ICD 10 was implemented, and it is not clear which category was accounting for these conditions before that period. </w:t>
      </w:r>
    </w:p>
    <w:p w14:paraId="4F614073" w14:textId="77777777" w:rsidR="000E5CC6" w:rsidRDefault="000E5CC6" w:rsidP="000E5CC6">
      <w:pPr>
        <w:jc w:val="both"/>
      </w:pPr>
    </w:p>
    <w:p w14:paraId="60F25038" w14:textId="77777777" w:rsidR="000E5CC6" w:rsidRDefault="000E5CC6" w:rsidP="000E5CC6">
      <w:pPr>
        <w:jc w:val="both"/>
      </w:pPr>
      <w:r>
        <w:t>Hungary: Missing information for most of the years and causes of death. Bad and problematic data overall.</w:t>
      </w:r>
    </w:p>
    <w:p w14:paraId="4AFC6962" w14:textId="77777777" w:rsidR="000E5CC6" w:rsidRDefault="000E5CC6" w:rsidP="000E5CC6">
      <w:pPr>
        <w:jc w:val="both"/>
      </w:pPr>
    </w:p>
    <w:p w14:paraId="6A89BB1E" w14:textId="70B7A951" w:rsidR="000E5CC6" w:rsidRDefault="000E5CC6" w:rsidP="000E5CC6">
      <w:pPr>
        <w:autoSpaceDE w:val="0"/>
        <w:autoSpaceDN w:val="0"/>
        <w:adjustRightInd w:val="0"/>
        <w:jc w:val="both"/>
      </w:pPr>
      <w:r>
        <w:t>Slovakia: It uses ICD10 throughout the entire period. There is a strange trend in Infectious and respiratory diseases in the late 1990s. In the rest in recent years, and it seems that Stroke and Other circulatory complement each other.</w:t>
      </w:r>
    </w:p>
    <w:p w14:paraId="50E78B53" w14:textId="7D48B300" w:rsidR="00A1665B" w:rsidRDefault="00A1665B" w:rsidP="000E5CC6">
      <w:pPr>
        <w:autoSpaceDE w:val="0"/>
        <w:autoSpaceDN w:val="0"/>
        <w:adjustRightInd w:val="0"/>
        <w:jc w:val="both"/>
      </w:pPr>
    </w:p>
    <w:p w14:paraId="6908112A" w14:textId="2603A6AF" w:rsidR="00A1665B" w:rsidRDefault="00A1665B" w:rsidP="000E5CC6">
      <w:pPr>
        <w:autoSpaceDE w:val="0"/>
        <w:autoSpaceDN w:val="0"/>
        <w:adjustRightInd w:val="0"/>
        <w:jc w:val="both"/>
      </w:pPr>
      <w:r>
        <w:t>Slovenia: shows major ruptures in attributable to alcohol mortality, stroke and other circulatory diseases. More worrisome, however, is the rupture shown in infectious and respiratory diseases and in the residual causes.</w:t>
      </w:r>
    </w:p>
    <w:p w14:paraId="73F17892" w14:textId="6594FE44" w:rsidR="000E5CC6" w:rsidRDefault="000E5CC6" w:rsidP="000E5CC6">
      <w:pPr>
        <w:autoSpaceDE w:val="0"/>
        <w:autoSpaceDN w:val="0"/>
        <w:adjustRightInd w:val="0"/>
        <w:jc w:val="both"/>
      </w:pPr>
    </w:p>
    <w:p w14:paraId="787D9ADE" w14:textId="764B3DB9" w:rsidR="00404C49" w:rsidRDefault="000E5CC6" w:rsidP="000E5CC6">
      <w:pPr>
        <w:autoSpaceDE w:val="0"/>
        <w:autoSpaceDN w:val="0"/>
        <w:adjustRightInd w:val="0"/>
        <w:jc w:val="both"/>
      </w:pPr>
      <w:r>
        <w:lastRenderedPageBreak/>
        <w:t>In light of the above, we decided not t</w:t>
      </w:r>
      <w:r w:rsidR="00404C49">
        <w:t>o include WHO data in our study as we were worried about the data integrity and felt strongly that it was better to err on the side of caution.</w:t>
      </w:r>
    </w:p>
    <w:p w14:paraId="2EF04A62" w14:textId="75FD4B38" w:rsidR="00E11594" w:rsidRDefault="00E11594" w:rsidP="000E5CC6">
      <w:pPr>
        <w:autoSpaceDE w:val="0"/>
        <w:autoSpaceDN w:val="0"/>
        <w:adjustRightInd w:val="0"/>
        <w:jc w:val="both"/>
      </w:pPr>
    </w:p>
    <w:p w14:paraId="709A6CE8" w14:textId="77777777" w:rsidR="00E11594" w:rsidRPr="005F3EAA" w:rsidRDefault="00E11594" w:rsidP="00E11594">
      <w:pPr>
        <w:autoSpaceDE w:val="0"/>
        <w:autoSpaceDN w:val="0"/>
        <w:adjustRightInd w:val="0"/>
        <w:jc w:val="both"/>
      </w:pPr>
    </w:p>
    <w:p w14:paraId="6F50F9F6" w14:textId="77777777" w:rsidR="00E11594" w:rsidRDefault="00E11594" w:rsidP="00E11594">
      <w:pPr>
        <w:autoSpaceDE w:val="0"/>
        <w:autoSpaceDN w:val="0"/>
        <w:adjustRightInd w:val="0"/>
        <w:jc w:val="both"/>
      </w:pPr>
      <w:r w:rsidRPr="007D0D9F">
        <w:t>References:</w:t>
      </w:r>
    </w:p>
    <w:p w14:paraId="109251F9" w14:textId="77777777" w:rsidR="00E11594" w:rsidRDefault="00E11594" w:rsidP="00E11594">
      <w:pPr>
        <w:autoSpaceDE w:val="0"/>
        <w:autoSpaceDN w:val="0"/>
        <w:adjustRightInd w:val="0"/>
        <w:jc w:val="both"/>
      </w:pPr>
    </w:p>
    <w:p w14:paraId="585F7DD2" w14:textId="77777777" w:rsidR="00E11594" w:rsidRPr="00842B6D" w:rsidRDefault="00E11594" w:rsidP="00E11594">
      <w:pPr>
        <w:autoSpaceDE w:val="0"/>
        <w:autoSpaceDN w:val="0"/>
        <w:adjustRightInd w:val="0"/>
        <w:jc w:val="both"/>
      </w:pPr>
      <w:r>
        <w:t xml:space="preserve">Center for Disease Control and Prevention. Alcohols and Public Health: Alcohol-related disease impact (ARDI). Visited on 08/02/2018. </w:t>
      </w:r>
      <w:hyperlink r:id="rId28" w:history="1">
        <w:r w:rsidRPr="00842B6D">
          <w:rPr>
            <w:rStyle w:val="Hyperlink"/>
          </w:rPr>
          <w:t>https://nccd.cdc.gov/dph_ardi/Info/ICDCodes.aspx</w:t>
        </w:r>
      </w:hyperlink>
    </w:p>
    <w:p w14:paraId="626ABC40" w14:textId="77777777" w:rsidR="00E11594" w:rsidRPr="00842B6D" w:rsidRDefault="00E11594" w:rsidP="00E11594">
      <w:pPr>
        <w:autoSpaceDE w:val="0"/>
        <w:autoSpaceDN w:val="0"/>
        <w:adjustRightInd w:val="0"/>
        <w:jc w:val="both"/>
      </w:pPr>
    </w:p>
    <w:p w14:paraId="33C4D0B9" w14:textId="77777777" w:rsidR="00E11594" w:rsidRPr="00842B6D" w:rsidRDefault="00E11594" w:rsidP="00E11594">
      <w:pPr>
        <w:autoSpaceDE w:val="0"/>
        <w:autoSpaceDN w:val="0"/>
        <w:adjustRightInd w:val="0"/>
        <w:jc w:val="both"/>
        <w:rPr>
          <w:lang w:val="fr-FR"/>
        </w:rPr>
      </w:pPr>
      <w:r w:rsidRPr="00842B6D">
        <w:t xml:space="preserve">Pechholdová, M., Camarda, C. G., Meslé, F., &amp; Vallin, J. (2017). </w:t>
      </w:r>
      <w:r w:rsidRPr="0028541E">
        <w:t xml:space="preserve">Reconstructing Long-Term Coherent Cause-of-Death Series, a Necessary Step for Analyzing Trends. </w:t>
      </w:r>
      <w:r w:rsidRPr="00842B6D">
        <w:rPr>
          <w:lang w:val="fr-FR"/>
        </w:rPr>
        <w:t>European Journal of Population, 1-22.</w:t>
      </w:r>
    </w:p>
    <w:p w14:paraId="20880B25" w14:textId="77777777" w:rsidR="00E11594" w:rsidRPr="00842B6D" w:rsidRDefault="00E11594" w:rsidP="00E11594">
      <w:pPr>
        <w:autoSpaceDE w:val="0"/>
        <w:autoSpaceDN w:val="0"/>
        <w:adjustRightInd w:val="0"/>
        <w:jc w:val="both"/>
        <w:rPr>
          <w:lang w:val="fr-FR"/>
        </w:rPr>
      </w:pPr>
    </w:p>
    <w:p w14:paraId="1E205E4A" w14:textId="77777777" w:rsidR="00E11594" w:rsidRDefault="00E11594" w:rsidP="00E11594">
      <w:pPr>
        <w:autoSpaceDE w:val="0"/>
        <w:autoSpaceDN w:val="0"/>
        <w:adjustRightInd w:val="0"/>
        <w:jc w:val="both"/>
      </w:pPr>
      <w:r w:rsidRPr="00842B6D">
        <w:rPr>
          <w:lang w:val="fr-FR"/>
        </w:rPr>
        <w:t xml:space="preserve">Vallin, J., Meslé, F., Caselli, G., &amp; Egidi, V. (1988). Les causes de décès en France de 1925 à 1978 (Vol. 1). </w:t>
      </w:r>
      <w:r w:rsidRPr="00F8181A">
        <w:t>Ined.</w:t>
      </w:r>
    </w:p>
    <w:p w14:paraId="5ACDFA2C" w14:textId="77777777" w:rsidR="00E11594" w:rsidRDefault="00E11594" w:rsidP="00E11594">
      <w:pPr>
        <w:autoSpaceDE w:val="0"/>
        <w:autoSpaceDN w:val="0"/>
        <w:adjustRightInd w:val="0"/>
        <w:jc w:val="both"/>
      </w:pPr>
    </w:p>
    <w:p w14:paraId="113B9C0E" w14:textId="77777777" w:rsidR="00E11594" w:rsidRPr="00847CAD" w:rsidRDefault="00E11594" w:rsidP="000E5CC6">
      <w:pPr>
        <w:autoSpaceDE w:val="0"/>
        <w:autoSpaceDN w:val="0"/>
        <w:adjustRightInd w:val="0"/>
        <w:jc w:val="both"/>
        <w:rPr>
          <w:b/>
        </w:rPr>
      </w:pP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Rehm et al. that is </w:t>
      </w:r>
      <w:r w:rsidRPr="00847CAD">
        <w:rPr>
          <w:b/>
        </w:rPr>
        <w:t>not convincing enough especially when second and third</w:t>
      </w:r>
      <w:r>
        <w:rPr>
          <w:b/>
        </w:rPr>
        <w:t xml:space="preserve"> categories are identified. For </w:t>
      </w:r>
      <w:r w:rsidRPr="00847CAD">
        <w:rPr>
          <w:b/>
        </w:rPr>
        <w:t>examples, epidemiological studies by David Leon et al. a</w:t>
      </w:r>
      <w:r>
        <w:rPr>
          <w:b/>
        </w:rPr>
        <w:t xml:space="preserve">nd by David Zaridze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3F4C214" w14:textId="50663BEA" w:rsidR="00670BBA" w:rsidRDefault="00670BBA" w:rsidP="008B7FCF">
      <w:pPr>
        <w:jc w:val="both"/>
      </w:pPr>
    </w:p>
    <w:p w14:paraId="0AB491C9" w14:textId="3611DA4D" w:rsidR="00670BBA" w:rsidRPr="004F345F" w:rsidRDefault="004F345F" w:rsidP="004F345F">
      <w:pPr>
        <w:jc w:val="both"/>
      </w:pPr>
      <w:r>
        <w:t xml:space="preserve">It is true that classifying alcohol related mortality has several limitations (fully explained in the revised version of the paper), particularly when circulatory diseases are partitioned. Therefore, to overcome the limitation that you mention we made </w:t>
      </w:r>
      <w:r w:rsidR="00670BBA">
        <w:t>the following m</w:t>
      </w:r>
      <w:r>
        <w:t>ajor changes to the manuscript, w</w:t>
      </w:r>
      <w:r w:rsidR="00670BBA" w:rsidRPr="004F345F">
        <w:t>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mortality that is wholly attributable to alcohol. This way, we can infer over which ages/periods alcohol was likely to have played a larger role in changes to these larger COD groupings.</w:t>
      </w:r>
    </w:p>
    <w:p w14:paraId="5BBB4570" w14:textId="495685D1" w:rsidR="00670BBA" w:rsidRDefault="00670BBA" w:rsidP="008B7FCF">
      <w:pPr>
        <w:jc w:val="both"/>
      </w:pPr>
    </w:p>
    <w:p w14:paraId="7E4A9CE8" w14:textId="1C5CFD39" w:rsidR="008B7FCF" w:rsidRDefault="004F345F" w:rsidP="008B7FCF">
      <w:pPr>
        <w:jc w:val="both"/>
      </w:pPr>
      <w:r>
        <w:t>Moreover, a</w:t>
      </w:r>
      <w:r w:rsidR="008B7FCF">
        <w:t>fter carefully reviewing the previous version</w:t>
      </w:r>
      <w:r w:rsidR="00453E47">
        <w:t xml:space="preserve"> and taking into account reviewer 1 and 3’s suggestions</w:t>
      </w:r>
      <w:r w:rsidR="008B7FCF">
        <w:t>, we decided that the added value of keeping IHD separate from other circulatory diseases was low for the purposes of this study, and changing coding practices were visible for some countries in trends between these causes. Thus</w:t>
      </w:r>
      <w:r>
        <w:t>,</w:t>
      </w:r>
      <w:r w:rsidR="008B7FCF">
        <w:t xml:space="preserve"> in the new version of the manuscript we opted to combine all </w:t>
      </w:r>
      <w:r>
        <w:t xml:space="preserve">circulatory disease mortality and </w:t>
      </w:r>
      <w:r w:rsidR="008B7FCF">
        <w:t>added the following to the limitations section:</w:t>
      </w:r>
    </w:p>
    <w:p w14:paraId="0F727642" w14:textId="77777777" w:rsidR="008B7FCF" w:rsidRDefault="008B7FCF" w:rsidP="008B7FCF">
      <w:pPr>
        <w:jc w:val="both"/>
      </w:pPr>
    </w:p>
    <w:p w14:paraId="352F6CC3" w14:textId="77777777" w:rsidR="008B7FCF" w:rsidRPr="00F230AC" w:rsidRDefault="008B7FCF" w:rsidP="008B7FCF">
      <w:pPr>
        <w:jc w:val="both"/>
        <w:rPr>
          <w:i/>
        </w:rPr>
      </w:pPr>
      <w:r w:rsidRPr="00F230AC">
        <w:rPr>
          <w:i/>
        </w:rPr>
        <w:t xml:space="preserve">“…in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w:t>
      </w:r>
      <w:r w:rsidRPr="00F230AC">
        <w:rPr>
          <w:i/>
        </w:rPr>
        <w:lastRenderedPageBreak/>
        <w:t>some degree of misclassification within circulatory disease is corrected for by the HCD team (Pechholdova 2017), for comparative purposes we felt it safer to combine all circulatory disease categories.”</w:t>
      </w:r>
    </w:p>
    <w:p w14:paraId="776C43D0" w14:textId="5B231416" w:rsidR="008B7FCF" w:rsidRDefault="00521F34" w:rsidP="008B7FCF">
      <w:pPr>
        <w:jc w:val="both"/>
      </w:pPr>
      <w:r>
        <w:t xml:space="preserve"> </w:t>
      </w:r>
    </w:p>
    <w:p w14:paraId="6BC67C1D" w14:textId="73D9C08F" w:rsidR="00521F34" w:rsidRDefault="00483D92" w:rsidP="008B7FCF">
      <w:pPr>
        <w:jc w:val="both"/>
      </w:pPr>
      <w:r>
        <w:t>It is true that some studies have studied the role of alcohol on mortality in some other countries included in the paper. Most of these studies are included in Rehm et al’s articles. Therefore</w:t>
      </w:r>
      <w:r w:rsidR="00033919">
        <w:t>,</w:t>
      </w:r>
      <w:r>
        <w:t xml:space="preserve"> we use these as reference. To </w:t>
      </w:r>
      <w:r>
        <w:t>strengthen the role of alcohol as determinant of mortalit</w:t>
      </w:r>
      <w:r>
        <w:t xml:space="preserve">y we also </w:t>
      </w:r>
      <w:r>
        <w:t>included the next references in the cause-of-death classification</w:t>
      </w:r>
      <w:r>
        <w:t xml:space="preserve"> section:</w:t>
      </w:r>
    </w:p>
    <w:p w14:paraId="0115F399" w14:textId="77777777" w:rsidR="00ED492D" w:rsidRDefault="00ED492D" w:rsidP="00ED492D">
      <w:pPr>
        <w:autoSpaceDE w:val="0"/>
        <w:autoSpaceDN w:val="0"/>
        <w:adjustRightInd w:val="0"/>
        <w:jc w:val="both"/>
        <w:rPr>
          <w:b/>
        </w:rPr>
      </w:pPr>
    </w:p>
    <w:p w14:paraId="422EE117" w14:textId="77777777" w:rsidR="00ED492D" w:rsidRPr="00483D92" w:rsidRDefault="00ED492D" w:rsidP="00ED492D">
      <w:pPr>
        <w:autoSpaceDE w:val="0"/>
        <w:autoSpaceDN w:val="0"/>
        <w:adjustRightInd w:val="0"/>
        <w:jc w:val="both"/>
        <w:rPr>
          <w:lang w:val="es-ES"/>
        </w:rPr>
      </w:pPr>
      <w:r w:rsidRPr="00483D92">
        <w:rPr>
          <w:lang w:val="es-ES"/>
        </w:rPr>
        <w:t>Zaridze, D., Brennan, P., Boreham, J., Boroda, A., Karpov, R., Lazarev, A., ... &amp; Peto, R. (2009). Alcohol and cause-specific mortality in Russia: a retrospective case–control study of 48 557 adult deaths. The Lancet, 373(9682), 2201-2214.</w:t>
      </w:r>
    </w:p>
    <w:p w14:paraId="35905386" w14:textId="7FEBE633" w:rsidR="00ED492D" w:rsidRPr="00483D92" w:rsidRDefault="00ED492D" w:rsidP="008B7FCF">
      <w:pPr>
        <w:jc w:val="both"/>
        <w:rPr>
          <w:lang w:val="es-ES"/>
        </w:rPr>
      </w:pPr>
    </w:p>
    <w:p w14:paraId="17EB373A" w14:textId="2AB64641" w:rsidR="00ED492D" w:rsidRPr="00483D92" w:rsidRDefault="00ED492D" w:rsidP="008B7FCF">
      <w:pPr>
        <w:jc w:val="both"/>
        <w:rPr>
          <w:lang w:val="es-ES"/>
        </w:rPr>
      </w:pPr>
      <w:r w:rsidRPr="00483D92">
        <w:rPr>
          <w:lang w:val="es-ES"/>
        </w:rPr>
        <w:t>Zaridze, D., Lewington, S., Boroda, A., Scélo, G., Karpov, R., Lazarev, A., ... &amp; Sherliker, P. (2014). Alcohol and mortality in Russia: prospective observational study of 151 000 adults. The Lancet, 383(9927), 1465-1473.</w:t>
      </w:r>
    </w:p>
    <w:p w14:paraId="2DB1E349" w14:textId="157B4EB7" w:rsidR="00ED492D" w:rsidRPr="00483D92" w:rsidRDefault="00ED492D" w:rsidP="008B7FCF">
      <w:pPr>
        <w:jc w:val="both"/>
        <w:rPr>
          <w:lang w:val="es-ES"/>
        </w:rPr>
      </w:pPr>
    </w:p>
    <w:p w14:paraId="36877CDA" w14:textId="206CCF81" w:rsidR="00ED492D" w:rsidRDefault="00ED492D" w:rsidP="008B7FCF">
      <w:pPr>
        <w:jc w:val="both"/>
        <w:rPr>
          <w:lang w:val="es-ES"/>
        </w:rPr>
      </w:pPr>
      <w:r w:rsidRPr="00483D92">
        <w:rPr>
          <w:lang w:val="es-ES"/>
        </w:rPr>
        <w:t>Leon, D. A., Chenet, L., Shkolnikov, V. M., Zakharov, S., Shapiro, J., Rakhmanova, G., ... &amp; McKee, M. (1997). Huge variation in Russian mortality rates 1984–94: artefact, alcohol, or what?. The lancet, 350(9075), 383-388.</w:t>
      </w:r>
    </w:p>
    <w:p w14:paraId="09613DC7" w14:textId="1FCBD85C" w:rsidR="00D06432" w:rsidRDefault="00D06432" w:rsidP="008B7FCF">
      <w:pPr>
        <w:jc w:val="both"/>
        <w:rPr>
          <w:lang w:val="es-ES"/>
        </w:rPr>
      </w:pPr>
    </w:p>
    <w:p w14:paraId="6A380F58" w14:textId="0CD67FE5" w:rsidR="00D06432" w:rsidRPr="00483D92" w:rsidRDefault="00D06432" w:rsidP="008B7FCF">
      <w:pPr>
        <w:jc w:val="both"/>
        <w:rPr>
          <w:lang w:val="es-ES"/>
        </w:rPr>
      </w:pPr>
      <w:r w:rsidRPr="00D06432">
        <w:rPr>
          <w:lang w:val="es-ES"/>
        </w:rPr>
        <w:t>McKee, M., Sűzcs, S., Sárváry, A., Ádany, R., Kiryanov, N., Saburova, L., ... &amp; Leon, D. A. (2005). The composition of surrogate alcohols consumed in Russia. Alcoholism: Clinical and Experimental Research, 29(10), 1884-1888.</w:t>
      </w:r>
    </w:p>
    <w:p w14:paraId="79C14EC1" w14:textId="537300C0" w:rsidR="00ED492D" w:rsidRDefault="00ED492D" w:rsidP="008B7FCF">
      <w:pPr>
        <w:jc w:val="both"/>
        <w:rPr>
          <w:rFonts w:ascii="Arial" w:hAnsi="Arial" w:cs="Arial"/>
          <w:color w:val="222222"/>
          <w:sz w:val="20"/>
          <w:szCs w:val="20"/>
          <w:shd w:val="clear" w:color="auto" w:fill="FFFFFF"/>
        </w:rPr>
      </w:pPr>
    </w:p>
    <w:p w14:paraId="7DF0A641" w14:textId="77777777" w:rsidR="00ED492D" w:rsidRDefault="00ED492D" w:rsidP="008B7FCF">
      <w:pPr>
        <w:jc w:val="both"/>
      </w:pPr>
    </w:p>
    <w:p w14:paraId="0F726DA3" w14:textId="77777777" w:rsidR="008B7FCF" w:rsidRPr="00D76CE6" w:rsidRDefault="008B7FCF" w:rsidP="008B7FCF">
      <w:pPr>
        <w:jc w:val="both"/>
        <w:rPr>
          <w:lang w:val="es-ES"/>
        </w:rPr>
      </w:pPr>
    </w:p>
    <w:p w14:paraId="33E4CF6C" w14:textId="77777777" w:rsidR="008B7FCF" w:rsidRPr="00D76CE6" w:rsidRDefault="008B7FCF" w:rsidP="008B7FCF">
      <w:pPr>
        <w:jc w:val="both"/>
        <w:rPr>
          <w:lang w:val="es-ES"/>
        </w:rPr>
      </w:pPr>
      <w:r w:rsidRPr="00D76CE6">
        <w:rPr>
          <w:lang w:val="es-ES"/>
        </w:rPr>
        <w:t>References:</w:t>
      </w:r>
    </w:p>
    <w:p w14:paraId="6BF62777" w14:textId="77777777" w:rsidR="008B7FCF" w:rsidRPr="00D76CE6" w:rsidRDefault="008B7FCF" w:rsidP="008B7FCF">
      <w:pPr>
        <w:jc w:val="both"/>
        <w:rPr>
          <w:rFonts w:ascii="Arial" w:hAnsi="Arial" w:cs="Arial"/>
          <w:color w:val="222222"/>
          <w:sz w:val="20"/>
          <w:szCs w:val="20"/>
          <w:shd w:val="clear" w:color="auto" w:fill="FFFFFF"/>
          <w:lang w:val="es-ES"/>
        </w:rPr>
      </w:pPr>
    </w:p>
    <w:p w14:paraId="5D54FA23" w14:textId="77777777" w:rsidR="008B7FCF" w:rsidRPr="00D76CE6" w:rsidRDefault="008B7FCF" w:rsidP="008B7FCF">
      <w:pPr>
        <w:rPr>
          <w:lang w:val="fr-FR"/>
        </w:rPr>
      </w:pPr>
      <w:r w:rsidRPr="00D76CE6">
        <w:rPr>
          <w:lang w:val="es-ES"/>
        </w:rPr>
        <w:t>Jasilionis, D.; Meslé, F.; Shkolnikov, V. M. &amp; Vallin, J. (2011).</w:t>
      </w:r>
      <w:r>
        <w:rPr>
          <w:lang w:val="es-ES"/>
        </w:rPr>
        <w:t xml:space="preserve">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200CFEF0" w14:textId="77777777" w:rsidR="008B7FCF" w:rsidRDefault="008B7FCF" w:rsidP="008B7FCF">
      <w:pPr>
        <w:jc w:val="both"/>
        <w:rPr>
          <w:lang w:val="fr-FR"/>
        </w:rPr>
      </w:pPr>
      <w:r w:rsidRPr="00D76CE6">
        <w:rPr>
          <w:lang w:val="fr-FR"/>
        </w:rPr>
        <w:t xml:space="preserve"> </w:t>
      </w:r>
    </w:p>
    <w:p w14:paraId="2D9CF815" w14:textId="77777777" w:rsidR="008B7FCF" w:rsidRDefault="008B7FCF" w:rsidP="008B7FCF">
      <w:pPr>
        <w:jc w:val="both"/>
        <w:rPr>
          <w:rFonts w:eastAsia="Times New Roman" w:cs="Times New Roman"/>
          <w:color w:val="222222"/>
          <w:szCs w:val="24"/>
        </w:rPr>
      </w:pPr>
      <w:r w:rsidRPr="00D76CE6">
        <w:rPr>
          <w:lang w:val="fr-FR"/>
        </w:rPr>
        <w:t xml:space="preserve">Pechholdová, M., Camarda, C. G., Meslé, F., &amp; Vallin, J. (2017). </w:t>
      </w:r>
      <w:r w:rsidRPr="00256790">
        <w:t>Reconstructing Long-Term Coherent Cause-of-Death Series, a Necessary Step for Analyzing Trends. European Journal of Population, 1-22.</w:t>
      </w:r>
      <w:r w:rsidRPr="006B10D2">
        <w:rPr>
          <w:rFonts w:eastAsia="Times New Roman" w:cs="Times New Roman"/>
          <w:color w:val="222222"/>
          <w:szCs w:val="24"/>
        </w:rPr>
        <w:t xml:space="preserve"> </w:t>
      </w:r>
    </w:p>
    <w:p w14:paraId="79E60EA0" w14:textId="77777777" w:rsidR="008B7FCF" w:rsidRDefault="008B7FCF" w:rsidP="008B7FCF">
      <w:pPr>
        <w:jc w:val="both"/>
        <w:rPr>
          <w:rFonts w:eastAsia="Times New Roman" w:cs="Times New Roman"/>
          <w:color w:val="222222"/>
          <w:szCs w:val="24"/>
        </w:rPr>
      </w:pPr>
    </w:p>
    <w:p w14:paraId="09CBF788" w14:textId="77777777" w:rsidR="008B7FCF" w:rsidRPr="006B10D2" w:rsidRDefault="008B7FCF" w:rsidP="008B7FCF">
      <w:pPr>
        <w:jc w:val="both"/>
      </w:pPr>
      <w:r w:rsidRPr="00D76CE6">
        <w:rPr>
          <w:lang w:val="sv-SE"/>
        </w:rPr>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02D1DC7C" w14:textId="77777777" w:rsidR="00ED492D" w:rsidRPr="00847CAD" w:rsidRDefault="00ED492D" w:rsidP="0053754D">
      <w:pPr>
        <w:autoSpaceDE w:val="0"/>
        <w:autoSpaceDN w:val="0"/>
        <w:adjustRightInd w:val="0"/>
        <w:jc w:val="both"/>
        <w:rPr>
          <w:b/>
        </w:rPr>
      </w:pPr>
    </w:p>
    <w:p w14:paraId="1D49CEF5" w14:textId="6B5BF9E5" w:rsidR="00847CAD" w:rsidRDefault="00847CAD" w:rsidP="0053754D">
      <w:pPr>
        <w:autoSpaceDE w:val="0"/>
        <w:autoSpaceDN w:val="0"/>
        <w:adjustRightInd w:val="0"/>
        <w:jc w:val="both"/>
        <w:rPr>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3F16DAB9" w14:textId="4EBB5AA2" w:rsidR="00E11594" w:rsidRDefault="00E11594" w:rsidP="0053754D">
      <w:pPr>
        <w:autoSpaceDE w:val="0"/>
        <w:autoSpaceDN w:val="0"/>
        <w:adjustRightInd w:val="0"/>
        <w:jc w:val="both"/>
      </w:pPr>
    </w:p>
    <w:p w14:paraId="0490C9C7" w14:textId="292B0D41" w:rsidR="003A7DD7" w:rsidRDefault="003A7DD7" w:rsidP="0053754D">
      <w:pPr>
        <w:autoSpaceDE w:val="0"/>
        <w:autoSpaceDN w:val="0"/>
        <w:adjustRightInd w:val="0"/>
        <w:jc w:val="both"/>
      </w:pPr>
      <w:r>
        <w:t xml:space="preserve">We decided to study the period 1994-2010 for two reasons. Firstly, because the period preceding 1994, associated to the health crisis in some FSU countries, have been extensively studied. </w:t>
      </w:r>
      <w:r>
        <w:lastRenderedPageBreak/>
        <w:t xml:space="preserve">Secondly, because this period maximized data availability from the Human Cause-of-Death database. Allowing us to study up to eight countries with comparable information. </w:t>
      </w:r>
    </w:p>
    <w:p w14:paraId="0746DD69" w14:textId="6DF03E6D" w:rsidR="003A7DD7" w:rsidRDefault="003A7DD7" w:rsidP="0053754D">
      <w:pPr>
        <w:autoSpaceDE w:val="0"/>
        <w:autoSpaceDN w:val="0"/>
        <w:adjustRightInd w:val="0"/>
        <w:jc w:val="both"/>
      </w:pPr>
      <w:r>
        <w:t xml:space="preserve"> </w:t>
      </w:r>
    </w:p>
    <w:p w14:paraId="3497CE17" w14:textId="759E3B09" w:rsidR="003A7DD7" w:rsidRDefault="003A7DD7" w:rsidP="0053754D">
      <w:pPr>
        <w:autoSpaceDE w:val="0"/>
        <w:autoSpaceDN w:val="0"/>
        <w:adjustRightInd w:val="0"/>
        <w:jc w:val="both"/>
      </w:pPr>
      <w:r>
        <w:t>To make this clear in the manuscript, we changed the second paragraph in the data section to:</w:t>
      </w:r>
    </w:p>
    <w:p w14:paraId="4131FFE9" w14:textId="7033590D" w:rsidR="003A7DD7" w:rsidRPr="003A7DD7" w:rsidRDefault="003A7DD7" w:rsidP="0053754D">
      <w:pPr>
        <w:autoSpaceDE w:val="0"/>
        <w:autoSpaceDN w:val="0"/>
        <w:adjustRightInd w:val="0"/>
        <w:jc w:val="both"/>
        <w:rPr>
          <w:b/>
          <w:i/>
        </w:rPr>
      </w:pPr>
      <w:r w:rsidRPr="003A7DD7">
        <w:rPr>
          <w:i/>
          <w:color w:val="000000"/>
        </w:rPr>
        <w:t xml:space="preserve">Cause of death data came from the newly developed </w:t>
      </w:r>
      <w:r w:rsidRPr="003A7DD7">
        <w:rPr>
          <w:i/>
          <w:color w:val="000000"/>
        </w:rPr>
        <w:t>Human Cause of Death database (2016)</w:t>
      </w:r>
      <w:r w:rsidRPr="003A7DD7">
        <w:rPr>
          <w:i/>
          <w:color w:val="000000"/>
        </w:rPr>
        <w:t>, which provides coherent cause-specific mortality data time series from 1994 to 2010 for eight of the countries in the study (Belarus, Czech Republic, Poland, Russia, Ukraine, Estonia, Latvia and Lithuania). For inclusion into the database, a universal and standardized methodology was undertaken to redistribute deaths between 104 disease categories in 5-year age groups. We used these data to get the cause-specific proportion by 5-year age groups.</w:t>
      </w: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6885A2FB" w:rsid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Mortality increase in CEE countries started not in 1960 but since the mid-1960s </w:t>
      </w:r>
    </w:p>
    <w:p w14:paraId="69CA74D6" w14:textId="294431B7" w:rsidR="000B09DB" w:rsidRDefault="000B09DB" w:rsidP="000B09DB">
      <w:pPr>
        <w:pStyle w:val="ListParagraph"/>
        <w:autoSpaceDE w:val="0"/>
        <w:autoSpaceDN w:val="0"/>
        <w:adjustRightInd w:val="0"/>
        <w:jc w:val="both"/>
        <w:rPr>
          <w:rFonts w:ascii="Times New Roman" w:hAnsi="Times New Roman"/>
          <w:sz w:val="24"/>
          <w:lang w:val="en-US"/>
        </w:rPr>
      </w:pPr>
      <w:r w:rsidRPr="000B09DB">
        <w:rPr>
          <w:rFonts w:ascii="Times New Roman" w:hAnsi="Times New Roman"/>
          <w:sz w:val="24"/>
          <w:lang w:val="en-US"/>
        </w:rPr>
        <w:t>It is true that mortality increase, along life expectancy stagnation started after 1960. To make this point clearer we did the fo</w:t>
      </w:r>
      <w:r>
        <w:rPr>
          <w:rFonts w:ascii="Times New Roman" w:hAnsi="Times New Roman"/>
          <w:sz w:val="24"/>
          <w:lang w:val="en-US"/>
        </w:rPr>
        <w:t>llowing change</w:t>
      </w:r>
      <w:r w:rsidRPr="000B09DB">
        <w:rPr>
          <w:rFonts w:ascii="Times New Roman" w:hAnsi="Times New Roman"/>
          <w:sz w:val="24"/>
          <w:lang w:val="en-US"/>
        </w:rPr>
        <w:t>.</w:t>
      </w:r>
    </w:p>
    <w:p w14:paraId="021842F1" w14:textId="3EC35E19" w:rsidR="000B09DB" w:rsidRDefault="000B09DB" w:rsidP="000B09DB">
      <w:pPr>
        <w:pStyle w:val="ListParagraph"/>
        <w:autoSpaceDE w:val="0"/>
        <w:autoSpaceDN w:val="0"/>
        <w:adjustRightInd w:val="0"/>
        <w:jc w:val="both"/>
        <w:rPr>
          <w:rFonts w:ascii="Times New Roman" w:hAnsi="Times New Roman"/>
          <w:sz w:val="24"/>
          <w:lang w:val="en-US"/>
        </w:rPr>
      </w:pPr>
    </w:p>
    <w:p w14:paraId="67FDC896" w14:textId="1F2226CE" w:rsidR="000B09DB" w:rsidRPr="000B09DB" w:rsidRDefault="000B09DB" w:rsidP="000B09DB">
      <w:pPr>
        <w:pStyle w:val="ListParagraph"/>
        <w:autoSpaceDE w:val="0"/>
        <w:autoSpaceDN w:val="0"/>
        <w:adjustRightInd w:val="0"/>
        <w:jc w:val="both"/>
        <w:rPr>
          <w:rFonts w:ascii="Times New Roman" w:hAnsi="Times New Roman"/>
          <w:i/>
          <w:sz w:val="24"/>
          <w:lang w:val="en-US"/>
        </w:rPr>
      </w:pPr>
      <w:r>
        <w:rPr>
          <w:rFonts w:ascii="Times New Roman" w:hAnsi="Times New Roman"/>
          <w:sz w:val="24"/>
          <w:lang w:val="en-US"/>
        </w:rPr>
        <w:t xml:space="preserve">Introduction: change </w:t>
      </w:r>
      <w:r w:rsidRPr="000B09DB">
        <w:rPr>
          <w:rFonts w:ascii="Times New Roman" w:hAnsi="Times New Roman"/>
          <w:i/>
          <w:sz w:val="24"/>
          <w:lang w:val="en-US"/>
        </w:rPr>
        <w:t>“…</w:t>
      </w:r>
      <w:r w:rsidRPr="000B09DB">
        <w:rPr>
          <w:rFonts w:ascii="Times New Roman" w:hAnsi="Times New Roman"/>
          <w:i/>
          <w:sz w:val="24"/>
          <w:lang w:val="en-US"/>
        </w:rPr>
        <w:t xml:space="preserve">as parts of Central and Eastern Europe experienced an unprecedented period of stagnation and, in some countries, decrease in life expectancy at birth </w:t>
      </w:r>
      <w:r>
        <w:rPr>
          <w:rFonts w:ascii="Times New Roman" w:hAnsi="Times New Roman"/>
          <w:i/>
          <w:sz w:val="24"/>
          <w:lang w:val="en-US"/>
        </w:rPr>
        <w:t>after 1960</w:t>
      </w:r>
      <w:r w:rsidRPr="000B09DB">
        <w:rPr>
          <w:rFonts w:ascii="Times New Roman" w:hAnsi="Times New Roman"/>
          <w:i/>
          <w:sz w:val="24"/>
          <w:lang w:val="en-US"/>
        </w:rPr>
        <w:t>…”</w:t>
      </w:r>
      <w:r w:rsidRPr="000B09DB">
        <w:rPr>
          <w:rFonts w:ascii="Times New Roman" w:hAnsi="Times New Roman"/>
          <w:sz w:val="24"/>
          <w:lang w:val="en-US"/>
        </w:rPr>
        <w:t xml:space="preserve"> with </w:t>
      </w:r>
      <w:r w:rsidRPr="000B09DB">
        <w:rPr>
          <w:rFonts w:ascii="Times New Roman" w:hAnsi="Times New Roman"/>
          <w:i/>
          <w:sz w:val="24"/>
          <w:lang w:val="en-US"/>
        </w:rPr>
        <w:t>“…</w:t>
      </w:r>
      <w:r w:rsidRPr="000B09DB">
        <w:rPr>
          <w:rFonts w:ascii="Times New Roman" w:hAnsi="Times New Roman"/>
          <w:i/>
          <w:sz w:val="24"/>
          <w:lang w:val="en-US"/>
        </w:rPr>
        <w:t>as parts of Central and Eastern Europe experienced an unprecedented period of stagnation and, in some countries, decrease in life expectancy at birth around  the mid-1960s</w:t>
      </w:r>
      <w:r w:rsidRPr="000B09DB">
        <w:rPr>
          <w:rFonts w:ascii="Times New Roman" w:hAnsi="Times New Roman"/>
          <w:i/>
          <w:sz w:val="24"/>
          <w:lang w:val="en-US"/>
        </w:rPr>
        <w:t>…”</w:t>
      </w:r>
    </w:p>
    <w:p w14:paraId="13DA3109" w14:textId="77777777" w:rsidR="000B09DB" w:rsidRPr="000B09DB" w:rsidRDefault="000B09DB" w:rsidP="000B09DB">
      <w:pPr>
        <w:pStyle w:val="ListParagraph"/>
        <w:autoSpaceDE w:val="0"/>
        <w:autoSpaceDN w:val="0"/>
        <w:adjustRightInd w:val="0"/>
        <w:jc w:val="both"/>
        <w:rPr>
          <w:rFonts w:ascii="Times New Roman" w:hAnsi="Times New Roman"/>
          <w:sz w:val="24"/>
          <w:lang w:val="en-US"/>
        </w:rPr>
      </w:pPr>
    </w:p>
    <w:p w14:paraId="6BF929AF" w14:textId="011BFF2F" w:rsidR="00737C05" w:rsidRDefault="00847CAD" w:rsidP="00737C05">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2A194C32" w14:textId="37FFFCE2" w:rsidR="00737C05" w:rsidRDefault="00737C05" w:rsidP="00737C05">
      <w:pPr>
        <w:autoSpaceDE w:val="0"/>
        <w:autoSpaceDN w:val="0"/>
        <w:adjustRightInd w:val="0"/>
        <w:ind w:left="720"/>
        <w:jc w:val="both"/>
        <w:rPr>
          <w:color w:val="000000"/>
        </w:rPr>
      </w:pPr>
      <w:r w:rsidRPr="00817F61">
        <w:t xml:space="preserve">Thanks for this observation. </w:t>
      </w:r>
      <w:r w:rsidR="00817F61">
        <w:t xml:space="preserve">We rephrased </w:t>
      </w:r>
      <w:r w:rsidR="00817F61" w:rsidRPr="00817F61">
        <w:rPr>
          <w:i/>
        </w:rPr>
        <w:t>“…</w:t>
      </w:r>
      <w:r w:rsidR="00817F61" w:rsidRPr="00817F61">
        <w:rPr>
          <w:i/>
          <w:color w:val="000000"/>
        </w:rPr>
        <w:t>led to lower levels of life expectancy and larger mortality inequalities in this region compared with western countries in Europe</w:t>
      </w:r>
      <w:r w:rsidR="00817F61" w:rsidRPr="00817F61">
        <w:rPr>
          <w:i/>
          <w:color w:val="000000"/>
        </w:rPr>
        <w:t xml:space="preserve"> (Mackenbach et al. 2008”</w:t>
      </w:r>
      <w:r w:rsidR="00817F61">
        <w:rPr>
          <w:i/>
          <w:color w:val="000000"/>
        </w:rPr>
        <w:t xml:space="preserve"> </w:t>
      </w:r>
      <w:r w:rsidR="00817F61">
        <w:rPr>
          <w:color w:val="000000"/>
        </w:rPr>
        <w:t>to “…</w:t>
      </w:r>
      <w:r w:rsidR="00817F61" w:rsidRPr="00817F61">
        <w:rPr>
          <w:i/>
          <w:color w:val="000000"/>
        </w:rPr>
        <w:t>led to lower levels of life expectancy and larger</w:t>
      </w:r>
      <w:r w:rsidR="00817F61">
        <w:rPr>
          <w:i/>
          <w:color w:val="000000"/>
        </w:rPr>
        <w:t xml:space="preserve"> within-country mortality inequalities according to education level in this region compared to western countries in Europe” </w:t>
      </w:r>
      <w:r w:rsidR="00817F61">
        <w:rPr>
          <w:color w:val="000000"/>
        </w:rPr>
        <w:t>to better reflect results in the paper by Mackenbach et al 2008.</w:t>
      </w:r>
    </w:p>
    <w:p w14:paraId="72953FAB" w14:textId="7DD5AF40" w:rsidR="0032147D" w:rsidRDefault="0032147D" w:rsidP="00737C05">
      <w:pPr>
        <w:autoSpaceDE w:val="0"/>
        <w:autoSpaceDN w:val="0"/>
        <w:adjustRightInd w:val="0"/>
        <w:ind w:left="720"/>
        <w:jc w:val="both"/>
        <w:rPr>
          <w:color w:val="000000"/>
        </w:rPr>
      </w:pPr>
    </w:p>
    <w:p w14:paraId="09B128A8" w14:textId="654674E0" w:rsidR="0032147D" w:rsidRDefault="0032147D" w:rsidP="00737C05">
      <w:pPr>
        <w:autoSpaceDE w:val="0"/>
        <w:autoSpaceDN w:val="0"/>
        <w:adjustRightInd w:val="0"/>
        <w:ind w:left="720"/>
        <w:jc w:val="both"/>
        <w:rPr>
          <w:i/>
          <w:color w:val="000000"/>
        </w:rPr>
      </w:pPr>
      <w:r>
        <w:rPr>
          <w:color w:val="000000"/>
        </w:rPr>
        <w:t xml:space="preserve">In addition, Timonin et al (2016)’s paper is included in the discussion section: </w:t>
      </w:r>
      <w:r w:rsidRPr="00A10858">
        <w:rPr>
          <w:i/>
          <w:color w:val="000000"/>
        </w:rPr>
        <w:t>“</w:t>
      </w:r>
      <w:r w:rsidR="00A10858">
        <w:rPr>
          <w:i/>
          <w:color w:val="000000"/>
        </w:rPr>
        <w:t>…</w:t>
      </w:r>
      <w:r w:rsidRPr="00A10858">
        <w:rPr>
          <w:i/>
          <w:color w:val="000000"/>
        </w:rPr>
        <w:t xml:space="preserve">However, while mortality change after the break-up of the Soviet Union led to sharply diverging trends in life expectancy, divergence in lifespan variation between countries was less dramatic. This complements recent work by </w:t>
      </w:r>
      <w:r w:rsidRPr="00A10858">
        <w:rPr>
          <w:i/>
          <w:color w:val="000000"/>
        </w:rPr>
        <w:t>Timonin et al. (2016)</w:t>
      </w:r>
      <w:r w:rsidRPr="00A10858">
        <w:rPr>
          <w:i/>
          <w:color w:val="000000"/>
        </w:rPr>
        <w:t xml:space="preserve"> who found that differences between geopolitical regions in life expectancy were more important than increasing within-region disparities in ages at death in driving life expectancy divergence in developed countries from 1970 to 2010.</w:t>
      </w:r>
      <w:r w:rsidRPr="00A10858">
        <w:rPr>
          <w:i/>
          <w:color w:val="000000"/>
        </w:rPr>
        <w:t>”</w:t>
      </w:r>
    </w:p>
    <w:p w14:paraId="5AFE91C3" w14:textId="66703BA1" w:rsidR="00EC46EA" w:rsidRDefault="00EC46EA" w:rsidP="00737C05">
      <w:pPr>
        <w:autoSpaceDE w:val="0"/>
        <w:autoSpaceDN w:val="0"/>
        <w:adjustRightInd w:val="0"/>
        <w:ind w:left="720"/>
        <w:jc w:val="both"/>
        <w:rPr>
          <w:i/>
          <w:color w:val="000000"/>
        </w:rPr>
      </w:pPr>
    </w:p>
    <w:p w14:paraId="7AAC8A11" w14:textId="210E26AD" w:rsidR="00EC46EA" w:rsidRDefault="00EC46EA" w:rsidP="00737C05">
      <w:pPr>
        <w:autoSpaceDE w:val="0"/>
        <w:autoSpaceDN w:val="0"/>
        <w:adjustRightInd w:val="0"/>
        <w:ind w:left="720"/>
        <w:jc w:val="both"/>
        <w:rPr>
          <w:color w:val="000000"/>
        </w:rPr>
      </w:pPr>
      <w:r w:rsidRPr="00EC46EA">
        <w:rPr>
          <w:color w:val="000000"/>
        </w:rPr>
        <w:t>References:</w:t>
      </w:r>
    </w:p>
    <w:p w14:paraId="36EE827B" w14:textId="3A3D8623" w:rsidR="00EC46EA" w:rsidRDefault="00EC46EA" w:rsidP="00737C05">
      <w:pPr>
        <w:autoSpaceDE w:val="0"/>
        <w:autoSpaceDN w:val="0"/>
        <w:adjustRightInd w:val="0"/>
        <w:ind w:left="720"/>
        <w:jc w:val="both"/>
        <w:rPr>
          <w:color w:val="000000"/>
        </w:rPr>
      </w:pPr>
    </w:p>
    <w:p w14:paraId="654FBA30" w14:textId="2DC23F27" w:rsidR="00EC46EA" w:rsidRPr="00EC46EA" w:rsidRDefault="00EC46EA" w:rsidP="00737C05">
      <w:pPr>
        <w:autoSpaceDE w:val="0"/>
        <w:autoSpaceDN w:val="0"/>
        <w:adjustRightInd w:val="0"/>
        <w:ind w:left="720"/>
        <w:jc w:val="both"/>
        <w:rPr>
          <w:color w:val="000000"/>
        </w:rPr>
      </w:pPr>
      <w:r w:rsidRPr="00EC46EA">
        <w:rPr>
          <w:color w:val="000000"/>
        </w:rPr>
        <w:lastRenderedPageBreak/>
        <w:t>Mackenbach, J. P., Stirbu, I., Roskam, A. J. R., Schaap, M. M., Menvielle, G., Leinsalu, M., &amp; Kunst, A. E. (2008). Socioeconomic inequalities in health in 22 European countries. New England Journal of Medicine, 358(23), 2468-2481.</w:t>
      </w:r>
    </w:p>
    <w:p w14:paraId="0FFD86B3" w14:textId="77777777" w:rsidR="00EC46EA" w:rsidRPr="00EC46EA" w:rsidRDefault="00EC46EA" w:rsidP="00737C05">
      <w:pPr>
        <w:autoSpaceDE w:val="0"/>
        <w:autoSpaceDN w:val="0"/>
        <w:adjustRightInd w:val="0"/>
        <w:ind w:left="720"/>
        <w:jc w:val="both"/>
        <w:rPr>
          <w:color w:val="000000"/>
        </w:rPr>
      </w:pPr>
    </w:p>
    <w:p w14:paraId="695EEC7B" w14:textId="11EDA49C" w:rsidR="0032147D" w:rsidRPr="00EC46EA" w:rsidRDefault="00EC46EA" w:rsidP="00737C05">
      <w:pPr>
        <w:autoSpaceDE w:val="0"/>
        <w:autoSpaceDN w:val="0"/>
        <w:adjustRightInd w:val="0"/>
        <w:ind w:left="720"/>
        <w:jc w:val="both"/>
        <w:rPr>
          <w:color w:val="000000"/>
        </w:rPr>
      </w:pPr>
      <w:r w:rsidRPr="00EC46EA">
        <w:rPr>
          <w:color w:val="000000"/>
        </w:rPr>
        <w:t>Timonin, S., Shkolnikov, V. M., Jasilionis, D., Grigoriev, P., Jdanov, D. A., &amp; Leon, D. A. (2016). Disparities in length of life across developed countries: measuring and decomposing changes over time within and between country groups. Population health metrics, 14(1), 29.</w:t>
      </w:r>
    </w:p>
    <w:p w14:paraId="01D741AC" w14:textId="49A92D3E" w:rsidR="00EC46EA" w:rsidRPr="00817F61" w:rsidRDefault="00EC46EA" w:rsidP="00EC46EA">
      <w:pPr>
        <w:autoSpaceDE w:val="0"/>
        <w:autoSpaceDN w:val="0"/>
        <w:adjustRightInd w:val="0"/>
        <w:jc w:val="both"/>
      </w:pPr>
    </w:p>
    <w:p w14:paraId="007FAB16" w14:textId="77777777" w:rsidR="000B09DB" w:rsidRPr="000B09DB" w:rsidRDefault="000B09DB" w:rsidP="000B09DB">
      <w:pPr>
        <w:autoSpaceDE w:val="0"/>
        <w:autoSpaceDN w:val="0"/>
        <w:adjustRightInd w:val="0"/>
        <w:jc w:val="both"/>
        <w:rPr>
          <w:b/>
        </w:rPr>
      </w:pPr>
    </w:p>
    <w:p w14:paraId="2B4297F5" w14:textId="6D1A1F3B" w:rsidR="00FD73F1" w:rsidRDefault="00847CAD" w:rsidP="00FD73F1">
      <w:pPr>
        <w:pStyle w:val="ListParagraph"/>
        <w:numPr>
          <w:ilvl w:val="0"/>
          <w:numId w:val="4"/>
        </w:numPr>
        <w:autoSpaceDE w:val="0"/>
        <w:autoSpaceDN w:val="0"/>
        <w:adjustRightInd w:val="0"/>
        <w:jc w:val="both"/>
        <w:rPr>
          <w:rFonts w:ascii="Times New Roman" w:hAnsi="Times New Roman"/>
          <w:b/>
          <w:sz w:val="24"/>
          <w:lang w:val="en-US"/>
        </w:rPr>
      </w:pPr>
      <w:r w:rsidRPr="003A7DD7">
        <w:rPr>
          <w:rFonts w:ascii="Times New Roman" w:hAnsi="Times New Roman"/>
          <w:b/>
          <w:sz w:val="24"/>
          <w:lang w:val="en-US"/>
        </w:rPr>
        <w:t xml:space="preserve"> I have not really understood why such cause of death as “birth conditions” is used in the figure 5.</w:t>
      </w:r>
      <w:r w:rsidR="00E11594" w:rsidRPr="003A7DD7">
        <w:rPr>
          <w:rFonts w:ascii="Times New Roman" w:hAnsi="Times New Roman"/>
          <w:b/>
          <w:sz w:val="24"/>
          <w:lang w:val="en-US"/>
        </w:rPr>
        <w:t xml:space="preserve"> </w:t>
      </w:r>
    </w:p>
    <w:p w14:paraId="1E2D1C23" w14:textId="50300C6D" w:rsidR="00FD73F1" w:rsidRPr="00FD73F1" w:rsidRDefault="00FD73F1" w:rsidP="00FD73F1">
      <w:pPr>
        <w:pStyle w:val="ListParagraph"/>
        <w:autoSpaceDE w:val="0"/>
        <w:autoSpaceDN w:val="0"/>
        <w:adjustRightInd w:val="0"/>
        <w:jc w:val="both"/>
        <w:rPr>
          <w:rFonts w:ascii="Times New Roman" w:hAnsi="Times New Roman"/>
          <w:sz w:val="24"/>
          <w:lang w:val="en-US"/>
        </w:rPr>
      </w:pPr>
      <w:r w:rsidRPr="00FD73F1">
        <w:rPr>
          <w:rFonts w:ascii="Times New Roman" w:hAnsi="Times New Roman"/>
          <w:sz w:val="24"/>
          <w:lang w:val="en-US"/>
        </w:rPr>
        <w:t>Thanks for this ob</w:t>
      </w:r>
      <w:r>
        <w:rPr>
          <w:rFonts w:ascii="Times New Roman" w:hAnsi="Times New Roman"/>
          <w:sz w:val="24"/>
          <w:lang w:val="en-US"/>
        </w:rPr>
        <w:t>servation. T</w:t>
      </w:r>
      <w:r w:rsidRPr="00FD73F1">
        <w:rPr>
          <w:rFonts w:ascii="Times New Roman" w:hAnsi="Times New Roman"/>
          <w:sz w:val="24"/>
          <w:lang w:val="en-US"/>
        </w:rPr>
        <w:t>he figures have been corrected and the label “birth conditions”</w:t>
      </w:r>
      <w:r>
        <w:rPr>
          <w:rFonts w:ascii="Times New Roman" w:hAnsi="Times New Roman"/>
          <w:sz w:val="24"/>
          <w:lang w:val="en-US"/>
        </w:rPr>
        <w:t xml:space="preserve"> is not included anymore.</w:t>
      </w:r>
    </w:p>
    <w:p w14:paraId="0D750486" w14:textId="1E9CB397" w:rsid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p>
    <w:p w14:paraId="7CA2666B" w14:textId="58720151" w:rsidR="001170B6" w:rsidRDefault="001170B6" w:rsidP="0053754D">
      <w:pPr>
        <w:autoSpaceDE w:val="0"/>
        <w:autoSpaceDN w:val="0"/>
        <w:adjustRightInd w:val="0"/>
        <w:jc w:val="both"/>
        <w:rPr>
          <w:b/>
        </w:rPr>
      </w:pPr>
    </w:p>
    <w:p w14:paraId="28A9620F" w14:textId="5630301D" w:rsidR="001170B6" w:rsidRDefault="006D7C1F" w:rsidP="0053754D">
      <w:pPr>
        <w:autoSpaceDE w:val="0"/>
        <w:autoSpaceDN w:val="0"/>
        <w:adjustRightInd w:val="0"/>
        <w:jc w:val="both"/>
      </w:pPr>
      <w:r>
        <w:t>Our decomposition results (</w:t>
      </w:r>
      <w:hyperlink r:id="rId29" w:history="1">
        <w:r w:rsidRPr="005E75AA">
          <w:rPr>
            <w:rStyle w:val="Hyperlink"/>
          </w:rPr>
          <w:t>https://demographs.shinyapps.io/CEE_App/</w:t>
        </w:r>
      </w:hyperlink>
      <w:r>
        <w:t xml:space="preserve"> selecting Break 4 as 2010) suggest that this could be caused by stagnation in mortality improvements in ages below 60 offset by larger progress above this age. </w:t>
      </w:r>
      <w:r w:rsidR="001170B6" w:rsidRPr="00BD13B8">
        <w:t>A recent paper</w:t>
      </w:r>
      <w:r w:rsidR="00BD13B8" w:rsidRPr="00BD13B8">
        <w:t xml:space="preserve"> by </w:t>
      </w:r>
      <w:r w:rsidR="001170B6" w:rsidRPr="00BD13B8">
        <w:t xml:space="preserve">Timonin et al </w:t>
      </w:r>
      <w:r w:rsidR="00BD13B8" w:rsidRPr="00BD13B8">
        <w:t>(</w:t>
      </w:r>
      <w:r w:rsidR="001170B6" w:rsidRPr="00BD13B8">
        <w:t xml:space="preserve">2017) </w:t>
      </w:r>
      <w:r w:rsidR="00BD13B8" w:rsidRPr="00BD13B8">
        <w:t>suggest that this could be a result of uneven progress in reducing cardiovascular mortality at the subregional level in Russia offset by convergence in under-60 mortality.</w:t>
      </w:r>
      <w:bookmarkStart w:id="1" w:name="_GoBack"/>
      <w:bookmarkEnd w:id="1"/>
    </w:p>
    <w:p w14:paraId="404D7314" w14:textId="0451B3CF" w:rsidR="00332447" w:rsidRDefault="00332447" w:rsidP="0053754D">
      <w:pPr>
        <w:autoSpaceDE w:val="0"/>
        <w:autoSpaceDN w:val="0"/>
        <w:adjustRightInd w:val="0"/>
        <w:jc w:val="both"/>
      </w:pPr>
    </w:p>
    <w:p w14:paraId="45697CBA" w14:textId="34AE0C9E" w:rsidR="00332447" w:rsidRDefault="00332447" w:rsidP="0053754D">
      <w:pPr>
        <w:autoSpaceDE w:val="0"/>
        <w:autoSpaceDN w:val="0"/>
        <w:adjustRightInd w:val="0"/>
        <w:jc w:val="both"/>
      </w:pPr>
      <w:r>
        <w:t>References:</w:t>
      </w:r>
    </w:p>
    <w:p w14:paraId="1426E1BE" w14:textId="77777777" w:rsidR="00332447" w:rsidRDefault="00332447" w:rsidP="0053754D">
      <w:pPr>
        <w:autoSpaceDE w:val="0"/>
        <w:autoSpaceDN w:val="0"/>
        <w:adjustRightInd w:val="0"/>
        <w:jc w:val="both"/>
      </w:pPr>
    </w:p>
    <w:p w14:paraId="441BD6BC" w14:textId="7E706E11" w:rsidR="00332447" w:rsidRPr="00BD13B8" w:rsidRDefault="00332447" w:rsidP="0053754D">
      <w:pPr>
        <w:autoSpaceDE w:val="0"/>
        <w:autoSpaceDN w:val="0"/>
        <w:adjustRightInd w:val="0"/>
        <w:jc w:val="both"/>
      </w:pPr>
      <w:r w:rsidRPr="00332447">
        <w:t>Timonin, S., Danilova, I., Andreev, E., &amp; Shkolnikov, V. M. (2017). Recent Mortality Trend Reversal in Russia: Are Regions Following the Same Tempo?. European Journal of Population, 33(5), 733-763.</w:t>
      </w:r>
    </w:p>
    <w:p w14:paraId="34927626" w14:textId="518E8133" w:rsidR="002010C1" w:rsidRPr="00332447" w:rsidRDefault="00E5567B" w:rsidP="00332447">
      <w:pPr>
        <w:autoSpaceDE w:val="0"/>
        <w:autoSpaceDN w:val="0"/>
        <w:adjustRightInd w:val="0"/>
        <w:jc w:val="both"/>
      </w:pPr>
      <w:r w:rsidRPr="00332447">
        <w:cr/>
      </w:r>
    </w:p>
    <w:p w14:paraId="7327546E" w14:textId="7A737277" w:rsidR="002010C1" w:rsidRPr="00332447" w:rsidRDefault="002010C1" w:rsidP="00332447">
      <w:pPr>
        <w:autoSpaceDE w:val="0"/>
        <w:autoSpaceDN w:val="0"/>
        <w:adjustRightInd w:val="0"/>
        <w:jc w:val="both"/>
      </w:pPr>
      <w:r w:rsidRPr="00332447">
        <w:cr/>
      </w:r>
    </w:p>
    <w:p w14:paraId="6B7FAA39" w14:textId="77777777" w:rsidR="002010C1" w:rsidRDefault="002010C1" w:rsidP="0053754D">
      <w:pPr>
        <w:jc w:val="both"/>
      </w:pPr>
    </w:p>
    <w:sectPr w:rsidR="002010C1" w:rsidSect="00BD3FF6">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sé Manuel Aburto" w:date="2018-03-16T19:43:00Z" w:initials="JMA">
    <w:p w14:paraId="23EEFDFB" w14:textId="651B5B5C" w:rsidR="00641A6E" w:rsidRDefault="00641A6E">
      <w:pPr>
        <w:pStyle w:val="CommentText"/>
      </w:pPr>
      <w:r>
        <w:rPr>
          <w:rStyle w:val="CommentReference"/>
        </w:rPr>
        <w:annotationRef/>
      </w:r>
      <w:r>
        <w:rPr>
          <w:rStyle w:val="CommentReference"/>
        </w:rPr>
        <w:t>Didn’t understand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EEFD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50A13" w14:textId="77777777" w:rsidR="00F2224F" w:rsidRDefault="00F2224F" w:rsidP="00111E2D">
      <w:r>
        <w:separator/>
      </w:r>
    </w:p>
  </w:endnote>
  <w:endnote w:type="continuationSeparator" w:id="0">
    <w:p w14:paraId="0E3B1845" w14:textId="77777777" w:rsidR="00F2224F" w:rsidRDefault="00F2224F"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637326"/>
      <w:docPartObj>
        <w:docPartGallery w:val="Page Numbers (Bottom of Page)"/>
        <w:docPartUnique/>
      </w:docPartObj>
    </w:sdtPr>
    <w:sdtEndPr>
      <w:rPr>
        <w:noProof/>
      </w:rPr>
    </w:sdtEndPr>
    <w:sdtContent>
      <w:p w14:paraId="7250C661" w14:textId="5CE6E8FA" w:rsidR="00641A6E" w:rsidRDefault="00641A6E">
        <w:pPr>
          <w:pStyle w:val="Footer"/>
          <w:jc w:val="right"/>
        </w:pPr>
        <w:r>
          <w:fldChar w:fldCharType="begin"/>
        </w:r>
        <w:r>
          <w:instrText xml:space="preserve"> PAGE   \* MERGEFORMAT </w:instrText>
        </w:r>
        <w:r>
          <w:fldChar w:fldCharType="separate"/>
        </w:r>
        <w:r w:rsidR="006D7C1F">
          <w:rPr>
            <w:noProof/>
          </w:rPr>
          <w:t>29</w:t>
        </w:r>
        <w:r>
          <w:rPr>
            <w:noProof/>
          </w:rPr>
          <w:fldChar w:fldCharType="end"/>
        </w:r>
      </w:p>
    </w:sdtContent>
  </w:sdt>
  <w:p w14:paraId="1FD77DBD" w14:textId="77777777" w:rsidR="00641A6E" w:rsidRDefault="00641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1E803" w14:textId="77777777" w:rsidR="00F2224F" w:rsidRDefault="00F2224F" w:rsidP="00111E2D">
      <w:r>
        <w:separator/>
      </w:r>
    </w:p>
  </w:footnote>
  <w:footnote w:type="continuationSeparator" w:id="0">
    <w:p w14:paraId="5573F384" w14:textId="77777777" w:rsidR="00F2224F" w:rsidRDefault="00F2224F" w:rsidP="00111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54ED6"/>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A6857"/>
    <w:multiLevelType w:val="hybridMultilevel"/>
    <w:tmpl w:val="7A523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80E35"/>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é Manuel Aburto">
    <w15:presenceInfo w15:providerId="AD" w15:userId="S-1-5-21-2052111302-562591055-725345543-22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139CC"/>
    <w:rsid w:val="00020304"/>
    <w:rsid w:val="000250FC"/>
    <w:rsid w:val="00031891"/>
    <w:rsid w:val="000326DE"/>
    <w:rsid w:val="00032E21"/>
    <w:rsid w:val="00033919"/>
    <w:rsid w:val="00033A2E"/>
    <w:rsid w:val="00034CD9"/>
    <w:rsid w:val="000352B2"/>
    <w:rsid w:val="00036FA8"/>
    <w:rsid w:val="000378EE"/>
    <w:rsid w:val="0004157E"/>
    <w:rsid w:val="0004277E"/>
    <w:rsid w:val="000448BE"/>
    <w:rsid w:val="00044A3C"/>
    <w:rsid w:val="00046D5C"/>
    <w:rsid w:val="00050BE2"/>
    <w:rsid w:val="00051B1F"/>
    <w:rsid w:val="00052FBE"/>
    <w:rsid w:val="00054324"/>
    <w:rsid w:val="00054DD6"/>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09DB"/>
    <w:rsid w:val="000B1195"/>
    <w:rsid w:val="000B124A"/>
    <w:rsid w:val="000B3837"/>
    <w:rsid w:val="000C48B4"/>
    <w:rsid w:val="000C7AC4"/>
    <w:rsid w:val="000D2831"/>
    <w:rsid w:val="000E0909"/>
    <w:rsid w:val="000E1A4C"/>
    <w:rsid w:val="000E38CD"/>
    <w:rsid w:val="000E4DC3"/>
    <w:rsid w:val="000E5CC6"/>
    <w:rsid w:val="000E622E"/>
    <w:rsid w:val="000F0BE9"/>
    <w:rsid w:val="000F1BD4"/>
    <w:rsid w:val="000F1CDD"/>
    <w:rsid w:val="000F3040"/>
    <w:rsid w:val="000F3999"/>
    <w:rsid w:val="000F3D91"/>
    <w:rsid w:val="000F482F"/>
    <w:rsid w:val="00101B2C"/>
    <w:rsid w:val="00103DA3"/>
    <w:rsid w:val="00105B5E"/>
    <w:rsid w:val="00107161"/>
    <w:rsid w:val="00107767"/>
    <w:rsid w:val="00111E2D"/>
    <w:rsid w:val="00112EBD"/>
    <w:rsid w:val="001137B8"/>
    <w:rsid w:val="00114AA2"/>
    <w:rsid w:val="001170B6"/>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597"/>
    <w:rsid w:val="0018093F"/>
    <w:rsid w:val="00187043"/>
    <w:rsid w:val="00190709"/>
    <w:rsid w:val="0019176D"/>
    <w:rsid w:val="0019334B"/>
    <w:rsid w:val="0019693D"/>
    <w:rsid w:val="001A1F1B"/>
    <w:rsid w:val="001A2B25"/>
    <w:rsid w:val="001A37FE"/>
    <w:rsid w:val="001A460F"/>
    <w:rsid w:val="001A7EC9"/>
    <w:rsid w:val="001B0E8B"/>
    <w:rsid w:val="001B0E96"/>
    <w:rsid w:val="001B1004"/>
    <w:rsid w:val="001B1416"/>
    <w:rsid w:val="001B1DF2"/>
    <w:rsid w:val="001B23C3"/>
    <w:rsid w:val="001B244B"/>
    <w:rsid w:val="001B349A"/>
    <w:rsid w:val="001B6CF8"/>
    <w:rsid w:val="001C343E"/>
    <w:rsid w:val="001D00C7"/>
    <w:rsid w:val="001D075A"/>
    <w:rsid w:val="001D38C3"/>
    <w:rsid w:val="001E4D5C"/>
    <w:rsid w:val="001E62FD"/>
    <w:rsid w:val="001F142D"/>
    <w:rsid w:val="001F79E5"/>
    <w:rsid w:val="00200DA9"/>
    <w:rsid w:val="00201071"/>
    <w:rsid w:val="002010C1"/>
    <w:rsid w:val="0020160C"/>
    <w:rsid w:val="002043D9"/>
    <w:rsid w:val="002067DB"/>
    <w:rsid w:val="00207D6D"/>
    <w:rsid w:val="002137E8"/>
    <w:rsid w:val="00213A78"/>
    <w:rsid w:val="0022090B"/>
    <w:rsid w:val="00220B49"/>
    <w:rsid w:val="00222245"/>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6790"/>
    <w:rsid w:val="00257A24"/>
    <w:rsid w:val="00262D78"/>
    <w:rsid w:val="00274343"/>
    <w:rsid w:val="00274DE3"/>
    <w:rsid w:val="00275012"/>
    <w:rsid w:val="00275324"/>
    <w:rsid w:val="00276231"/>
    <w:rsid w:val="00281CE3"/>
    <w:rsid w:val="00282378"/>
    <w:rsid w:val="00282A2C"/>
    <w:rsid w:val="00283409"/>
    <w:rsid w:val="00286A4D"/>
    <w:rsid w:val="00295AE2"/>
    <w:rsid w:val="00297A2C"/>
    <w:rsid w:val="002A25CF"/>
    <w:rsid w:val="002A6470"/>
    <w:rsid w:val="002A6643"/>
    <w:rsid w:val="002A7ED9"/>
    <w:rsid w:val="002B11C7"/>
    <w:rsid w:val="002B2056"/>
    <w:rsid w:val="002B2BAA"/>
    <w:rsid w:val="002B4381"/>
    <w:rsid w:val="002B56AB"/>
    <w:rsid w:val="002C20A7"/>
    <w:rsid w:val="002C333F"/>
    <w:rsid w:val="002C3AF4"/>
    <w:rsid w:val="002C6D6F"/>
    <w:rsid w:val="002C6DDA"/>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0978"/>
    <w:rsid w:val="0032147D"/>
    <w:rsid w:val="0032214D"/>
    <w:rsid w:val="003244F4"/>
    <w:rsid w:val="00326457"/>
    <w:rsid w:val="00332447"/>
    <w:rsid w:val="00335498"/>
    <w:rsid w:val="00336286"/>
    <w:rsid w:val="003405DE"/>
    <w:rsid w:val="003413DE"/>
    <w:rsid w:val="00341C58"/>
    <w:rsid w:val="00342CA1"/>
    <w:rsid w:val="00344170"/>
    <w:rsid w:val="00351A93"/>
    <w:rsid w:val="0035254A"/>
    <w:rsid w:val="0035340E"/>
    <w:rsid w:val="00356719"/>
    <w:rsid w:val="00360ACE"/>
    <w:rsid w:val="00362B69"/>
    <w:rsid w:val="0036306C"/>
    <w:rsid w:val="003668E6"/>
    <w:rsid w:val="00367539"/>
    <w:rsid w:val="00367546"/>
    <w:rsid w:val="00371BF6"/>
    <w:rsid w:val="003755B0"/>
    <w:rsid w:val="00376A00"/>
    <w:rsid w:val="00382300"/>
    <w:rsid w:val="003826E5"/>
    <w:rsid w:val="00384ACE"/>
    <w:rsid w:val="00387A58"/>
    <w:rsid w:val="00390FD7"/>
    <w:rsid w:val="00392CED"/>
    <w:rsid w:val="00393E25"/>
    <w:rsid w:val="0039750F"/>
    <w:rsid w:val="00397B9A"/>
    <w:rsid w:val="003A445F"/>
    <w:rsid w:val="003A684F"/>
    <w:rsid w:val="003A7DD7"/>
    <w:rsid w:val="003B13ED"/>
    <w:rsid w:val="003B63F2"/>
    <w:rsid w:val="003C1312"/>
    <w:rsid w:val="003C32E0"/>
    <w:rsid w:val="003C4037"/>
    <w:rsid w:val="003C461F"/>
    <w:rsid w:val="003C566A"/>
    <w:rsid w:val="003C7E1E"/>
    <w:rsid w:val="003D141E"/>
    <w:rsid w:val="003D1DAB"/>
    <w:rsid w:val="003D4BC2"/>
    <w:rsid w:val="003D5E2F"/>
    <w:rsid w:val="003E0792"/>
    <w:rsid w:val="003F0262"/>
    <w:rsid w:val="003F1760"/>
    <w:rsid w:val="003F2E29"/>
    <w:rsid w:val="003F6508"/>
    <w:rsid w:val="003F69AC"/>
    <w:rsid w:val="004014B5"/>
    <w:rsid w:val="00404C49"/>
    <w:rsid w:val="0040556D"/>
    <w:rsid w:val="00405FDA"/>
    <w:rsid w:val="00423766"/>
    <w:rsid w:val="00424EAB"/>
    <w:rsid w:val="00425B13"/>
    <w:rsid w:val="00432A5D"/>
    <w:rsid w:val="0043350D"/>
    <w:rsid w:val="00433F40"/>
    <w:rsid w:val="0044264F"/>
    <w:rsid w:val="00442C2A"/>
    <w:rsid w:val="0045118A"/>
    <w:rsid w:val="00452E05"/>
    <w:rsid w:val="00453053"/>
    <w:rsid w:val="00453E47"/>
    <w:rsid w:val="00463763"/>
    <w:rsid w:val="004641A8"/>
    <w:rsid w:val="00466637"/>
    <w:rsid w:val="00467608"/>
    <w:rsid w:val="00471201"/>
    <w:rsid w:val="004712B6"/>
    <w:rsid w:val="0047499B"/>
    <w:rsid w:val="0047635A"/>
    <w:rsid w:val="00482126"/>
    <w:rsid w:val="00482BF1"/>
    <w:rsid w:val="00483D92"/>
    <w:rsid w:val="00486CC5"/>
    <w:rsid w:val="00493777"/>
    <w:rsid w:val="00494FFF"/>
    <w:rsid w:val="004971B4"/>
    <w:rsid w:val="00497205"/>
    <w:rsid w:val="004A3893"/>
    <w:rsid w:val="004A7EA8"/>
    <w:rsid w:val="004B0A50"/>
    <w:rsid w:val="004B13C7"/>
    <w:rsid w:val="004B3248"/>
    <w:rsid w:val="004B3D23"/>
    <w:rsid w:val="004B50C8"/>
    <w:rsid w:val="004C25F7"/>
    <w:rsid w:val="004C5C15"/>
    <w:rsid w:val="004D05B7"/>
    <w:rsid w:val="004D4184"/>
    <w:rsid w:val="004D71BA"/>
    <w:rsid w:val="004D7A8A"/>
    <w:rsid w:val="004E0DD1"/>
    <w:rsid w:val="004E3309"/>
    <w:rsid w:val="004E3D11"/>
    <w:rsid w:val="004E5491"/>
    <w:rsid w:val="004F345F"/>
    <w:rsid w:val="004F3C4E"/>
    <w:rsid w:val="005127AD"/>
    <w:rsid w:val="00512EE4"/>
    <w:rsid w:val="00513258"/>
    <w:rsid w:val="0051350D"/>
    <w:rsid w:val="00513915"/>
    <w:rsid w:val="00514186"/>
    <w:rsid w:val="0051598C"/>
    <w:rsid w:val="00521F34"/>
    <w:rsid w:val="0053412B"/>
    <w:rsid w:val="005346FA"/>
    <w:rsid w:val="0053754D"/>
    <w:rsid w:val="00542006"/>
    <w:rsid w:val="0054788E"/>
    <w:rsid w:val="005506CB"/>
    <w:rsid w:val="005537C3"/>
    <w:rsid w:val="00553F00"/>
    <w:rsid w:val="005606AC"/>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647C"/>
    <w:rsid w:val="005B7582"/>
    <w:rsid w:val="005C1E07"/>
    <w:rsid w:val="005C4F15"/>
    <w:rsid w:val="005D24E0"/>
    <w:rsid w:val="005D2898"/>
    <w:rsid w:val="005E6B81"/>
    <w:rsid w:val="005F2437"/>
    <w:rsid w:val="005F3B12"/>
    <w:rsid w:val="005F50FB"/>
    <w:rsid w:val="005F5EA7"/>
    <w:rsid w:val="005F6A12"/>
    <w:rsid w:val="005F7FFD"/>
    <w:rsid w:val="006001F1"/>
    <w:rsid w:val="00601943"/>
    <w:rsid w:val="00602F01"/>
    <w:rsid w:val="00604E27"/>
    <w:rsid w:val="0060724F"/>
    <w:rsid w:val="00612340"/>
    <w:rsid w:val="006205B0"/>
    <w:rsid w:val="00621165"/>
    <w:rsid w:val="006254AA"/>
    <w:rsid w:val="00630C47"/>
    <w:rsid w:val="0063262B"/>
    <w:rsid w:val="00635107"/>
    <w:rsid w:val="006351F2"/>
    <w:rsid w:val="00641A6E"/>
    <w:rsid w:val="00644C74"/>
    <w:rsid w:val="0064676F"/>
    <w:rsid w:val="0064685C"/>
    <w:rsid w:val="00653B4A"/>
    <w:rsid w:val="00655753"/>
    <w:rsid w:val="006557A5"/>
    <w:rsid w:val="006577E7"/>
    <w:rsid w:val="00670BBA"/>
    <w:rsid w:val="006717FB"/>
    <w:rsid w:val="00672231"/>
    <w:rsid w:val="00674EC3"/>
    <w:rsid w:val="006759F7"/>
    <w:rsid w:val="00677FA2"/>
    <w:rsid w:val="00681D8C"/>
    <w:rsid w:val="00690DD0"/>
    <w:rsid w:val="00693DB7"/>
    <w:rsid w:val="006958C4"/>
    <w:rsid w:val="00695A68"/>
    <w:rsid w:val="006A100D"/>
    <w:rsid w:val="006A715D"/>
    <w:rsid w:val="006B028C"/>
    <w:rsid w:val="006B0774"/>
    <w:rsid w:val="006B10D2"/>
    <w:rsid w:val="006B1B78"/>
    <w:rsid w:val="006B26F0"/>
    <w:rsid w:val="006B29CC"/>
    <w:rsid w:val="006B6AE6"/>
    <w:rsid w:val="006C06DB"/>
    <w:rsid w:val="006C08CB"/>
    <w:rsid w:val="006C3BE9"/>
    <w:rsid w:val="006C429B"/>
    <w:rsid w:val="006C6B99"/>
    <w:rsid w:val="006D1AC0"/>
    <w:rsid w:val="006D1B46"/>
    <w:rsid w:val="006D2284"/>
    <w:rsid w:val="006D2F44"/>
    <w:rsid w:val="006D42BD"/>
    <w:rsid w:val="006D43BA"/>
    <w:rsid w:val="006D7C1F"/>
    <w:rsid w:val="006E4616"/>
    <w:rsid w:val="006E7A37"/>
    <w:rsid w:val="006F07A0"/>
    <w:rsid w:val="006F1F66"/>
    <w:rsid w:val="006F71D8"/>
    <w:rsid w:val="006F738A"/>
    <w:rsid w:val="00703E13"/>
    <w:rsid w:val="007058E1"/>
    <w:rsid w:val="0070659B"/>
    <w:rsid w:val="007108B6"/>
    <w:rsid w:val="00711CE1"/>
    <w:rsid w:val="0071272B"/>
    <w:rsid w:val="007133E2"/>
    <w:rsid w:val="00714B0B"/>
    <w:rsid w:val="007176F0"/>
    <w:rsid w:val="007224C2"/>
    <w:rsid w:val="00722998"/>
    <w:rsid w:val="0072373B"/>
    <w:rsid w:val="00726A04"/>
    <w:rsid w:val="007332AD"/>
    <w:rsid w:val="00733415"/>
    <w:rsid w:val="00735FD4"/>
    <w:rsid w:val="00737C05"/>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87EE1"/>
    <w:rsid w:val="00790A78"/>
    <w:rsid w:val="00792E58"/>
    <w:rsid w:val="007932EE"/>
    <w:rsid w:val="00793312"/>
    <w:rsid w:val="007936C9"/>
    <w:rsid w:val="00794E06"/>
    <w:rsid w:val="007A205A"/>
    <w:rsid w:val="007A3790"/>
    <w:rsid w:val="007A5C8C"/>
    <w:rsid w:val="007B392A"/>
    <w:rsid w:val="007B4E5E"/>
    <w:rsid w:val="007B6A50"/>
    <w:rsid w:val="007B6C6E"/>
    <w:rsid w:val="007C0AD4"/>
    <w:rsid w:val="007C2806"/>
    <w:rsid w:val="007D2FCA"/>
    <w:rsid w:val="007D611C"/>
    <w:rsid w:val="007E108B"/>
    <w:rsid w:val="007E13B7"/>
    <w:rsid w:val="007E4275"/>
    <w:rsid w:val="007E573E"/>
    <w:rsid w:val="007E580E"/>
    <w:rsid w:val="007F2B15"/>
    <w:rsid w:val="007F40AE"/>
    <w:rsid w:val="007F6A72"/>
    <w:rsid w:val="00800EB0"/>
    <w:rsid w:val="0080320F"/>
    <w:rsid w:val="00803F49"/>
    <w:rsid w:val="00804104"/>
    <w:rsid w:val="0080434A"/>
    <w:rsid w:val="00807573"/>
    <w:rsid w:val="00807AB8"/>
    <w:rsid w:val="008117B3"/>
    <w:rsid w:val="008125EE"/>
    <w:rsid w:val="008125EF"/>
    <w:rsid w:val="0081282D"/>
    <w:rsid w:val="00815688"/>
    <w:rsid w:val="00815E58"/>
    <w:rsid w:val="00817F61"/>
    <w:rsid w:val="00822706"/>
    <w:rsid w:val="008230A4"/>
    <w:rsid w:val="00824D1B"/>
    <w:rsid w:val="00840D6B"/>
    <w:rsid w:val="00842B6D"/>
    <w:rsid w:val="00844C49"/>
    <w:rsid w:val="00847CAD"/>
    <w:rsid w:val="0085083D"/>
    <w:rsid w:val="008528A0"/>
    <w:rsid w:val="008576D9"/>
    <w:rsid w:val="0085782A"/>
    <w:rsid w:val="00861FF9"/>
    <w:rsid w:val="008648C5"/>
    <w:rsid w:val="00864F44"/>
    <w:rsid w:val="00867D6B"/>
    <w:rsid w:val="00871BAA"/>
    <w:rsid w:val="00873FC0"/>
    <w:rsid w:val="00880086"/>
    <w:rsid w:val="0088332B"/>
    <w:rsid w:val="00884192"/>
    <w:rsid w:val="008859B4"/>
    <w:rsid w:val="00891E89"/>
    <w:rsid w:val="008922EA"/>
    <w:rsid w:val="008926BE"/>
    <w:rsid w:val="00892726"/>
    <w:rsid w:val="00893DB6"/>
    <w:rsid w:val="00894CE8"/>
    <w:rsid w:val="008A02DB"/>
    <w:rsid w:val="008A0B25"/>
    <w:rsid w:val="008A3A71"/>
    <w:rsid w:val="008B0894"/>
    <w:rsid w:val="008B4FED"/>
    <w:rsid w:val="008B5374"/>
    <w:rsid w:val="008B73FF"/>
    <w:rsid w:val="008B74CF"/>
    <w:rsid w:val="008B7FCF"/>
    <w:rsid w:val="008C0DDF"/>
    <w:rsid w:val="008C153B"/>
    <w:rsid w:val="008C1A6D"/>
    <w:rsid w:val="008C3687"/>
    <w:rsid w:val="008D0BB4"/>
    <w:rsid w:val="008D0E08"/>
    <w:rsid w:val="008D0E30"/>
    <w:rsid w:val="008D2903"/>
    <w:rsid w:val="008D31E8"/>
    <w:rsid w:val="008D528C"/>
    <w:rsid w:val="008E075C"/>
    <w:rsid w:val="008E077F"/>
    <w:rsid w:val="008E1A0B"/>
    <w:rsid w:val="008E653E"/>
    <w:rsid w:val="008F1988"/>
    <w:rsid w:val="008F577C"/>
    <w:rsid w:val="008F685E"/>
    <w:rsid w:val="008F75ED"/>
    <w:rsid w:val="009001BE"/>
    <w:rsid w:val="00901125"/>
    <w:rsid w:val="00901FBE"/>
    <w:rsid w:val="00911ABB"/>
    <w:rsid w:val="0091252E"/>
    <w:rsid w:val="009214E8"/>
    <w:rsid w:val="0092417F"/>
    <w:rsid w:val="00924AFA"/>
    <w:rsid w:val="00927265"/>
    <w:rsid w:val="00930747"/>
    <w:rsid w:val="00931BDE"/>
    <w:rsid w:val="00931BE6"/>
    <w:rsid w:val="00932041"/>
    <w:rsid w:val="00933E94"/>
    <w:rsid w:val="00945A0A"/>
    <w:rsid w:val="0094643D"/>
    <w:rsid w:val="009515AD"/>
    <w:rsid w:val="009529E6"/>
    <w:rsid w:val="00955DBF"/>
    <w:rsid w:val="0095610F"/>
    <w:rsid w:val="00957A96"/>
    <w:rsid w:val="00957D97"/>
    <w:rsid w:val="00963BE4"/>
    <w:rsid w:val="00964D3B"/>
    <w:rsid w:val="0097242A"/>
    <w:rsid w:val="009728EE"/>
    <w:rsid w:val="00972F0B"/>
    <w:rsid w:val="00975961"/>
    <w:rsid w:val="00976C25"/>
    <w:rsid w:val="00977E15"/>
    <w:rsid w:val="009815F0"/>
    <w:rsid w:val="00981CA2"/>
    <w:rsid w:val="00982A3C"/>
    <w:rsid w:val="00984BF1"/>
    <w:rsid w:val="009857AD"/>
    <w:rsid w:val="0098710D"/>
    <w:rsid w:val="0099100E"/>
    <w:rsid w:val="00992CFC"/>
    <w:rsid w:val="009954F4"/>
    <w:rsid w:val="00995A79"/>
    <w:rsid w:val="009979FC"/>
    <w:rsid w:val="00997A12"/>
    <w:rsid w:val="009A712C"/>
    <w:rsid w:val="009B4E26"/>
    <w:rsid w:val="009C5FEF"/>
    <w:rsid w:val="009C6366"/>
    <w:rsid w:val="009D5A9F"/>
    <w:rsid w:val="009E220F"/>
    <w:rsid w:val="009E337C"/>
    <w:rsid w:val="009E4357"/>
    <w:rsid w:val="009E50DB"/>
    <w:rsid w:val="009E5DFB"/>
    <w:rsid w:val="009F1C53"/>
    <w:rsid w:val="009F6742"/>
    <w:rsid w:val="009F7473"/>
    <w:rsid w:val="00A00DEB"/>
    <w:rsid w:val="00A033C4"/>
    <w:rsid w:val="00A10858"/>
    <w:rsid w:val="00A10979"/>
    <w:rsid w:val="00A10CD4"/>
    <w:rsid w:val="00A115C4"/>
    <w:rsid w:val="00A12678"/>
    <w:rsid w:val="00A1665B"/>
    <w:rsid w:val="00A16D08"/>
    <w:rsid w:val="00A21FDB"/>
    <w:rsid w:val="00A26D5E"/>
    <w:rsid w:val="00A27608"/>
    <w:rsid w:val="00A278D0"/>
    <w:rsid w:val="00A33431"/>
    <w:rsid w:val="00A34D9F"/>
    <w:rsid w:val="00A34E31"/>
    <w:rsid w:val="00A369AA"/>
    <w:rsid w:val="00A44C68"/>
    <w:rsid w:val="00A46076"/>
    <w:rsid w:val="00A47171"/>
    <w:rsid w:val="00A471FD"/>
    <w:rsid w:val="00A54AC7"/>
    <w:rsid w:val="00A55638"/>
    <w:rsid w:val="00A618AF"/>
    <w:rsid w:val="00A63EAE"/>
    <w:rsid w:val="00A64498"/>
    <w:rsid w:val="00A645AC"/>
    <w:rsid w:val="00A66CCC"/>
    <w:rsid w:val="00A73DAE"/>
    <w:rsid w:val="00A75D4E"/>
    <w:rsid w:val="00A76650"/>
    <w:rsid w:val="00A77739"/>
    <w:rsid w:val="00A84DBB"/>
    <w:rsid w:val="00A934A2"/>
    <w:rsid w:val="00A97029"/>
    <w:rsid w:val="00AA0177"/>
    <w:rsid w:val="00AA0D76"/>
    <w:rsid w:val="00AA2040"/>
    <w:rsid w:val="00AA5C09"/>
    <w:rsid w:val="00AB0EF4"/>
    <w:rsid w:val="00AB1D32"/>
    <w:rsid w:val="00AB3041"/>
    <w:rsid w:val="00AB6679"/>
    <w:rsid w:val="00AC209E"/>
    <w:rsid w:val="00AC6114"/>
    <w:rsid w:val="00AD06DA"/>
    <w:rsid w:val="00AD0CA3"/>
    <w:rsid w:val="00AD0F06"/>
    <w:rsid w:val="00AD293F"/>
    <w:rsid w:val="00AD3456"/>
    <w:rsid w:val="00AD3FD7"/>
    <w:rsid w:val="00AE7FAE"/>
    <w:rsid w:val="00AF05F4"/>
    <w:rsid w:val="00AF10E8"/>
    <w:rsid w:val="00AF189B"/>
    <w:rsid w:val="00AF61AF"/>
    <w:rsid w:val="00AF6226"/>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0E2C"/>
    <w:rsid w:val="00B4160E"/>
    <w:rsid w:val="00B4247F"/>
    <w:rsid w:val="00B44770"/>
    <w:rsid w:val="00B462CA"/>
    <w:rsid w:val="00B46FCA"/>
    <w:rsid w:val="00B47293"/>
    <w:rsid w:val="00B514E2"/>
    <w:rsid w:val="00B54E51"/>
    <w:rsid w:val="00B54E98"/>
    <w:rsid w:val="00B557A1"/>
    <w:rsid w:val="00B560D1"/>
    <w:rsid w:val="00B5648F"/>
    <w:rsid w:val="00B575D7"/>
    <w:rsid w:val="00B617BD"/>
    <w:rsid w:val="00B66992"/>
    <w:rsid w:val="00B66AAD"/>
    <w:rsid w:val="00B82B1E"/>
    <w:rsid w:val="00B82DF6"/>
    <w:rsid w:val="00B8687D"/>
    <w:rsid w:val="00B92185"/>
    <w:rsid w:val="00B932BB"/>
    <w:rsid w:val="00B938E8"/>
    <w:rsid w:val="00B93B69"/>
    <w:rsid w:val="00B93C45"/>
    <w:rsid w:val="00B95A80"/>
    <w:rsid w:val="00B95C0E"/>
    <w:rsid w:val="00BA145E"/>
    <w:rsid w:val="00BA7D6A"/>
    <w:rsid w:val="00BC2C03"/>
    <w:rsid w:val="00BC5077"/>
    <w:rsid w:val="00BC6EAC"/>
    <w:rsid w:val="00BC7E72"/>
    <w:rsid w:val="00BD13B8"/>
    <w:rsid w:val="00BD2346"/>
    <w:rsid w:val="00BD3349"/>
    <w:rsid w:val="00BD3FF6"/>
    <w:rsid w:val="00BD56DF"/>
    <w:rsid w:val="00BD7B91"/>
    <w:rsid w:val="00BE30F7"/>
    <w:rsid w:val="00BE36DB"/>
    <w:rsid w:val="00BE7606"/>
    <w:rsid w:val="00BE7DD3"/>
    <w:rsid w:val="00BF2BF8"/>
    <w:rsid w:val="00BF44B6"/>
    <w:rsid w:val="00BF63FA"/>
    <w:rsid w:val="00C03807"/>
    <w:rsid w:val="00C0713A"/>
    <w:rsid w:val="00C10B72"/>
    <w:rsid w:val="00C1166D"/>
    <w:rsid w:val="00C116AD"/>
    <w:rsid w:val="00C13ABF"/>
    <w:rsid w:val="00C144FB"/>
    <w:rsid w:val="00C231BD"/>
    <w:rsid w:val="00C23C8D"/>
    <w:rsid w:val="00C2458F"/>
    <w:rsid w:val="00C278C7"/>
    <w:rsid w:val="00C342E7"/>
    <w:rsid w:val="00C37D66"/>
    <w:rsid w:val="00C438AA"/>
    <w:rsid w:val="00C438DE"/>
    <w:rsid w:val="00C44EBA"/>
    <w:rsid w:val="00C477B5"/>
    <w:rsid w:val="00C5288F"/>
    <w:rsid w:val="00C556C2"/>
    <w:rsid w:val="00C56541"/>
    <w:rsid w:val="00C60FB3"/>
    <w:rsid w:val="00C6214F"/>
    <w:rsid w:val="00C630C3"/>
    <w:rsid w:val="00C659CF"/>
    <w:rsid w:val="00C704E7"/>
    <w:rsid w:val="00C74FF6"/>
    <w:rsid w:val="00C75100"/>
    <w:rsid w:val="00C83017"/>
    <w:rsid w:val="00C86997"/>
    <w:rsid w:val="00C943E0"/>
    <w:rsid w:val="00C9481C"/>
    <w:rsid w:val="00C94A27"/>
    <w:rsid w:val="00C94DB1"/>
    <w:rsid w:val="00CA1366"/>
    <w:rsid w:val="00CA22A3"/>
    <w:rsid w:val="00CA23F5"/>
    <w:rsid w:val="00CA4F98"/>
    <w:rsid w:val="00CA72A6"/>
    <w:rsid w:val="00CB0221"/>
    <w:rsid w:val="00CB0F59"/>
    <w:rsid w:val="00CB457A"/>
    <w:rsid w:val="00CB6D03"/>
    <w:rsid w:val="00CB7727"/>
    <w:rsid w:val="00CC3617"/>
    <w:rsid w:val="00CC5E86"/>
    <w:rsid w:val="00CC6DDC"/>
    <w:rsid w:val="00CD043A"/>
    <w:rsid w:val="00CD04E9"/>
    <w:rsid w:val="00CD2BCA"/>
    <w:rsid w:val="00CD6D39"/>
    <w:rsid w:val="00CE0A2F"/>
    <w:rsid w:val="00CE0A94"/>
    <w:rsid w:val="00CF09A5"/>
    <w:rsid w:val="00CF394C"/>
    <w:rsid w:val="00CF58C3"/>
    <w:rsid w:val="00D023E6"/>
    <w:rsid w:val="00D04395"/>
    <w:rsid w:val="00D06432"/>
    <w:rsid w:val="00D06E95"/>
    <w:rsid w:val="00D0700D"/>
    <w:rsid w:val="00D103E7"/>
    <w:rsid w:val="00D15FDC"/>
    <w:rsid w:val="00D1763B"/>
    <w:rsid w:val="00D178E8"/>
    <w:rsid w:val="00D229F9"/>
    <w:rsid w:val="00D30D95"/>
    <w:rsid w:val="00D322A1"/>
    <w:rsid w:val="00D34239"/>
    <w:rsid w:val="00D34ADF"/>
    <w:rsid w:val="00D35D2B"/>
    <w:rsid w:val="00D379F2"/>
    <w:rsid w:val="00D4009E"/>
    <w:rsid w:val="00D4099B"/>
    <w:rsid w:val="00D445A8"/>
    <w:rsid w:val="00D556EC"/>
    <w:rsid w:val="00D559A3"/>
    <w:rsid w:val="00D55B0E"/>
    <w:rsid w:val="00D660E7"/>
    <w:rsid w:val="00D66905"/>
    <w:rsid w:val="00D7094D"/>
    <w:rsid w:val="00D70F84"/>
    <w:rsid w:val="00D7305E"/>
    <w:rsid w:val="00D733E9"/>
    <w:rsid w:val="00D74E9C"/>
    <w:rsid w:val="00D752C7"/>
    <w:rsid w:val="00D756AE"/>
    <w:rsid w:val="00D76CE6"/>
    <w:rsid w:val="00D81AC5"/>
    <w:rsid w:val="00D85BEC"/>
    <w:rsid w:val="00D9096A"/>
    <w:rsid w:val="00D934AB"/>
    <w:rsid w:val="00D93F2F"/>
    <w:rsid w:val="00D94D87"/>
    <w:rsid w:val="00D971D9"/>
    <w:rsid w:val="00D97A60"/>
    <w:rsid w:val="00DA03B8"/>
    <w:rsid w:val="00DA07C9"/>
    <w:rsid w:val="00DA1CC7"/>
    <w:rsid w:val="00DA23FC"/>
    <w:rsid w:val="00DA483B"/>
    <w:rsid w:val="00DA4F4D"/>
    <w:rsid w:val="00DA627C"/>
    <w:rsid w:val="00DB1D66"/>
    <w:rsid w:val="00DB1FB1"/>
    <w:rsid w:val="00DB239E"/>
    <w:rsid w:val="00DB3F2F"/>
    <w:rsid w:val="00DB41CE"/>
    <w:rsid w:val="00DB4D5E"/>
    <w:rsid w:val="00DB5A7B"/>
    <w:rsid w:val="00DB5C79"/>
    <w:rsid w:val="00DC0CBE"/>
    <w:rsid w:val="00DC0EC5"/>
    <w:rsid w:val="00DC12A8"/>
    <w:rsid w:val="00DC23C5"/>
    <w:rsid w:val="00DC378F"/>
    <w:rsid w:val="00DC467C"/>
    <w:rsid w:val="00DC71D5"/>
    <w:rsid w:val="00DD3EDC"/>
    <w:rsid w:val="00DD51B8"/>
    <w:rsid w:val="00DD6E9E"/>
    <w:rsid w:val="00DE135B"/>
    <w:rsid w:val="00DE448D"/>
    <w:rsid w:val="00DF151C"/>
    <w:rsid w:val="00DF2FEE"/>
    <w:rsid w:val="00E009D7"/>
    <w:rsid w:val="00E11594"/>
    <w:rsid w:val="00E21DCA"/>
    <w:rsid w:val="00E23071"/>
    <w:rsid w:val="00E2428D"/>
    <w:rsid w:val="00E248AE"/>
    <w:rsid w:val="00E25744"/>
    <w:rsid w:val="00E271AA"/>
    <w:rsid w:val="00E271C4"/>
    <w:rsid w:val="00E274BD"/>
    <w:rsid w:val="00E3029F"/>
    <w:rsid w:val="00E363A2"/>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127"/>
    <w:rsid w:val="00EB2E28"/>
    <w:rsid w:val="00EB6968"/>
    <w:rsid w:val="00EC01E9"/>
    <w:rsid w:val="00EC46EA"/>
    <w:rsid w:val="00EC5E57"/>
    <w:rsid w:val="00EC604D"/>
    <w:rsid w:val="00ED1FE1"/>
    <w:rsid w:val="00ED20E2"/>
    <w:rsid w:val="00ED392B"/>
    <w:rsid w:val="00ED492D"/>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224F"/>
    <w:rsid w:val="00F230AC"/>
    <w:rsid w:val="00F27036"/>
    <w:rsid w:val="00F308DA"/>
    <w:rsid w:val="00F43A47"/>
    <w:rsid w:val="00F44372"/>
    <w:rsid w:val="00F4467F"/>
    <w:rsid w:val="00F44E3D"/>
    <w:rsid w:val="00F457D6"/>
    <w:rsid w:val="00F53D38"/>
    <w:rsid w:val="00F55F4F"/>
    <w:rsid w:val="00F56A25"/>
    <w:rsid w:val="00F60E3D"/>
    <w:rsid w:val="00F6138D"/>
    <w:rsid w:val="00F61E9B"/>
    <w:rsid w:val="00F62C1B"/>
    <w:rsid w:val="00F636B9"/>
    <w:rsid w:val="00F76D5E"/>
    <w:rsid w:val="00F8644E"/>
    <w:rsid w:val="00F8728A"/>
    <w:rsid w:val="00F87FFB"/>
    <w:rsid w:val="00F91BCA"/>
    <w:rsid w:val="00F93762"/>
    <w:rsid w:val="00F96192"/>
    <w:rsid w:val="00F97085"/>
    <w:rsid w:val="00FA142F"/>
    <w:rsid w:val="00FA4641"/>
    <w:rsid w:val="00FB01DB"/>
    <w:rsid w:val="00FB272B"/>
    <w:rsid w:val="00FB3218"/>
    <w:rsid w:val="00FB6EC9"/>
    <w:rsid w:val="00FC1E53"/>
    <w:rsid w:val="00FC62D0"/>
    <w:rsid w:val="00FD73F1"/>
    <w:rsid w:val="00FD7CB7"/>
    <w:rsid w:val="00FE01D7"/>
    <w:rsid w:val="00FE247D"/>
    <w:rsid w:val="00FE281E"/>
    <w:rsid w:val="00FE29A6"/>
    <w:rsid w:val="00FE3BE5"/>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15:docId w15:val="{73D63858-66DB-459F-BA29-D82798473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 w:type="paragraph" w:styleId="NoSpacing">
    <w:name w:val="No Spacing"/>
    <w:uiPriority w:val="1"/>
    <w:qFormat/>
    <w:rsid w:val="00C86997"/>
  </w:style>
  <w:style w:type="character" w:styleId="Mention">
    <w:name w:val="Mention"/>
    <w:basedOn w:val="DefaultParagraphFont"/>
    <w:uiPriority w:val="99"/>
    <w:semiHidden/>
    <w:unhideWhenUsed/>
    <w:rsid w:val="006D7C1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3302">
      <w:bodyDiv w:val="1"/>
      <w:marLeft w:val="0"/>
      <w:marRight w:val="0"/>
      <w:marTop w:val="0"/>
      <w:marBottom w:val="0"/>
      <w:divBdr>
        <w:top w:val="none" w:sz="0" w:space="0" w:color="auto"/>
        <w:left w:val="none" w:sz="0" w:space="0" w:color="auto"/>
        <w:bottom w:val="none" w:sz="0" w:space="0" w:color="auto"/>
        <w:right w:val="none" w:sz="0" w:space="0" w:color="auto"/>
      </w:divBdr>
      <w:divsChild>
        <w:div w:id="339280059">
          <w:marLeft w:val="0"/>
          <w:marRight w:val="0"/>
          <w:marTop w:val="0"/>
          <w:marBottom w:val="0"/>
          <w:divBdr>
            <w:top w:val="none" w:sz="0" w:space="0" w:color="auto"/>
            <w:left w:val="none" w:sz="0" w:space="0" w:color="auto"/>
            <w:bottom w:val="none" w:sz="0" w:space="0" w:color="auto"/>
            <w:right w:val="none" w:sz="0" w:space="0" w:color="auto"/>
          </w:divBdr>
          <w:divsChild>
            <w:div w:id="855311040">
              <w:marLeft w:val="0"/>
              <w:marRight w:val="0"/>
              <w:marTop w:val="0"/>
              <w:marBottom w:val="0"/>
              <w:divBdr>
                <w:top w:val="none" w:sz="0" w:space="0" w:color="auto"/>
                <w:left w:val="none" w:sz="0" w:space="0" w:color="auto"/>
                <w:bottom w:val="none" w:sz="0" w:space="0" w:color="auto"/>
                <w:right w:val="none" w:sz="0" w:space="0" w:color="auto"/>
              </w:divBdr>
              <w:divsChild>
                <w:div w:id="170216875">
                  <w:marLeft w:val="0"/>
                  <w:marRight w:val="0"/>
                  <w:marTop w:val="0"/>
                  <w:marBottom w:val="0"/>
                  <w:divBdr>
                    <w:top w:val="single" w:sz="6" w:space="0" w:color="CCCCCC"/>
                    <w:left w:val="single" w:sz="6" w:space="0" w:color="CCCCCC"/>
                    <w:bottom w:val="single" w:sz="6" w:space="0" w:color="CCCCCC"/>
                    <w:right w:val="single" w:sz="6" w:space="0" w:color="CCCCCC"/>
                  </w:divBdr>
                  <w:divsChild>
                    <w:div w:id="1979528579">
                      <w:marLeft w:val="0"/>
                      <w:marRight w:val="0"/>
                      <w:marTop w:val="0"/>
                      <w:marBottom w:val="0"/>
                      <w:divBdr>
                        <w:top w:val="none" w:sz="0" w:space="0" w:color="auto"/>
                        <w:left w:val="none" w:sz="0" w:space="0" w:color="auto"/>
                        <w:bottom w:val="none" w:sz="0" w:space="0" w:color="auto"/>
                        <w:right w:val="none" w:sz="0" w:space="0" w:color="auto"/>
                      </w:divBdr>
                      <w:divsChild>
                        <w:div w:id="463156421">
                          <w:marLeft w:val="0"/>
                          <w:marRight w:val="0"/>
                          <w:marTop w:val="0"/>
                          <w:marBottom w:val="0"/>
                          <w:divBdr>
                            <w:top w:val="none" w:sz="0" w:space="0" w:color="auto"/>
                            <w:left w:val="none" w:sz="0" w:space="0" w:color="auto"/>
                            <w:bottom w:val="none" w:sz="0" w:space="0" w:color="auto"/>
                            <w:right w:val="none" w:sz="0" w:space="0" w:color="auto"/>
                          </w:divBdr>
                          <w:divsChild>
                            <w:div w:id="258952685">
                              <w:marLeft w:val="0"/>
                              <w:marRight w:val="0"/>
                              <w:marTop w:val="0"/>
                              <w:marBottom w:val="0"/>
                              <w:divBdr>
                                <w:top w:val="none" w:sz="0" w:space="0" w:color="auto"/>
                                <w:left w:val="none" w:sz="0" w:space="0" w:color="auto"/>
                                <w:bottom w:val="none" w:sz="0" w:space="0" w:color="auto"/>
                                <w:right w:val="none" w:sz="0" w:space="0" w:color="auto"/>
                              </w:divBdr>
                              <w:divsChild>
                                <w:div w:id="17585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9972">
      <w:bodyDiv w:val="1"/>
      <w:marLeft w:val="0"/>
      <w:marRight w:val="0"/>
      <w:marTop w:val="0"/>
      <w:marBottom w:val="0"/>
      <w:divBdr>
        <w:top w:val="none" w:sz="0" w:space="0" w:color="auto"/>
        <w:left w:val="none" w:sz="0" w:space="0" w:color="auto"/>
        <w:bottom w:val="none" w:sz="0" w:space="0" w:color="auto"/>
        <w:right w:val="none" w:sz="0" w:space="0" w:color="auto"/>
      </w:divBdr>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7521">
      <w:bodyDiv w:val="1"/>
      <w:marLeft w:val="0"/>
      <w:marRight w:val="0"/>
      <w:marTop w:val="0"/>
      <w:marBottom w:val="0"/>
      <w:divBdr>
        <w:top w:val="none" w:sz="0" w:space="0" w:color="auto"/>
        <w:left w:val="none" w:sz="0" w:space="0" w:color="auto"/>
        <w:bottom w:val="none" w:sz="0" w:space="0" w:color="auto"/>
        <w:right w:val="none" w:sz="0" w:space="0" w:color="auto"/>
      </w:divBdr>
      <w:divsChild>
        <w:div w:id="1804231564">
          <w:marLeft w:val="0"/>
          <w:marRight w:val="0"/>
          <w:marTop w:val="0"/>
          <w:marBottom w:val="0"/>
          <w:divBdr>
            <w:top w:val="none" w:sz="0" w:space="0" w:color="auto"/>
            <w:left w:val="none" w:sz="0" w:space="0" w:color="auto"/>
            <w:bottom w:val="none" w:sz="0" w:space="0" w:color="auto"/>
            <w:right w:val="none" w:sz="0" w:space="0" w:color="auto"/>
          </w:divBdr>
          <w:divsChild>
            <w:div w:id="568418921">
              <w:marLeft w:val="0"/>
              <w:marRight w:val="0"/>
              <w:marTop w:val="0"/>
              <w:marBottom w:val="0"/>
              <w:divBdr>
                <w:top w:val="none" w:sz="0" w:space="0" w:color="auto"/>
                <w:left w:val="none" w:sz="0" w:space="0" w:color="auto"/>
                <w:bottom w:val="none" w:sz="0" w:space="0" w:color="auto"/>
                <w:right w:val="none" w:sz="0" w:space="0" w:color="auto"/>
              </w:divBdr>
              <w:divsChild>
                <w:div w:id="1707832659">
                  <w:marLeft w:val="0"/>
                  <w:marRight w:val="0"/>
                  <w:marTop w:val="0"/>
                  <w:marBottom w:val="0"/>
                  <w:divBdr>
                    <w:top w:val="single" w:sz="6" w:space="0" w:color="CCCCCC"/>
                    <w:left w:val="single" w:sz="6" w:space="0" w:color="CCCCCC"/>
                    <w:bottom w:val="single" w:sz="6" w:space="0" w:color="CCCCCC"/>
                    <w:right w:val="single" w:sz="6" w:space="0" w:color="CCCCCC"/>
                  </w:divBdr>
                  <w:divsChild>
                    <w:div w:id="1157922814">
                      <w:marLeft w:val="0"/>
                      <w:marRight w:val="0"/>
                      <w:marTop w:val="0"/>
                      <w:marBottom w:val="0"/>
                      <w:divBdr>
                        <w:top w:val="none" w:sz="0" w:space="0" w:color="auto"/>
                        <w:left w:val="none" w:sz="0" w:space="0" w:color="auto"/>
                        <w:bottom w:val="none" w:sz="0" w:space="0" w:color="auto"/>
                        <w:right w:val="none" w:sz="0" w:space="0" w:color="auto"/>
                      </w:divBdr>
                      <w:divsChild>
                        <w:div w:id="1843080454">
                          <w:marLeft w:val="0"/>
                          <w:marRight w:val="0"/>
                          <w:marTop w:val="0"/>
                          <w:marBottom w:val="0"/>
                          <w:divBdr>
                            <w:top w:val="none" w:sz="0" w:space="0" w:color="auto"/>
                            <w:left w:val="none" w:sz="0" w:space="0" w:color="auto"/>
                            <w:bottom w:val="none" w:sz="0" w:space="0" w:color="auto"/>
                            <w:right w:val="none" w:sz="0" w:space="0" w:color="auto"/>
                          </w:divBdr>
                          <w:divsChild>
                            <w:div w:id="577441529">
                              <w:marLeft w:val="0"/>
                              <w:marRight w:val="0"/>
                              <w:marTop w:val="0"/>
                              <w:marBottom w:val="0"/>
                              <w:divBdr>
                                <w:top w:val="none" w:sz="0" w:space="0" w:color="auto"/>
                                <w:left w:val="none" w:sz="0" w:space="0" w:color="auto"/>
                                <w:bottom w:val="none" w:sz="0" w:space="0" w:color="auto"/>
                                <w:right w:val="none" w:sz="0" w:space="0" w:color="auto"/>
                              </w:divBdr>
                              <w:divsChild>
                                <w:div w:id="3980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552620343">
      <w:bodyDiv w:val="1"/>
      <w:marLeft w:val="0"/>
      <w:marRight w:val="0"/>
      <w:marTop w:val="0"/>
      <w:marBottom w:val="0"/>
      <w:divBdr>
        <w:top w:val="none" w:sz="0" w:space="0" w:color="auto"/>
        <w:left w:val="none" w:sz="0" w:space="0" w:color="auto"/>
        <w:bottom w:val="none" w:sz="0" w:space="0" w:color="auto"/>
        <w:right w:val="none" w:sz="0" w:space="0" w:color="auto"/>
      </w:divBdr>
      <w:divsChild>
        <w:div w:id="1876114093">
          <w:marLeft w:val="0"/>
          <w:marRight w:val="0"/>
          <w:marTop w:val="0"/>
          <w:marBottom w:val="0"/>
          <w:divBdr>
            <w:top w:val="none" w:sz="0" w:space="0" w:color="auto"/>
            <w:left w:val="none" w:sz="0" w:space="0" w:color="auto"/>
            <w:bottom w:val="none" w:sz="0" w:space="0" w:color="auto"/>
            <w:right w:val="none" w:sz="0" w:space="0" w:color="auto"/>
          </w:divBdr>
          <w:divsChild>
            <w:div w:id="173306751">
              <w:marLeft w:val="0"/>
              <w:marRight w:val="0"/>
              <w:marTop w:val="0"/>
              <w:marBottom w:val="0"/>
              <w:divBdr>
                <w:top w:val="none" w:sz="0" w:space="0" w:color="auto"/>
                <w:left w:val="none" w:sz="0" w:space="0" w:color="auto"/>
                <w:bottom w:val="none" w:sz="0" w:space="0" w:color="auto"/>
                <w:right w:val="none" w:sz="0" w:space="0" w:color="auto"/>
              </w:divBdr>
              <w:divsChild>
                <w:div w:id="378942598">
                  <w:marLeft w:val="0"/>
                  <w:marRight w:val="0"/>
                  <w:marTop w:val="0"/>
                  <w:marBottom w:val="0"/>
                  <w:divBdr>
                    <w:top w:val="single" w:sz="6" w:space="0" w:color="CCCCCC"/>
                    <w:left w:val="single" w:sz="6" w:space="0" w:color="CCCCCC"/>
                    <w:bottom w:val="single" w:sz="6" w:space="0" w:color="CCCCCC"/>
                    <w:right w:val="single" w:sz="6" w:space="0" w:color="CCCCCC"/>
                  </w:divBdr>
                  <w:divsChild>
                    <w:div w:id="2036929825">
                      <w:marLeft w:val="0"/>
                      <w:marRight w:val="0"/>
                      <w:marTop w:val="0"/>
                      <w:marBottom w:val="0"/>
                      <w:divBdr>
                        <w:top w:val="none" w:sz="0" w:space="0" w:color="auto"/>
                        <w:left w:val="none" w:sz="0" w:space="0" w:color="auto"/>
                        <w:bottom w:val="none" w:sz="0" w:space="0" w:color="auto"/>
                        <w:right w:val="none" w:sz="0" w:space="0" w:color="auto"/>
                      </w:divBdr>
                      <w:divsChild>
                        <w:div w:id="133256825">
                          <w:marLeft w:val="0"/>
                          <w:marRight w:val="0"/>
                          <w:marTop w:val="0"/>
                          <w:marBottom w:val="0"/>
                          <w:divBdr>
                            <w:top w:val="none" w:sz="0" w:space="0" w:color="auto"/>
                            <w:left w:val="none" w:sz="0" w:space="0" w:color="auto"/>
                            <w:bottom w:val="none" w:sz="0" w:space="0" w:color="auto"/>
                            <w:right w:val="none" w:sz="0" w:space="0" w:color="auto"/>
                          </w:divBdr>
                          <w:divsChild>
                            <w:div w:id="825585939">
                              <w:marLeft w:val="0"/>
                              <w:marRight w:val="0"/>
                              <w:marTop w:val="0"/>
                              <w:marBottom w:val="0"/>
                              <w:divBdr>
                                <w:top w:val="none" w:sz="0" w:space="0" w:color="auto"/>
                                <w:left w:val="none" w:sz="0" w:space="0" w:color="auto"/>
                                <w:bottom w:val="none" w:sz="0" w:space="0" w:color="auto"/>
                                <w:right w:val="none" w:sz="0" w:space="0" w:color="auto"/>
                              </w:divBdr>
                              <w:divsChild>
                                <w:div w:id="12972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7531">
      <w:bodyDiv w:val="1"/>
      <w:marLeft w:val="0"/>
      <w:marRight w:val="0"/>
      <w:marTop w:val="0"/>
      <w:marBottom w:val="0"/>
      <w:divBdr>
        <w:top w:val="none" w:sz="0" w:space="0" w:color="auto"/>
        <w:left w:val="none" w:sz="0" w:space="0" w:color="auto"/>
        <w:bottom w:val="none" w:sz="0" w:space="0" w:color="auto"/>
        <w:right w:val="none" w:sz="0" w:space="0" w:color="auto"/>
      </w:divBdr>
    </w:div>
    <w:div w:id="606960010">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793211415">
      <w:bodyDiv w:val="1"/>
      <w:marLeft w:val="0"/>
      <w:marRight w:val="0"/>
      <w:marTop w:val="0"/>
      <w:marBottom w:val="0"/>
      <w:divBdr>
        <w:top w:val="none" w:sz="0" w:space="0" w:color="auto"/>
        <w:left w:val="none" w:sz="0" w:space="0" w:color="auto"/>
        <w:bottom w:val="none" w:sz="0" w:space="0" w:color="auto"/>
        <w:right w:val="none" w:sz="0" w:space="0" w:color="auto"/>
      </w:divBdr>
      <w:divsChild>
        <w:div w:id="795414750">
          <w:marLeft w:val="0"/>
          <w:marRight w:val="0"/>
          <w:marTop w:val="0"/>
          <w:marBottom w:val="0"/>
          <w:divBdr>
            <w:top w:val="none" w:sz="0" w:space="0" w:color="auto"/>
            <w:left w:val="none" w:sz="0" w:space="0" w:color="auto"/>
            <w:bottom w:val="none" w:sz="0" w:space="0" w:color="auto"/>
            <w:right w:val="none" w:sz="0" w:space="0" w:color="auto"/>
          </w:divBdr>
          <w:divsChild>
            <w:div w:id="26879864">
              <w:marLeft w:val="0"/>
              <w:marRight w:val="0"/>
              <w:marTop w:val="0"/>
              <w:marBottom w:val="0"/>
              <w:divBdr>
                <w:top w:val="none" w:sz="0" w:space="0" w:color="auto"/>
                <w:left w:val="none" w:sz="0" w:space="0" w:color="auto"/>
                <w:bottom w:val="none" w:sz="0" w:space="0" w:color="auto"/>
                <w:right w:val="none" w:sz="0" w:space="0" w:color="auto"/>
              </w:divBdr>
              <w:divsChild>
                <w:div w:id="457407663">
                  <w:marLeft w:val="0"/>
                  <w:marRight w:val="0"/>
                  <w:marTop w:val="0"/>
                  <w:marBottom w:val="0"/>
                  <w:divBdr>
                    <w:top w:val="single" w:sz="6" w:space="0" w:color="CCCCCC"/>
                    <w:left w:val="single" w:sz="6" w:space="0" w:color="CCCCCC"/>
                    <w:bottom w:val="single" w:sz="6" w:space="0" w:color="CCCCCC"/>
                    <w:right w:val="single" w:sz="6" w:space="0" w:color="CCCCCC"/>
                  </w:divBdr>
                  <w:divsChild>
                    <w:div w:id="1747533485">
                      <w:marLeft w:val="0"/>
                      <w:marRight w:val="0"/>
                      <w:marTop w:val="0"/>
                      <w:marBottom w:val="0"/>
                      <w:divBdr>
                        <w:top w:val="none" w:sz="0" w:space="0" w:color="auto"/>
                        <w:left w:val="none" w:sz="0" w:space="0" w:color="auto"/>
                        <w:bottom w:val="none" w:sz="0" w:space="0" w:color="auto"/>
                        <w:right w:val="none" w:sz="0" w:space="0" w:color="auto"/>
                      </w:divBdr>
                      <w:divsChild>
                        <w:div w:id="1915165414">
                          <w:marLeft w:val="0"/>
                          <w:marRight w:val="0"/>
                          <w:marTop w:val="0"/>
                          <w:marBottom w:val="0"/>
                          <w:divBdr>
                            <w:top w:val="none" w:sz="0" w:space="0" w:color="auto"/>
                            <w:left w:val="none" w:sz="0" w:space="0" w:color="auto"/>
                            <w:bottom w:val="none" w:sz="0" w:space="0" w:color="auto"/>
                            <w:right w:val="none" w:sz="0" w:space="0" w:color="auto"/>
                          </w:divBdr>
                          <w:divsChild>
                            <w:div w:id="638615097">
                              <w:marLeft w:val="0"/>
                              <w:marRight w:val="0"/>
                              <w:marTop w:val="0"/>
                              <w:marBottom w:val="0"/>
                              <w:divBdr>
                                <w:top w:val="none" w:sz="0" w:space="0" w:color="auto"/>
                                <w:left w:val="none" w:sz="0" w:space="0" w:color="auto"/>
                                <w:bottom w:val="none" w:sz="0" w:space="0" w:color="auto"/>
                                <w:right w:val="none" w:sz="0" w:space="0" w:color="auto"/>
                              </w:divBdr>
                              <w:divsChild>
                                <w:div w:id="323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59520">
      <w:bodyDiv w:val="1"/>
      <w:marLeft w:val="0"/>
      <w:marRight w:val="0"/>
      <w:marTop w:val="0"/>
      <w:marBottom w:val="0"/>
      <w:divBdr>
        <w:top w:val="none" w:sz="0" w:space="0" w:color="auto"/>
        <w:left w:val="none" w:sz="0" w:space="0" w:color="auto"/>
        <w:bottom w:val="none" w:sz="0" w:space="0" w:color="auto"/>
        <w:right w:val="none" w:sz="0" w:space="0" w:color="auto"/>
      </w:divBdr>
      <w:divsChild>
        <w:div w:id="1815902621">
          <w:marLeft w:val="0"/>
          <w:marRight w:val="0"/>
          <w:marTop w:val="0"/>
          <w:marBottom w:val="0"/>
          <w:divBdr>
            <w:top w:val="none" w:sz="0" w:space="0" w:color="auto"/>
            <w:left w:val="none" w:sz="0" w:space="0" w:color="auto"/>
            <w:bottom w:val="none" w:sz="0" w:space="0" w:color="auto"/>
            <w:right w:val="none" w:sz="0" w:space="0" w:color="auto"/>
          </w:divBdr>
          <w:divsChild>
            <w:div w:id="588806669">
              <w:marLeft w:val="0"/>
              <w:marRight w:val="0"/>
              <w:marTop w:val="0"/>
              <w:marBottom w:val="0"/>
              <w:divBdr>
                <w:top w:val="none" w:sz="0" w:space="0" w:color="auto"/>
                <w:left w:val="none" w:sz="0" w:space="0" w:color="auto"/>
                <w:bottom w:val="none" w:sz="0" w:space="0" w:color="auto"/>
                <w:right w:val="none" w:sz="0" w:space="0" w:color="auto"/>
              </w:divBdr>
              <w:divsChild>
                <w:div w:id="1060641254">
                  <w:marLeft w:val="0"/>
                  <w:marRight w:val="0"/>
                  <w:marTop w:val="0"/>
                  <w:marBottom w:val="0"/>
                  <w:divBdr>
                    <w:top w:val="single" w:sz="6" w:space="0" w:color="CCCCCC"/>
                    <w:left w:val="single" w:sz="6" w:space="0" w:color="CCCCCC"/>
                    <w:bottom w:val="single" w:sz="6" w:space="0" w:color="CCCCCC"/>
                    <w:right w:val="single" w:sz="6" w:space="0" w:color="CCCCCC"/>
                  </w:divBdr>
                  <w:divsChild>
                    <w:div w:id="307983076">
                      <w:marLeft w:val="0"/>
                      <w:marRight w:val="0"/>
                      <w:marTop w:val="0"/>
                      <w:marBottom w:val="0"/>
                      <w:divBdr>
                        <w:top w:val="none" w:sz="0" w:space="0" w:color="auto"/>
                        <w:left w:val="none" w:sz="0" w:space="0" w:color="auto"/>
                        <w:bottom w:val="none" w:sz="0" w:space="0" w:color="auto"/>
                        <w:right w:val="none" w:sz="0" w:space="0" w:color="auto"/>
                      </w:divBdr>
                      <w:divsChild>
                        <w:div w:id="1394156233">
                          <w:marLeft w:val="0"/>
                          <w:marRight w:val="0"/>
                          <w:marTop w:val="0"/>
                          <w:marBottom w:val="0"/>
                          <w:divBdr>
                            <w:top w:val="none" w:sz="0" w:space="0" w:color="auto"/>
                            <w:left w:val="none" w:sz="0" w:space="0" w:color="auto"/>
                            <w:bottom w:val="none" w:sz="0" w:space="0" w:color="auto"/>
                            <w:right w:val="none" w:sz="0" w:space="0" w:color="auto"/>
                          </w:divBdr>
                          <w:divsChild>
                            <w:div w:id="1868904134">
                              <w:marLeft w:val="0"/>
                              <w:marRight w:val="0"/>
                              <w:marTop w:val="0"/>
                              <w:marBottom w:val="0"/>
                              <w:divBdr>
                                <w:top w:val="none" w:sz="0" w:space="0" w:color="auto"/>
                                <w:left w:val="none" w:sz="0" w:space="0" w:color="auto"/>
                                <w:bottom w:val="none" w:sz="0" w:space="0" w:color="auto"/>
                                <w:right w:val="none" w:sz="0" w:space="0" w:color="auto"/>
                              </w:divBdr>
                              <w:divsChild>
                                <w:div w:id="1770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591672">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38747021">
      <w:bodyDiv w:val="1"/>
      <w:marLeft w:val="0"/>
      <w:marRight w:val="0"/>
      <w:marTop w:val="0"/>
      <w:marBottom w:val="0"/>
      <w:divBdr>
        <w:top w:val="none" w:sz="0" w:space="0" w:color="auto"/>
        <w:left w:val="none" w:sz="0" w:space="0" w:color="auto"/>
        <w:bottom w:val="none" w:sz="0" w:space="0" w:color="auto"/>
        <w:right w:val="none" w:sz="0" w:space="0" w:color="auto"/>
      </w:divBdr>
      <w:divsChild>
        <w:div w:id="147980636">
          <w:marLeft w:val="0"/>
          <w:marRight w:val="0"/>
          <w:marTop w:val="0"/>
          <w:marBottom w:val="0"/>
          <w:divBdr>
            <w:top w:val="none" w:sz="0" w:space="0" w:color="auto"/>
            <w:left w:val="none" w:sz="0" w:space="0" w:color="auto"/>
            <w:bottom w:val="none" w:sz="0" w:space="0" w:color="auto"/>
            <w:right w:val="none" w:sz="0" w:space="0" w:color="auto"/>
          </w:divBdr>
          <w:divsChild>
            <w:div w:id="2088336259">
              <w:marLeft w:val="0"/>
              <w:marRight w:val="0"/>
              <w:marTop w:val="0"/>
              <w:marBottom w:val="0"/>
              <w:divBdr>
                <w:top w:val="none" w:sz="0" w:space="0" w:color="auto"/>
                <w:left w:val="none" w:sz="0" w:space="0" w:color="auto"/>
                <w:bottom w:val="none" w:sz="0" w:space="0" w:color="auto"/>
                <w:right w:val="none" w:sz="0" w:space="0" w:color="auto"/>
              </w:divBdr>
              <w:divsChild>
                <w:div w:id="675882280">
                  <w:marLeft w:val="0"/>
                  <w:marRight w:val="0"/>
                  <w:marTop w:val="0"/>
                  <w:marBottom w:val="0"/>
                  <w:divBdr>
                    <w:top w:val="single" w:sz="6" w:space="0" w:color="CCCCCC"/>
                    <w:left w:val="single" w:sz="6" w:space="0" w:color="CCCCCC"/>
                    <w:bottom w:val="single" w:sz="6" w:space="0" w:color="CCCCCC"/>
                    <w:right w:val="single" w:sz="6" w:space="0" w:color="CCCCCC"/>
                  </w:divBdr>
                  <w:divsChild>
                    <w:div w:id="252083613">
                      <w:marLeft w:val="0"/>
                      <w:marRight w:val="0"/>
                      <w:marTop w:val="0"/>
                      <w:marBottom w:val="0"/>
                      <w:divBdr>
                        <w:top w:val="none" w:sz="0" w:space="0" w:color="auto"/>
                        <w:left w:val="none" w:sz="0" w:space="0" w:color="auto"/>
                        <w:bottom w:val="none" w:sz="0" w:space="0" w:color="auto"/>
                        <w:right w:val="none" w:sz="0" w:space="0" w:color="auto"/>
                      </w:divBdr>
                      <w:divsChild>
                        <w:div w:id="524439441">
                          <w:marLeft w:val="0"/>
                          <w:marRight w:val="0"/>
                          <w:marTop w:val="0"/>
                          <w:marBottom w:val="0"/>
                          <w:divBdr>
                            <w:top w:val="none" w:sz="0" w:space="0" w:color="auto"/>
                            <w:left w:val="none" w:sz="0" w:space="0" w:color="auto"/>
                            <w:bottom w:val="none" w:sz="0" w:space="0" w:color="auto"/>
                            <w:right w:val="none" w:sz="0" w:space="0" w:color="auto"/>
                          </w:divBdr>
                          <w:divsChild>
                            <w:div w:id="2094006880">
                              <w:marLeft w:val="0"/>
                              <w:marRight w:val="0"/>
                              <w:marTop w:val="0"/>
                              <w:marBottom w:val="0"/>
                              <w:divBdr>
                                <w:top w:val="none" w:sz="0" w:space="0" w:color="auto"/>
                                <w:left w:val="none" w:sz="0" w:space="0" w:color="auto"/>
                                <w:bottom w:val="none" w:sz="0" w:space="0" w:color="auto"/>
                                <w:right w:val="none" w:sz="0" w:space="0" w:color="auto"/>
                              </w:divBdr>
                              <w:divsChild>
                                <w:div w:id="1078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731880">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134100514">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304189990">
      <w:bodyDiv w:val="1"/>
      <w:marLeft w:val="0"/>
      <w:marRight w:val="0"/>
      <w:marTop w:val="0"/>
      <w:marBottom w:val="0"/>
      <w:divBdr>
        <w:top w:val="none" w:sz="0" w:space="0" w:color="auto"/>
        <w:left w:val="none" w:sz="0" w:space="0" w:color="auto"/>
        <w:bottom w:val="none" w:sz="0" w:space="0" w:color="auto"/>
        <w:right w:val="none" w:sz="0" w:space="0" w:color="auto"/>
      </w:divBdr>
    </w:div>
    <w:div w:id="1377049984">
      <w:bodyDiv w:val="1"/>
      <w:marLeft w:val="0"/>
      <w:marRight w:val="0"/>
      <w:marTop w:val="0"/>
      <w:marBottom w:val="0"/>
      <w:divBdr>
        <w:top w:val="none" w:sz="0" w:space="0" w:color="auto"/>
        <w:left w:val="none" w:sz="0" w:space="0" w:color="auto"/>
        <w:bottom w:val="none" w:sz="0" w:space="0" w:color="auto"/>
        <w:right w:val="none" w:sz="0" w:space="0" w:color="auto"/>
      </w:divBdr>
      <w:divsChild>
        <w:div w:id="441416641">
          <w:marLeft w:val="0"/>
          <w:marRight w:val="0"/>
          <w:marTop w:val="0"/>
          <w:marBottom w:val="0"/>
          <w:divBdr>
            <w:top w:val="none" w:sz="0" w:space="0" w:color="auto"/>
            <w:left w:val="none" w:sz="0" w:space="0" w:color="auto"/>
            <w:bottom w:val="none" w:sz="0" w:space="0" w:color="auto"/>
            <w:right w:val="none" w:sz="0" w:space="0" w:color="auto"/>
          </w:divBdr>
          <w:divsChild>
            <w:div w:id="482234361">
              <w:marLeft w:val="0"/>
              <w:marRight w:val="0"/>
              <w:marTop w:val="0"/>
              <w:marBottom w:val="0"/>
              <w:divBdr>
                <w:top w:val="none" w:sz="0" w:space="0" w:color="auto"/>
                <w:left w:val="none" w:sz="0" w:space="0" w:color="auto"/>
                <w:bottom w:val="none" w:sz="0" w:space="0" w:color="auto"/>
                <w:right w:val="none" w:sz="0" w:space="0" w:color="auto"/>
              </w:divBdr>
              <w:divsChild>
                <w:div w:id="1384014398">
                  <w:marLeft w:val="0"/>
                  <w:marRight w:val="0"/>
                  <w:marTop w:val="0"/>
                  <w:marBottom w:val="0"/>
                  <w:divBdr>
                    <w:top w:val="single" w:sz="6" w:space="0" w:color="CCCCCC"/>
                    <w:left w:val="single" w:sz="6" w:space="0" w:color="CCCCCC"/>
                    <w:bottom w:val="single" w:sz="6" w:space="0" w:color="CCCCCC"/>
                    <w:right w:val="single" w:sz="6" w:space="0" w:color="CCCCCC"/>
                  </w:divBdr>
                  <w:divsChild>
                    <w:div w:id="1477837863">
                      <w:marLeft w:val="0"/>
                      <w:marRight w:val="0"/>
                      <w:marTop w:val="0"/>
                      <w:marBottom w:val="0"/>
                      <w:divBdr>
                        <w:top w:val="none" w:sz="0" w:space="0" w:color="auto"/>
                        <w:left w:val="none" w:sz="0" w:space="0" w:color="auto"/>
                        <w:bottom w:val="none" w:sz="0" w:space="0" w:color="auto"/>
                        <w:right w:val="none" w:sz="0" w:space="0" w:color="auto"/>
                      </w:divBdr>
                      <w:divsChild>
                        <w:div w:id="210120116">
                          <w:marLeft w:val="0"/>
                          <w:marRight w:val="0"/>
                          <w:marTop w:val="0"/>
                          <w:marBottom w:val="0"/>
                          <w:divBdr>
                            <w:top w:val="none" w:sz="0" w:space="0" w:color="auto"/>
                            <w:left w:val="none" w:sz="0" w:space="0" w:color="auto"/>
                            <w:bottom w:val="none" w:sz="0" w:space="0" w:color="auto"/>
                            <w:right w:val="none" w:sz="0" w:space="0" w:color="auto"/>
                          </w:divBdr>
                          <w:divsChild>
                            <w:div w:id="1059984909">
                              <w:marLeft w:val="0"/>
                              <w:marRight w:val="0"/>
                              <w:marTop w:val="0"/>
                              <w:marBottom w:val="0"/>
                              <w:divBdr>
                                <w:top w:val="none" w:sz="0" w:space="0" w:color="auto"/>
                                <w:left w:val="none" w:sz="0" w:space="0" w:color="auto"/>
                                <w:bottom w:val="none" w:sz="0" w:space="0" w:color="auto"/>
                                <w:right w:val="none" w:sz="0" w:space="0" w:color="auto"/>
                              </w:divBdr>
                              <w:divsChild>
                                <w:div w:id="10007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466076">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0840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0596">
          <w:marLeft w:val="0"/>
          <w:marRight w:val="0"/>
          <w:marTop w:val="0"/>
          <w:marBottom w:val="0"/>
          <w:divBdr>
            <w:top w:val="none" w:sz="0" w:space="0" w:color="auto"/>
            <w:left w:val="none" w:sz="0" w:space="0" w:color="auto"/>
            <w:bottom w:val="none" w:sz="0" w:space="0" w:color="auto"/>
            <w:right w:val="none" w:sz="0" w:space="0" w:color="auto"/>
          </w:divBdr>
        </w:div>
      </w:divsChild>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11897881">
      <w:bodyDiv w:val="1"/>
      <w:marLeft w:val="0"/>
      <w:marRight w:val="0"/>
      <w:marTop w:val="0"/>
      <w:marBottom w:val="0"/>
      <w:divBdr>
        <w:top w:val="none" w:sz="0" w:space="0" w:color="auto"/>
        <w:left w:val="none" w:sz="0" w:space="0" w:color="auto"/>
        <w:bottom w:val="none" w:sz="0" w:space="0" w:color="auto"/>
        <w:right w:val="none" w:sz="0" w:space="0" w:color="auto"/>
      </w:divBdr>
      <w:divsChild>
        <w:div w:id="444809169">
          <w:marLeft w:val="0"/>
          <w:marRight w:val="0"/>
          <w:marTop w:val="0"/>
          <w:marBottom w:val="0"/>
          <w:divBdr>
            <w:top w:val="none" w:sz="0" w:space="0" w:color="auto"/>
            <w:left w:val="none" w:sz="0" w:space="0" w:color="auto"/>
            <w:bottom w:val="none" w:sz="0" w:space="0" w:color="auto"/>
            <w:right w:val="none" w:sz="0" w:space="0" w:color="auto"/>
          </w:divBdr>
        </w:div>
      </w:divsChild>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1854607992">
      <w:bodyDiv w:val="1"/>
      <w:marLeft w:val="0"/>
      <w:marRight w:val="0"/>
      <w:marTop w:val="0"/>
      <w:marBottom w:val="0"/>
      <w:divBdr>
        <w:top w:val="none" w:sz="0" w:space="0" w:color="auto"/>
        <w:left w:val="none" w:sz="0" w:space="0" w:color="auto"/>
        <w:bottom w:val="none" w:sz="0" w:space="0" w:color="auto"/>
        <w:right w:val="none" w:sz="0" w:space="0" w:color="auto"/>
      </w:divBdr>
      <w:divsChild>
        <w:div w:id="640310822">
          <w:marLeft w:val="0"/>
          <w:marRight w:val="0"/>
          <w:marTop w:val="0"/>
          <w:marBottom w:val="0"/>
          <w:divBdr>
            <w:top w:val="none" w:sz="0" w:space="0" w:color="auto"/>
            <w:left w:val="none" w:sz="0" w:space="0" w:color="auto"/>
            <w:bottom w:val="none" w:sz="0" w:space="0" w:color="auto"/>
            <w:right w:val="none" w:sz="0" w:space="0" w:color="auto"/>
          </w:divBdr>
          <w:divsChild>
            <w:div w:id="695540545">
              <w:marLeft w:val="0"/>
              <w:marRight w:val="0"/>
              <w:marTop w:val="0"/>
              <w:marBottom w:val="0"/>
              <w:divBdr>
                <w:top w:val="none" w:sz="0" w:space="0" w:color="auto"/>
                <w:left w:val="none" w:sz="0" w:space="0" w:color="auto"/>
                <w:bottom w:val="none" w:sz="0" w:space="0" w:color="auto"/>
                <w:right w:val="none" w:sz="0" w:space="0" w:color="auto"/>
              </w:divBdr>
              <w:divsChild>
                <w:div w:id="801730242">
                  <w:marLeft w:val="0"/>
                  <w:marRight w:val="0"/>
                  <w:marTop w:val="0"/>
                  <w:marBottom w:val="0"/>
                  <w:divBdr>
                    <w:top w:val="single" w:sz="6" w:space="0" w:color="CCCCCC"/>
                    <w:left w:val="single" w:sz="6" w:space="0" w:color="CCCCCC"/>
                    <w:bottom w:val="single" w:sz="6" w:space="0" w:color="CCCCCC"/>
                    <w:right w:val="single" w:sz="6" w:space="0" w:color="CCCCCC"/>
                  </w:divBdr>
                  <w:divsChild>
                    <w:div w:id="1881672312">
                      <w:marLeft w:val="0"/>
                      <w:marRight w:val="0"/>
                      <w:marTop w:val="0"/>
                      <w:marBottom w:val="0"/>
                      <w:divBdr>
                        <w:top w:val="none" w:sz="0" w:space="0" w:color="auto"/>
                        <w:left w:val="none" w:sz="0" w:space="0" w:color="auto"/>
                        <w:bottom w:val="none" w:sz="0" w:space="0" w:color="auto"/>
                        <w:right w:val="none" w:sz="0" w:space="0" w:color="auto"/>
                      </w:divBdr>
                      <w:divsChild>
                        <w:div w:id="986591772">
                          <w:marLeft w:val="0"/>
                          <w:marRight w:val="0"/>
                          <w:marTop w:val="0"/>
                          <w:marBottom w:val="0"/>
                          <w:divBdr>
                            <w:top w:val="none" w:sz="0" w:space="0" w:color="auto"/>
                            <w:left w:val="none" w:sz="0" w:space="0" w:color="auto"/>
                            <w:bottom w:val="none" w:sz="0" w:space="0" w:color="auto"/>
                            <w:right w:val="none" w:sz="0" w:space="0" w:color="auto"/>
                          </w:divBdr>
                          <w:divsChild>
                            <w:div w:id="1850481681">
                              <w:marLeft w:val="0"/>
                              <w:marRight w:val="0"/>
                              <w:marTop w:val="0"/>
                              <w:marBottom w:val="0"/>
                              <w:divBdr>
                                <w:top w:val="none" w:sz="0" w:space="0" w:color="auto"/>
                                <w:left w:val="none" w:sz="0" w:space="0" w:color="auto"/>
                                <w:bottom w:val="none" w:sz="0" w:space="0" w:color="auto"/>
                                <w:right w:val="none" w:sz="0" w:space="0" w:color="auto"/>
                              </w:divBdr>
                              <w:divsChild>
                                <w:div w:id="121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050110032">
      <w:bodyDiv w:val="1"/>
      <w:marLeft w:val="0"/>
      <w:marRight w:val="0"/>
      <w:marTop w:val="0"/>
      <w:marBottom w:val="0"/>
      <w:divBdr>
        <w:top w:val="none" w:sz="0" w:space="0" w:color="auto"/>
        <w:left w:val="none" w:sz="0" w:space="0" w:color="auto"/>
        <w:bottom w:val="none" w:sz="0" w:space="0" w:color="auto"/>
        <w:right w:val="none" w:sz="0" w:space="0" w:color="auto"/>
      </w:divBdr>
      <w:divsChild>
        <w:div w:id="1765225425">
          <w:marLeft w:val="0"/>
          <w:marRight w:val="0"/>
          <w:marTop w:val="0"/>
          <w:marBottom w:val="0"/>
          <w:divBdr>
            <w:top w:val="none" w:sz="0" w:space="0" w:color="auto"/>
            <w:left w:val="none" w:sz="0" w:space="0" w:color="auto"/>
            <w:bottom w:val="none" w:sz="0" w:space="0" w:color="auto"/>
            <w:right w:val="none" w:sz="0" w:space="0" w:color="auto"/>
          </w:divBdr>
          <w:divsChild>
            <w:div w:id="1396854916">
              <w:marLeft w:val="0"/>
              <w:marRight w:val="0"/>
              <w:marTop w:val="0"/>
              <w:marBottom w:val="0"/>
              <w:divBdr>
                <w:top w:val="none" w:sz="0" w:space="0" w:color="auto"/>
                <w:left w:val="none" w:sz="0" w:space="0" w:color="auto"/>
                <w:bottom w:val="none" w:sz="0" w:space="0" w:color="auto"/>
                <w:right w:val="none" w:sz="0" w:space="0" w:color="auto"/>
              </w:divBdr>
              <w:divsChild>
                <w:div w:id="1136754582">
                  <w:marLeft w:val="0"/>
                  <w:marRight w:val="0"/>
                  <w:marTop w:val="0"/>
                  <w:marBottom w:val="0"/>
                  <w:divBdr>
                    <w:top w:val="single" w:sz="6" w:space="0" w:color="CCCCCC"/>
                    <w:left w:val="single" w:sz="6" w:space="0" w:color="CCCCCC"/>
                    <w:bottom w:val="single" w:sz="6" w:space="0" w:color="CCCCCC"/>
                    <w:right w:val="single" w:sz="6" w:space="0" w:color="CCCCCC"/>
                  </w:divBdr>
                  <w:divsChild>
                    <w:div w:id="20517104">
                      <w:marLeft w:val="0"/>
                      <w:marRight w:val="0"/>
                      <w:marTop w:val="0"/>
                      <w:marBottom w:val="0"/>
                      <w:divBdr>
                        <w:top w:val="none" w:sz="0" w:space="0" w:color="auto"/>
                        <w:left w:val="none" w:sz="0" w:space="0" w:color="auto"/>
                        <w:bottom w:val="none" w:sz="0" w:space="0" w:color="auto"/>
                        <w:right w:val="none" w:sz="0" w:space="0" w:color="auto"/>
                      </w:divBdr>
                      <w:divsChild>
                        <w:div w:id="1434206776">
                          <w:marLeft w:val="0"/>
                          <w:marRight w:val="0"/>
                          <w:marTop w:val="0"/>
                          <w:marBottom w:val="0"/>
                          <w:divBdr>
                            <w:top w:val="none" w:sz="0" w:space="0" w:color="auto"/>
                            <w:left w:val="none" w:sz="0" w:space="0" w:color="auto"/>
                            <w:bottom w:val="none" w:sz="0" w:space="0" w:color="auto"/>
                            <w:right w:val="none" w:sz="0" w:space="0" w:color="auto"/>
                          </w:divBdr>
                          <w:divsChild>
                            <w:div w:id="283931558">
                              <w:marLeft w:val="0"/>
                              <w:marRight w:val="0"/>
                              <w:marTop w:val="0"/>
                              <w:marBottom w:val="0"/>
                              <w:divBdr>
                                <w:top w:val="none" w:sz="0" w:space="0" w:color="auto"/>
                                <w:left w:val="none" w:sz="0" w:space="0" w:color="auto"/>
                                <w:bottom w:val="none" w:sz="0" w:space="0" w:color="auto"/>
                                <w:right w:val="none" w:sz="0" w:space="0" w:color="auto"/>
                              </w:divBdr>
                              <w:divsChild>
                                <w:div w:id="1082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8741">
      <w:bodyDiv w:val="1"/>
      <w:marLeft w:val="0"/>
      <w:marRight w:val="0"/>
      <w:marTop w:val="0"/>
      <w:marBottom w:val="0"/>
      <w:divBdr>
        <w:top w:val="none" w:sz="0" w:space="0" w:color="auto"/>
        <w:left w:val="none" w:sz="0" w:space="0" w:color="auto"/>
        <w:bottom w:val="none" w:sz="0" w:space="0" w:color="auto"/>
        <w:right w:val="none" w:sz="0" w:space="0" w:color="auto"/>
      </w:divBdr>
      <w:divsChild>
        <w:div w:id="385615509">
          <w:marLeft w:val="0"/>
          <w:marRight w:val="0"/>
          <w:marTop w:val="0"/>
          <w:marBottom w:val="0"/>
          <w:divBdr>
            <w:top w:val="none" w:sz="0" w:space="0" w:color="auto"/>
            <w:left w:val="none" w:sz="0" w:space="0" w:color="auto"/>
            <w:bottom w:val="none" w:sz="0" w:space="0" w:color="auto"/>
            <w:right w:val="none" w:sz="0" w:space="0" w:color="auto"/>
          </w:divBdr>
          <w:divsChild>
            <w:div w:id="1156720763">
              <w:marLeft w:val="0"/>
              <w:marRight w:val="0"/>
              <w:marTop w:val="0"/>
              <w:marBottom w:val="0"/>
              <w:divBdr>
                <w:top w:val="none" w:sz="0" w:space="0" w:color="auto"/>
                <w:left w:val="none" w:sz="0" w:space="0" w:color="auto"/>
                <w:bottom w:val="none" w:sz="0" w:space="0" w:color="auto"/>
                <w:right w:val="none" w:sz="0" w:space="0" w:color="auto"/>
              </w:divBdr>
              <w:divsChild>
                <w:div w:id="406457900">
                  <w:marLeft w:val="0"/>
                  <w:marRight w:val="0"/>
                  <w:marTop w:val="0"/>
                  <w:marBottom w:val="0"/>
                  <w:divBdr>
                    <w:top w:val="single" w:sz="6" w:space="0" w:color="CCCCCC"/>
                    <w:left w:val="single" w:sz="6" w:space="0" w:color="CCCCCC"/>
                    <w:bottom w:val="single" w:sz="6" w:space="0" w:color="CCCCCC"/>
                    <w:right w:val="single" w:sz="6" w:space="0" w:color="CCCCCC"/>
                  </w:divBdr>
                  <w:divsChild>
                    <w:div w:id="1744792781">
                      <w:marLeft w:val="0"/>
                      <w:marRight w:val="0"/>
                      <w:marTop w:val="0"/>
                      <w:marBottom w:val="0"/>
                      <w:divBdr>
                        <w:top w:val="none" w:sz="0" w:space="0" w:color="auto"/>
                        <w:left w:val="none" w:sz="0" w:space="0" w:color="auto"/>
                        <w:bottom w:val="none" w:sz="0" w:space="0" w:color="auto"/>
                        <w:right w:val="none" w:sz="0" w:space="0" w:color="auto"/>
                      </w:divBdr>
                      <w:divsChild>
                        <w:div w:id="249117519">
                          <w:marLeft w:val="0"/>
                          <w:marRight w:val="0"/>
                          <w:marTop w:val="0"/>
                          <w:marBottom w:val="0"/>
                          <w:divBdr>
                            <w:top w:val="none" w:sz="0" w:space="0" w:color="auto"/>
                            <w:left w:val="none" w:sz="0" w:space="0" w:color="auto"/>
                            <w:bottom w:val="none" w:sz="0" w:space="0" w:color="auto"/>
                            <w:right w:val="none" w:sz="0" w:space="0" w:color="auto"/>
                          </w:divBdr>
                          <w:divsChild>
                            <w:div w:id="52583334">
                              <w:marLeft w:val="0"/>
                              <w:marRight w:val="0"/>
                              <w:marTop w:val="0"/>
                              <w:marBottom w:val="0"/>
                              <w:divBdr>
                                <w:top w:val="none" w:sz="0" w:space="0" w:color="auto"/>
                                <w:left w:val="none" w:sz="0" w:space="0" w:color="auto"/>
                                <w:bottom w:val="none" w:sz="0" w:space="0" w:color="auto"/>
                                <w:right w:val="none" w:sz="0" w:space="0" w:color="auto"/>
                              </w:divBdr>
                              <w:divsChild>
                                <w:div w:id="18662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299343">
      <w:bodyDiv w:val="1"/>
      <w:marLeft w:val="0"/>
      <w:marRight w:val="0"/>
      <w:marTop w:val="0"/>
      <w:marBottom w:val="0"/>
      <w:divBdr>
        <w:top w:val="none" w:sz="0" w:space="0" w:color="auto"/>
        <w:left w:val="none" w:sz="0" w:space="0" w:color="auto"/>
        <w:bottom w:val="none" w:sz="0" w:space="0" w:color="auto"/>
        <w:right w:val="none" w:sz="0" w:space="0" w:color="auto"/>
      </w:divBdr>
      <w:divsChild>
        <w:div w:id="1615942385">
          <w:marLeft w:val="0"/>
          <w:marRight w:val="0"/>
          <w:marTop w:val="0"/>
          <w:marBottom w:val="0"/>
          <w:divBdr>
            <w:top w:val="none" w:sz="0" w:space="0" w:color="auto"/>
            <w:left w:val="none" w:sz="0" w:space="0" w:color="auto"/>
            <w:bottom w:val="none" w:sz="0" w:space="0" w:color="auto"/>
            <w:right w:val="none" w:sz="0" w:space="0" w:color="auto"/>
          </w:divBdr>
        </w:div>
      </w:divsChild>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hyperlink" Target="http://www.mortality.org/" TargetMode="External"/><Relationship Id="rId3" Type="http://schemas.openxmlformats.org/officeDocument/2006/relationships/styles" Target="styles.xml"/><Relationship Id="rId21" Type="http://schemas.openxmlformats.org/officeDocument/2006/relationships/hyperlink" Target="http://www.mortality.org/"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hyperlink" Target="http://www.mortality.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mortality.org/" TargetMode="External"/><Relationship Id="rId29" Type="http://schemas.openxmlformats.org/officeDocument/2006/relationships/hyperlink" Target="https://demographs.shinyapps.io/CEE_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ortality.org/"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mortality.org/" TargetMode="External"/><Relationship Id="rId28" Type="http://schemas.openxmlformats.org/officeDocument/2006/relationships/hyperlink" Target="https://nccd.cdc.gov/dph_ardi/Info/ICDCodes.aspx" TargetMode="External"/><Relationship Id="rId10" Type="http://schemas.openxmlformats.org/officeDocument/2006/relationships/image" Target="media/image2.png"/><Relationship Id="rId19" Type="http://schemas.openxmlformats.org/officeDocument/2006/relationships/hyperlink" Target="http://www.mortality.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mographs.shinyapps.io/CEE_App/" TargetMode="External"/><Relationship Id="rId14" Type="http://schemas.openxmlformats.org/officeDocument/2006/relationships/image" Target="media/image4.png"/><Relationship Id="rId22" Type="http://schemas.openxmlformats.org/officeDocument/2006/relationships/hyperlink" Target="http://www.mortality.org/" TargetMode="External"/><Relationship Id="rId27" Type="http://schemas.openxmlformats.org/officeDocument/2006/relationships/hyperlink" Target="https://demographs.shinyapps.io/CEE_Ap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AE818-6FC0-4B50-A191-44F3F5B2B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31</Pages>
  <Words>11146</Words>
  <Characters>63537</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74534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José Manuel Aburto</cp:lastModifiedBy>
  <cp:revision>74</cp:revision>
  <dcterms:created xsi:type="dcterms:W3CDTF">2018-02-18T19:49:00Z</dcterms:created>
  <dcterms:modified xsi:type="dcterms:W3CDTF">2018-03-26T15:55:00Z</dcterms:modified>
</cp:coreProperties>
</file>