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748B46" w14:textId="39DEF4B8" w:rsidR="0004327F" w:rsidRPr="0004327F" w:rsidRDefault="0004327F" w:rsidP="0004327F">
      <w:pPr>
        <w:jc w:val="right"/>
        <w:rPr>
          <w:sz w:val="22"/>
        </w:rPr>
      </w:pPr>
      <w:r w:rsidRPr="0004327F">
        <w:rPr>
          <w:sz w:val="22"/>
        </w:rPr>
        <w:t>April 3, 2018</w:t>
      </w:r>
    </w:p>
    <w:p w14:paraId="4AEF34DE" w14:textId="4CE0DC69" w:rsidR="00012759" w:rsidRPr="0004327F" w:rsidRDefault="00012759" w:rsidP="001C6BD4">
      <w:pPr>
        <w:rPr>
          <w:sz w:val="22"/>
        </w:rPr>
      </w:pPr>
      <w:r w:rsidRPr="0004327F">
        <w:rPr>
          <w:sz w:val="22"/>
        </w:rPr>
        <w:t>Reply to editor</w:t>
      </w:r>
      <w:r w:rsidR="002010C1" w:rsidRPr="0004327F">
        <w:rPr>
          <w:sz w:val="22"/>
        </w:rPr>
        <w:t>s</w:t>
      </w:r>
    </w:p>
    <w:p w14:paraId="33EA3FF3" w14:textId="77777777" w:rsidR="00F55F4F" w:rsidRPr="0004327F" w:rsidRDefault="00F55F4F" w:rsidP="00012759">
      <w:pPr>
        <w:rPr>
          <w:rFonts w:cs="Times New Roman"/>
          <w:sz w:val="22"/>
        </w:rPr>
      </w:pPr>
    </w:p>
    <w:p w14:paraId="5D92B846" w14:textId="53CD00FA" w:rsidR="00230A14" w:rsidRPr="0004327F" w:rsidRDefault="00012759" w:rsidP="00012759">
      <w:pPr>
        <w:rPr>
          <w:rFonts w:cs="Times New Roman"/>
          <w:sz w:val="22"/>
        </w:rPr>
      </w:pPr>
      <w:r w:rsidRPr="0004327F">
        <w:rPr>
          <w:rFonts w:cs="Times New Roman"/>
          <w:sz w:val="22"/>
        </w:rPr>
        <w:t xml:space="preserve">We thank the editorial board for the opportunity to revise our manuscript. Our responses to the </w:t>
      </w:r>
      <w:r w:rsidR="0095610F" w:rsidRPr="0004327F">
        <w:rPr>
          <w:rFonts w:cs="Times New Roman"/>
          <w:sz w:val="22"/>
        </w:rPr>
        <w:t xml:space="preserve">editors’ </w:t>
      </w:r>
      <w:r w:rsidRPr="0004327F">
        <w:rPr>
          <w:rFonts w:cs="Times New Roman"/>
          <w:sz w:val="22"/>
        </w:rPr>
        <w:t xml:space="preserve">comments are outlined below in regular font with </w:t>
      </w:r>
      <w:r w:rsidR="0095610F" w:rsidRPr="0004327F">
        <w:rPr>
          <w:rFonts w:cs="Times New Roman"/>
          <w:sz w:val="22"/>
        </w:rPr>
        <w:t>edito</w:t>
      </w:r>
      <w:r w:rsidRPr="0004327F">
        <w:rPr>
          <w:rFonts w:cs="Times New Roman"/>
          <w:sz w:val="22"/>
        </w:rPr>
        <w:t>r’s comments in bold font.</w:t>
      </w:r>
      <w:r w:rsidR="00230A14" w:rsidRPr="0004327F">
        <w:rPr>
          <w:rFonts w:cs="Times New Roman"/>
          <w:sz w:val="22"/>
        </w:rPr>
        <w:t xml:space="preserve"> </w:t>
      </w:r>
    </w:p>
    <w:p w14:paraId="5DF5BF0C" w14:textId="47301E11" w:rsidR="00012759" w:rsidRPr="0004327F" w:rsidRDefault="00012759">
      <w:pPr>
        <w:rPr>
          <w:sz w:val="22"/>
        </w:rPr>
      </w:pPr>
    </w:p>
    <w:p w14:paraId="72C1B97C" w14:textId="77777777" w:rsidR="002010C1" w:rsidRPr="0004327F" w:rsidRDefault="002010C1" w:rsidP="002010C1">
      <w:pPr>
        <w:autoSpaceDE w:val="0"/>
        <w:autoSpaceDN w:val="0"/>
        <w:adjustRightInd w:val="0"/>
        <w:jc w:val="both"/>
        <w:rPr>
          <w:rFonts w:cs="Times New Roman"/>
          <w:b/>
          <w:sz w:val="22"/>
        </w:rPr>
      </w:pPr>
      <w:r w:rsidRPr="0004327F">
        <w:rPr>
          <w:rFonts w:cs="Times New Roman"/>
          <w:b/>
          <w:sz w:val="22"/>
        </w:rPr>
        <w:t xml:space="preserve">We received a useful set of reviews that we believe can help you revise and improve the manuscript. The general directive is to provide the clarifications, corrections, explanations, and some possible re-analyses requested. </w:t>
      </w:r>
    </w:p>
    <w:p w14:paraId="7C10BF67" w14:textId="77777777" w:rsidR="002010C1" w:rsidRPr="0004327F" w:rsidRDefault="002010C1" w:rsidP="002010C1">
      <w:pPr>
        <w:autoSpaceDE w:val="0"/>
        <w:autoSpaceDN w:val="0"/>
        <w:adjustRightInd w:val="0"/>
        <w:jc w:val="both"/>
        <w:rPr>
          <w:rFonts w:cs="Times New Roman"/>
          <w:b/>
          <w:sz w:val="22"/>
        </w:rPr>
      </w:pPr>
    </w:p>
    <w:p w14:paraId="73560740" w14:textId="77777777" w:rsidR="002010C1" w:rsidRPr="0004327F" w:rsidRDefault="002010C1" w:rsidP="002010C1">
      <w:pPr>
        <w:autoSpaceDE w:val="0"/>
        <w:autoSpaceDN w:val="0"/>
        <w:adjustRightInd w:val="0"/>
        <w:jc w:val="both"/>
        <w:rPr>
          <w:rFonts w:cs="Times New Roman"/>
          <w:b/>
          <w:sz w:val="22"/>
        </w:rPr>
      </w:pPr>
      <w:r w:rsidRPr="0004327F">
        <w:rPr>
          <w:rFonts w:cs="Times New Roman"/>
          <w:b/>
          <w:sz w:val="22"/>
        </w:rPr>
        <w:t xml:space="preserve">R1 scored the manuscript low on theoretical contribution and adequacy of the evidence Among other issues, they report several concerns: the inclusion of infant mortality, the overestimated role of alcohol, and the lack of a broader discussion on the added value of the lifespan indicators. </w:t>
      </w:r>
    </w:p>
    <w:p w14:paraId="7B2A90C4" w14:textId="77777777" w:rsidR="002010C1" w:rsidRPr="0004327F" w:rsidRDefault="002010C1" w:rsidP="002010C1">
      <w:pPr>
        <w:autoSpaceDE w:val="0"/>
        <w:autoSpaceDN w:val="0"/>
        <w:adjustRightInd w:val="0"/>
        <w:jc w:val="both"/>
        <w:rPr>
          <w:rFonts w:cs="Times New Roman"/>
          <w:b/>
          <w:sz w:val="22"/>
        </w:rPr>
      </w:pPr>
    </w:p>
    <w:p w14:paraId="359CAA10" w14:textId="1BC0083F" w:rsidR="00230A14" w:rsidRPr="0004327F" w:rsidRDefault="00230A14" w:rsidP="00230A14">
      <w:pPr>
        <w:autoSpaceDE w:val="0"/>
        <w:autoSpaceDN w:val="0"/>
        <w:adjustRightInd w:val="0"/>
        <w:jc w:val="both"/>
        <w:rPr>
          <w:rFonts w:cs="Times New Roman"/>
          <w:sz w:val="22"/>
        </w:rPr>
      </w:pPr>
      <w:r w:rsidRPr="0004327F">
        <w:rPr>
          <w:rFonts w:cs="Times New Roman"/>
          <w:sz w:val="22"/>
        </w:rPr>
        <w:t>Reviewer 1</w:t>
      </w:r>
      <w:r w:rsidR="00442C2A" w:rsidRPr="0004327F">
        <w:rPr>
          <w:rFonts w:cs="Times New Roman"/>
          <w:sz w:val="22"/>
        </w:rPr>
        <w:t>’s comments led</w:t>
      </w:r>
      <w:r w:rsidRPr="0004327F">
        <w:rPr>
          <w:rFonts w:cs="Times New Roman"/>
          <w:sz w:val="22"/>
        </w:rPr>
        <w:t xml:space="preserve"> us to go deeper into </w:t>
      </w:r>
      <w:r w:rsidR="005F7FFD" w:rsidRPr="0004327F">
        <w:rPr>
          <w:rFonts w:cs="Times New Roman"/>
          <w:sz w:val="22"/>
        </w:rPr>
        <w:t xml:space="preserve">country-specific </w:t>
      </w:r>
      <w:r w:rsidRPr="0004327F">
        <w:rPr>
          <w:rFonts w:cs="Times New Roman"/>
          <w:sz w:val="22"/>
        </w:rPr>
        <w:t xml:space="preserve">data quality issues and to explore more substantive explanations about mortality change, particularly in Central Europe. </w:t>
      </w:r>
      <w:r w:rsidR="005F7FFD" w:rsidRPr="0004327F">
        <w:rPr>
          <w:rFonts w:cs="Times New Roman"/>
          <w:sz w:val="22"/>
        </w:rPr>
        <w:t xml:space="preserve">There is always the danger with a </w:t>
      </w:r>
      <w:r w:rsidR="00957A96" w:rsidRPr="0004327F">
        <w:rPr>
          <w:rFonts w:cs="Times New Roman"/>
          <w:sz w:val="22"/>
        </w:rPr>
        <w:t>large</w:t>
      </w:r>
      <w:r w:rsidR="005F7FFD" w:rsidRPr="0004327F">
        <w:rPr>
          <w:rFonts w:cs="Times New Roman"/>
          <w:sz w:val="22"/>
        </w:rPr>
        <w:t xml:space="preserve"> comparative study that important differences between countries get overlooked, and admittedly this was </w:t>
      </w:r>
      <w:r w:rsidR="00957A96" w:rsidRPr="0004327F">
        <w:rPr>
          <w:rFonts w:cs="Times New Roman"/>
          <w:sz w:val="22"/>
        </w:rPr>
        <w:t>a weakness in</w:t>
      </w:r>
      <w:r w:rsidR="005F7FFD" w:rsidRPr="0004327F">
        <w:rPr>
          <w:rFonts w:cs="Times New Roman"/>
          <w:sz w:val="22"/>
        </w:rPr>
        <w:t xml:space="preserve"> the previous version of the manuscript. </w:t>
      </w:r>
      <w:r w:rsidR="00957A96" w:rsidRPr="0004327F">
        <w:rPr>
          <w:rFonts w:cs="Times New Roman"/>
          <w:sz w:val="22"/>
        </w:rPr>
        <w:t xml:space="preserve">We </w:t>
      </w:r>
      <w:r w:rsidR="002C3AF4" w:rsidRPr="0004327F">
        <w:rPr>
          <w:rFonts w:cs="Times New Roman"/>
          <w:sz w:val="22"/>
        </w:rPr>
        <w:t xml:space="preserve">appreciated and </w:t>
      </w:r>
      <w:r w:rsidR="00957A96" w:rsidRPr="0004327F">
        <w:rPr>
          <w:rFonts w:cs="Times New Roman"/>
          <w:sz w:val="22"/>
        </w:rPr>
        <w:t xml:space="preserve">took each comment seriously, and </w:t>
      </w:r>
      <w:r w:rsidRPr="0004327F">
        <w:rPr>
          <w:rFonts w:cs="Times New Roman"/>
          <w:sz w:val="22"/>
        </w:rPr>
        <w:t xml:space="preserve">hope that by addressing </w:t>
      </w:r>
      <w:r w:rsidR="005F7FFD" w:rsidRPr="0004327F">
        <w:rPr>
          <w:rFonts w:cs="Times New Roman"/>
          <w:sz w:val="22"/>
        </w:rPr>
        <w:t xml:space="preserve">each of </w:t>
      </w:r>
      <w:r w:rsidRPr="0004327F">
        <w:rPr>
          <w:rFonts w:cs="Times New Roman"/>
          <w:sz w:val="22"/>
        </w:rPr>
        <w:t xml:space="preserve">these issues, </w:t>
      </w:r>
      <w:r w:rsidR="005F7FFD" w:rsidRPr="0004327F">
        <w:rPr>
          <w:rFonts w:cs="Times New Roman"/>
          <w:sz w:val="22"/>
        </w:rPr>
        <w:t xml:space="preserve">and by pushing the different interpretations that come out of lifespan variation as compared to life expectancy, </w:t>
      </w:r>
      <w:r w:rsidRPr="0004327F">
        <w:rPr>
          <w:rFonts w:cs="Times New Roman"/>
          <w:sz w:val="22"/>
        </w:rPr>
        <w:t>we have ultimately improved the integrity</w:t>
      </w:r>
      <w:r w:rsidR="005F7FFD" w:rsidRPr="0004327F">
        <w:rPr>
          <w:rFonts w:cs="Times New Roman"/>
          <w:sz w:val="22"/>
        </w:rPr>
        <w:t xml:space="preserve"> and overall added value</w:t>
      </w:r>
      <w:r w:rsidRPr="0004327F">
        <w:rPr>
          <w:rFonts w:cs="Times New Roman"/>
          <w:sz w:val="22"/>
        </w:rPr>
        <w:t xml:space="preserve"> of the manuscript. </w:t>
      </w:r>
      <w:r w:rsidR="005F7FFD" w:rsidRPr="0004327F">
        <w:rPr>
          <w:rFonts w:cs="Times New Roman"/>
          <w:sz w:val="22"/>
        </w:rPr>
        <w:t>More details can be found in the reply to reviewers section.</w:t>
      </w:r>
    </w:p>
    <w:p w14:paraId="75B0FF7F" w14:textId="77777777" w:rsidR="00230A14" w:rsidRPr="0004327F" w:rsidRDefault="00230A14" w:rsidP="002010C1">
      <w:pPr>
        <w:autoSpaceDE w:val="0"/>
        <w:autoSpaceDN w:val="0"/>
        <w:adjustRightInd w:val="0"/>
        <w:jc w:val="both"/>
        <w:rPr>
          <w:rFonts w:cs="Times New Roman"/>
          <w:b/>
          <w:sz w:val="22"/>
        </w:rPr>
      </w:pPr>
    </w:p>
    <w:p w14:paraId="76F2F28B" w14:textId="77777777" w:rsidR="002010C1" w:rsidRPr="0004327F" w:rsidRDefault="002010C1" w:rsidP="002010C1">
      <w:pPr>
        <w:autoSpaceDE w:val="0"/>
        <w:autoSpaceDN w:val="0"/>
        <w:adjustRightInd w:val="0"/>
        <w:jc w:val="both"/>
        <w:rPr>
          <w:rFonts w:cs="Times New Roman"/>
          <w:b/>
          <w:sz w:val="22"/>
        </w:rPr>
      </w:pPr>
      <w:r w:rsidRPr="0004327F">
        <w:rPr>
          <w:rFonts w:cs="Times New Roman"/>
          <w:b/>
          <w:sz w:val="22"/>
        </w:rPr>
        <w:t xml:space="preserve">R2 would like the more interesting and important results to be highlighted and/or summarized as well as consideration given to looking at subgroupings of countries. </w:t>
      </w:r>
    </w:p>
    <w:p w14:paraId="7AEA4DB2" w14:textId="77777777" w:rsidR="002010C1" w:rsidRPr="0004327F" w:rsidRDefault="002010C1" w:rsidP="002010C1">
      <w:pPr>
        <w:autoSpaceDE w:val="0"/>
        <w:autoSpaceDN w:val="0"/>
        <w:adjustRightInd w:val="0"/>
        <w:jc w:val="both"/>
        <w:rPr>
          <w:rFonts w:cs="Times New Roman"/>
          <w:b/>
          <w:sz w:val="22"/>
        </w:rPr>
      </w:pPr>
    </w:p>
    <w:p w14:paraId="5DBB78C3" w14:textId="72EC18E9" w:rsidR="005F7FFD" w:rsidRPr="0004327F" w:rsidRDefault="005F7FFD" w:rsidP="002010C1">
      <w:pPr>
        <w:autoSpaceDE w:val="0"/>
        <w:autoSpaceDN w:val="0"/>
        <w:adjustRightInd w:val="0"/>
        <w:jc w:val="both"/>
        <w:rPr>
          <w:rFonts w:cs="Times New Roman"/>
          <w:sz w:val="22"/>
        </w:rPr>
      </w:pPr>
      <w:r w:rsidRPr="0004327F">
        <w:rPr>
          <w:rFonts w:cs="Times New Roman"/>
          <w:sz w:val="22"/>
        </w:rPr>
        <w:t>As far as possible, we grouped our discussion around 3 broad groupings that each experienced more similar trends: Central Europe, the Baltic countries, and the other</w:t>
      </w:r>
      <w:r w:rsidR="00D229F9" w:rsidRPr="0004327F">
        <w:rPr>
          <w:rFonts w:cs="Times New Roman"/>
          <w:sz w:val="22"/>
        </w:rPr>
        <w:t xml:space="preserve"> former Soviet countries</w:t>
      </w:r>
      <w:r w:rsidRPr="0004327F">
        <w:rPr>
          <w:rFonts w:cs="Times New Roman"/>
          <w:sz w:val="22"/>
        </w:rPr>
        <w:t xml:space="preserve"> </w:t>
      </w:r>
      <w:r w:rsidR="00D229F9" w:rsidRPr="0004327F">
        <w:rPr>
          <w:rFonts w:cs="Times New Roman"/>
          <w:sz w:val="22"/>
        </w:rPr>
        <w:t>(</w:t>
      </w:r>
      <w:r w:rsidRPr="0004327F">
        <w:rPr>
          <w:rFonts w:cs="Times New Roman"/>
          <w:sz w:val="22"/>
        </w:rPr>
        <w:t>FSU</w:t>
      </w:r>
      <w:r w:rsidR="00D229F9" w:rsidRPr="0004327F">
        <w:rPr>
          <w:rFonts w:cs="Times New Roman"/>
          <w:sz w:val="22"/>
        </w:rPr>
        <w:t>)</w:t>
      </w:r>
      <w:r w:rsidRPr="0004327F">
        <w:rPr>
          <w:rFonts w:cs="Times New Roman"/>
          <w:sz w:val="22"/>
        </w:rPr>
        <w:t>. We also tried to further highlight the truly exceptional nature of the CEE mortality patterns, while also putting the implications of our findings into a broader international context by contrasting such patterns with typical western patterns.</w:t>
      </w:r>
    </w:p>
    <w:p w14:paraId="7C14B936" w14:textId="77777777" w:rsidR="005F7FFD" w:rsidRPr="0004327F" w:rsidRDefault="005F7FFD" w:rsidP="002010C1">
      <w:pPr>
        <w:autoSpaceDE w:val="0"/>
        <w:autoSpaceDN w:val="0"/>
        <w:adjustRightInd w:val="0"/>
        <w:jc w:val="both"/>
        <w:rPr>
          <w:rFonts w:cs="Times New Roman"/>
          <w:b/>
          <w:sz w:val="22"/>
        </w:rPr>
      </w:pPr>
    </w:p>
    <w:p w14:paraId="7C068FE7" w14:textId="5707F147" w:rsidR="002010C1" w:rsidRPr="0004327F" w:rsidRDefault="002010C1" w:rsidP="002010C1">
      <w:pPr>
        <w:autoSpaceDE w:val="0"/>
        <w:autoSpaceDN w:val="0"/>
        <w:adjustRightInd w:val="0"/>
        <w:jc w:val="both"/>
        <w:rPr>
          <w:rFonts w:cs="Times New Roman"/>
          <w:b/>
          <w:sz w:val="22"/>
        </w:rPr>
      </w:pPr>
      <w:r w:rsidRPr="0004327F">
        <w:rPr>
          <w:rFonts w:cs="Times New Roman"/>
          <w:b/>
          <w:sz w:val="22"/>
        </w:rPr>
        <w:t>R3 asks the authors to consider including cause-specific data from WHO, which would strengthen the analysis further. Please consider following this suggestion.</w:t>
      </w:r>
    </w:p>
    <w:p w14:paraId="10809D55" w14:textId="77777777" w:rsidR="005F7FFD" w:rsidRPr="0004327F" w:rsidRDefault="005F7FFD">
      <w:pPr>
        <w:rPr>
          <w:sz w:val="22"/>
        </w:rPr>
      </w:pPr>
    </w:p>
    <w:p w14:paraId="1F4D7049" w14:textId="0AD6216D" w:rsidR="00957A96" w:rsidRPr="0004327F" w:rsidRDefault="005F7FFD">
      <w:pPr>
        <w:rPr>
          <w:sz w:val="22"/>
        </w:rPr>
      </w:pPr>
      <w:r w:rsidRPr="0004327F">
        <w:rPr>
          <w:sz w:val="22"/>
        </w:rPr>
        <w:t>We considered this possibility also at an earlier stage</w:t>
      </w:r>
      <w:r w:rsidR="00957A96" w:rsidRPr="0004327F">
        <w:rPr>
          <w:sz w:val="22"/>
        </w:rPr>
        <w:t xml:space="preserve"> of research</w:t>
      </w:r>
      <w:r w:rsidRPr="0004327F">
        <w:rPr>
          <w:sz w:val="22"/>
        </w:rPr>
        <w:t>. Frankly, the ruptures between causes of death over the ICD revisions were so large, that we were w</w:t>
      </w:r>
      <w:r w:rsidR="00957A96" w:rsidRPr="0004327F">
        <w:rPr>
          <w:sz w:val="22"/>
        </w:rPr>
        <w:t>orried about the data integrity and felt strongly that it was better to err on the side of caution. In the current version of the manuscript we explain the problems with WHO data in greater detail and have included an online link to figures showing the extent of these ruptures. By doing so, we hope we can bring the problem of unharmonized cause-of-death data to the attention of the research community, so that the value of reconstructed time series of cause of death data can be more fully appreciated.</w:t>
      </w:r>
    </w:p>
    <w:p w14:paraId="45F95DFB" w14:textId="77777777" w:rsidR="00957A96" w:rsidRPr="0004327F" w:rsidRDefault="00957A96">
      <w:pPr>
        <w:rPr>
          <w:sz w:val="22"/>
        </w:rPr>
      </w:pPr>
    </w:p>
    <w:p w14:paraId="34D49B70" w14:textId="10C3D4D2" w:rsidR="002010C1" w:rsidRPr="0004327F" w:rsidRDefault="00284F19">
      <w:pPr>
        <w:rPr>
          <w:sz w:val="22"/>
          <w:lang w:val="en-CA"/>
        </w:rPr>
      </w:pPr>
      <w:r w:rsidRPr="0004327F">
        <w:rPr>
          <w:sz w:val="22"/>
        </w:rPr>
        <w:t xml:space="preserve">Thank </w:t>
      </w:r>
      <w:r w:rsidRPr="0004327F">
        <w:rPr>
          <w:sz w:val="22"/>
          <w:lang w:val="en-CA"/>
        </w:rPr>
        <w:t>you again for considering our manuscript.</w:t>
      </w:r>
    </w:p>
    <w:p w14:paraId="43C8383B" w14:textId="7B51EFAC" w:rsidR="0004327F" w:rsidRPr="0004327F" w:rsidRDefault="0004327F">
      <w:pPr>
        <w:rPr>
          <w:sz w:val="22"/>
          <w:lang w:val="en-CA"/>
        </w:rPr>
      </w:pPr>
    </w:p>
    <w:p w14:paraId="1164A561" w14:textId="5A5F863E" w:rsidR="0004327F" w:rsidRPr="0004327F" w:rsidRDefault="0004327F">
      <w:pPr>
        <w:rPr>
          <w:sz w:val="22"/>
          <w:lang w:val="en-CA"/>
        </w:rPr>
      </w:pPr>
      <w:r w:rsidRPr="0004327F">
        <w:rPr>
          <w:sz w:val="22"/>
          <w:lang w:val="en-CA"/>
        </w:rPr>
        <w:t>José Manuel Aburto</w:t>
      </w:r>
    </w:p>
    <w:p w14:paraId="1DADD3DD" w14:textId="6E1B8C49" w:rsidR="0004327F" w:rsidRPr="0004327F" w:rsidRDefault="0004327F">
      <w:pPr>
        <w:rPr>
          <w:sz w:val="22"/>
          <w:lang w:val="en-CA"/>
        </w:rPr>
      </w:pPr>
      <w:r w:rsidRPr="0004327F">
        <w:rPr>
          <w:sz w:val="22"/>
          <w:lang w:val="en-CA"/>
        </w:rPr>
        <w:t>Alyson van Raalte</w:t>
      </w:r>
    </w:p>
    <w:p w14:paraId="1197B541" w14:textId="77777777" w:rsidR="0004327F" w:rsidRDefault="0004327F">
      <w:pPr>
        <w:rPr>
          <w:lang w:val="en-CA"/>
        </w:rPr>
      </w:pPr>
    </w:p>
    <w:p w14:paraId="28578E9B" w14:textId="77777777" w:rsidR="002C6F23" w:rsidRPr="003F3399" w:rsidRDefault="002C6F23">
      <w:pPr>
        <w:rPr>
          <w:lang w:val="en-CA"/>
        </w:rPr>
      </w:pPr>
    </w:p>
    <w:p w14:paraId="1A32819D" w14:textId="77777777" w:rsidR="0004327F" w:rsidRDefault="0004327F" w:rsidP="0053754D">
      <w:pPr>
        <w:jc w:val="both"/>
        <w:rPr>
          <w:b/>
        </w:rPr>
      </w:pPr>
    </w:p>
    <w:p w14:paraId="1C7A4D3B" w14:textId="11EF08D5" w:rsidR="002010C1" w:rsidRPr="00012759" w:rsidRDefault="002010C1" w:rsidP="0053754D">
      <w:pPr>
        <w:jc w:val="both"/>
        <w:rPr>
          <w:b/>
        </w:rPr>
      </w:pPr>
      <w:r w:rsidRPr="00012759">
        <w:rPr>
          <w:b/>
        </w:rPr>
        <w:lastRenderedPageBreak/>
        <w:t>Reply to reviewers</w:t>
      </w:r>
    </w:p>
    <w:p w14:paraId="1AF19C0A" w14:textId="77777777" w:rsidR="002010C1" w:rsidRPr="004C1231" w:rsidRDefault="002010C1" w:rsidP="0053754D">
      <w:pPr>
        <w:autoSpaceDE w:val="0"/>
        <w:autoSpaceDN w:val="0"/>
        <w:adjustRightInd w:val="0"/>
        <w:jc w:val="both"/>
        <w:rPr>
          <w:rFonts w:cs="Times New Roman"/>
          <w:szCs w:val="24"/>
        </w:rPr>
      </w:pPr>
      <w:r w:rsidRPr="00F27036">
        <w:rPr>
          <w:rFonts w:cs="Times New Roman"/>
          <w:szCs w:val="24"/>
        </w:rPr>
        <w:t>We appreciate the reviewers' comments; their det</w:t>
      </w:r>
      <w:r>
        <w:rPr>
          <w:rFonts w:cs="Times New Roman"/>
          <w:szCs w:val="24"/>
        </w:rPr>
        <w:t xml:space="preserve">ailed reading of the manuscript </w:t>
      </w:r>
      <w:r w:rsidRPr="00F27036">
        <w:rPr>
          <w:rFonts w:cs="Times New Roman"/>
          <w:szCs w:val="24"/>
        </w:rPr>
        <w:t xml:space="preserve">and many suggestions that have greatly improved the article. </w:t>
      </w:r>
      <w:r w:rsidRPr="004C1231">
        <w:rPr>
          <w:rFonts w:cs="Times New Roman"/>
          <w:szCs w:val="24"/>
        </w:rPr>
        <w:t xml:space="preserve">Our responses to the reviewers’ comments are outlined below </w:t>
      </w:r>
      <w:r>
        <w:rPr>
          <w:rFonts w:cs="Times New Roman"/>
          <w:szCs w:val="24"/>
        </w:rPr>
        <w:t xml:space="preserve">in regular font with reviewer’s comments </w:t>
      </w:r>
      <w:r w:rsidRPr="004C1231">
        <w:rPr>
          <w:rFonts w:cs="Times New Roman"/>
          <w:szCs w:val="24"/>
        </w:rPr>
        <w:t>in bold font.</w:t>
      </w:r>
    </w:p>
    <w:p w14:paraId="41FBE9AC" w14:textId="77777777" w:rsidR="002010C1" w:rsidRDefault="002010C1" w:rsidP="0053754D">
      <w:pPr>
        <w:jc w:val="both"/>
      </w:pPr>
    </w:p>
    <w:p w14:paraId="04821B23" w14:textId="56CCFD44" w:rsidR="002010C1" w:rsidRDefault="002010C1" w:rsidP="0053754D">
      <w:pPr>
        <w:jc w:val="both"/>
        <w:rPr>
          <w:b/>
        </w:rPr>
      </w:pPr>
      <w:r w:rsidRPr="00111E2D">
        <w:rPr>
          <w:b/>
        </w:rPr>
        <w:t>R</w:t>
      </w:r>
      <w:r>
        <w:rPr>
          <w:b/>
        </w:rPr>
        <w:t>eviewer</w:t>
      </w:r>
      <w:r w:rsidRPr="00111E2D">
        <w:rPr>
          <w:b/>
        </w:rPr>
        <w:t xml:space="preserve"> 1</w:t>
      </w:r>
    </w:p>
    <w:p w14:paraId="111CED1A" w14:textId="6FFA5F4F" w:rsidR="002010C1" w:rsidRDefault="002010C1" w:rsidP="0053754D">
      <w:pPr>
        <w:jc w:val="both"/>
        <w:rPr>
          <w:b/>
        </w:rPr>
      </w:pPr>
    </w:p>
    <w:p w14:paraId="4DF38545" w14:textId="77777777" w:rsidR="009F6742" w:rsidRPr="0053754D" w:rsidRDefault="009F6742" w:rsidP="009F6742">
      <w:pPr>
        <w:jc w:val="both"/>
      </w:pPr>
      <w:r w:rsidRPr="0053754D">
        <w:t>We</w:t>
      </w:r>
      <w:r>
        <w:t xml:space="preserve"> thank the reviewer for her/his suggestions. The paper has been revised and re-organized accordingly. Below are the changes/responses to her/his comments.</w:t>
      </w:r>
    </w:p>
    <w:p w14:paraId="124C8009" w14:textId="77777777" w:rsidR="009F6742" w:rsidRDefault="009F6742" w:rsidP="0053754D">
      <w:pPr>
        <w:jc w:val="both"/>
        <w:rPr>
          <w:b/>
        </w:rPr>
      </w:pPr>
    </w:p>
    <w:p w14:paraId="753A7A74" w14:textId="7CF8F46B" w:rsidR="002010C1" w:rsidRDefault="002010C1" w:rsidP="0053754D">
      <w:pPr>
        <w:jc w:val="both"/>
        <w:rPr>
          <w:b/>
        </w:rPr>
      </w:pPr>
      <w:r w:rsidRPr="002010C1">
        <w:rPr>
          <w:b/>
        </w:rPr>
        <w:t xml:space="preserve">The submitted article represents a solid research finding in the field of lifespan inequalities, focused on the region of Central and Eastern Europe. The studied file of countries represents a known exception from the epidemiologic transition theory and the extension to the study of lifespan disparities seems needed and novel. The authors use advanced methods of lifespan dispersion decomposition and its suitable graphical representation. </w:t>
      </w:r>
    </w:p>
    <w:p w14:paraId="03ED378E" w14:textId="2C011B02" w:rsidR="0053754D" w:rsidRDefault="0053754D" w:rsidP="0053754D">
      <w:pPr>
        <w:jc w:val="both"/>
        <w:rPr>
          <w:b/>
        </w:rPr>
      </w:pPr>
    </w:p>
    <w:p w14:paraId="5F78ABB9" w14:textId="561B20AD" w:rsidR="002010C1" w:rsidRDefault="002010C1" w:rsidP="0053754D">
      <w:pPr>
        <w:jc w:val="both"/>
        <w:rPr>
          <w:b/>
        </w:rPr>
      </w:pPr>
      <w:r w:rsidRPr="002010C1">
        <w:rPr>
          <w:b/>
        </w:rPr>
        <w:t>The text is well structured, however we surprisingly find the main findings already at the end of the introduction. The first section of Results should be called „Age specific rates of mortality improvement“. Different analyses use different distinction of periods, ranging from 3 to 5. Authors explain that period were defined statistically but the final selection doesn</w:t>
      </w:r>
      <w:r w:rsidR="0053754D">
        <w:rPr>
          <w:b/>
        </w:rPr>
        <w:t>’</w:t>
      </w:r>
      <w:r w:rsidRPr="002010C1">
        <w:rPr>
          <w:b/>
        </w:rPr>
        <w:t xml:space="preserve">t correspond to what is described in footnote No.4. </w:t>
      </w:r>
    </w:p>
    <w:p w14:paraId="0FE01893" w14:textId="77777777" w:rsidR="006B6AE6" w:rsidRDefault="006B6AE6" w:rsidP="0053754D">
      <w:pPr>
        <w:jc w:val="both"/>
      </w:pPr>
    </w:p>
    <w:p w14:paraId="4EB6B6F1" w14:textId="54E9293E" w:rsidR="00597B92" w:rsidRDefault="00597B92" w:rsidP="0053754D">
      <w:pPr>
        <w:jc w:val="both"/>
      </w:pPr>
      <w:r w:rsidRPr="00597B92">
        <w:t>We thank the reviewer for her/his observations.</w:t>
      </w:r>
      <w:r>
        <w:t xml:space="preserve"> The text containing the main findings at the end of the introduction was deleted from this section and merged with the first paragraph of the discussion to highlight the main contribution of the study. It now reads:</w:t>
      </w:r>
    </w:p>
    <w:p w14:paraId="2DCD8E16" w14:textId="77777777" w:rsidR="00EC5E57" w:rsidRDefault="00EC5E57" w:rsidP="0053754D">
      <w:pPr>
        <w:jc w:val="both"/>
      </w:pPr>
    </w:p>
    <w:p w14:paraId="243ABE4B" w14:textId="189ABECF" w:rsidR="00597B92" w:rsidRDefault="00597B92" w:rsidP="0053754D">
      <w:pPr>
        <w:jc w:val="both"/>
        <w:rPr>
          <w:color w:val="000000"/>
        </w:rPr>
      </w:pPr>
      <w:r>
        <w:t xml:space="preserve">“… </w:t>
      </w:r>
      <w:r w:rsidRPr="00EC5E57">
        <w:rPr>
          <w:i/>
          <w:color w:val="000000"/>
        </w:rPr>
        <w:t xml:space="preserve">Over the study period, the acute mortality crises of the </w:t>
      </w:r>
      <w:r w:rsidRPr="00975961">
        <w:rPr>
          <w:i/>
          <w:color w:val="000000"/>
        </w:rPr>
        <w:t>1990s</w:t>
      </w:r>
      <w:r w:rsidRPr="00EC5E57">
        <w:rPr>
          <w:i/>
          <w:color w:val="000000"/>
        </w:rPr>
        <w:t xml:space="preserve"> caused greater year-to-year fluctuation in lifespan variation than in life expectancy. Life expectancy and life disparity moved independently from one another, particularly during periods of life expectancy stagnation caused by uneven age-specific mortality change. Fluctuations in life disparity were, to a large extent, caused by fluctuation in mid</w:t>
      </w:r>
      <w:r w:rsidR="00EC5E57" w:rsidRPr="00EC5E57">
        <w:rPr>
          <w:i/>
          <w:color w:val="000000"/>
        </w:rPr>
        <w:t>-</w:t>
      </w:r>
      <w:r w:rsidRPr="00EC5E57">
        <w:rPr>
          <w:i/>
          <w:color w:val="000000"/>
        </w:rPr>
        <w:t>life mortality that was directly or partially attributable to mortality amenable to alcohol consumption, with different net effects depending on the country and time period.</w:t>
      </w:r>
      <w:r w:rsidR="00EC5E57">
        <w:rPr>
          <w:color w:val="000000"/>
        </w:rPr>
        <w:t>”</w:t>
      </w:r>
    </w:p>
    <w:p w14:paraId="0396C100" w14:textId="665E4D61" w:rsidR="00EC5E57" w:rsidRDefault="00EC5E57" w:rsidP="0053754D">
      <w:pPr>
        <w:jc w:val="both"/>
        <w:rPr>
          <w:color w:val="000000"/>
        </w:rPr>
      </w:pPr>
    </w:p>
    <w:p w14:paraId="4ACB642B" w14:textId="38C594A6" w:rsidR="00EC5E57" w:rsidRDefault="00EC5E57" w:rsidP="0053754D">
      <w:pPr>
        <w:jc w:val="both"/>
        <w:rPr>
          <w:color w:val="000000"/>
        </w:rPr>
      </w:pPr>
      <w:r>
        <w:rPr>
          <w:color w:val="000000"/>
        </w:rPr>
        <w:t>The first section of Results is now called “</w:t>
      </w:r>
      <w:r w:rsidRPr="00B93B69">
        <w:rPr>
          <w:i/>
          <w:color w:val="000000"/>
        </w:rPr>
        <w:t>Age specific rates of mortality improvement</w:t>
      </w:r>
      <w:r>
        <w:rPr>
          <w:color w:val="000000"/>
        </w:rPr>
        <w:t>”, as suggested.</w:t>
      </w:r>
    </w:p>
    <w:p w14:paraId="1340D955" w14:textId="654AD563" w:rsidR="00EC5E57" w:rsidRDefault="00EC5E57" w:rsidP="0053754D">
      <w:pPr>
        <w:jc w:val="both"/>
      </w:pPr>
    </w:p>
    <w:p w14:paraId="0DA85356" w14:textId="1901AAB5" w:rsidR="00E94A2A" w:rsidRDefault="005825D4" w:rsidP="0053754D">
      <w:pPr>
        <w:jc w:val="both"/>
      </w:pPr>
      <w:r>
        <w:t>It is true that the analyses differ</w:t>
      </w:r>
      <w:r w:rsidR="00F55F4F">
        <w:t>ed</w:t>
      </w:r>
      <w:r>
        <w:t xml:space="preserve"> in terms of the distinction of the periods</w:t>
      </w:r>
      <w:r w:rsidR="000D2831">
        <w:t xml:space="preserve">. To make the analysis consistent, Figure 2 now includes the two additional periods that are shown in the subsequent </w:t>
      </w:r>
      <w:r w:rsidR="00344170">
        <w:t>f</w:t>
      </w:r>
      <w:r w:rsidR="000D2831">
        <w:t>igure</w:t>
      </w:r>
      <w:r w:rsidR="00344170">
        <w:t>s</w:t>
      </w:r>
      <w:r w:rsidR="00542006">
        <w:t xml:space="preserve"> and it has been described accordingly</w:t>
      </w:r>
      <w:r w:rsidR="000D2831">
        <w:t xml:space="preserve">. </w:t>
      </w:r>
      <w:r w:rsidR="00E94A2A">
        <w:t>Now it looks like:</w:t>
      </w:r>
    </w:p>
    <w:p w14:paraId="3503622D" w14:textId="3F7878AD" w:rsidR="00894CE8" w:rsidRDefault="00894CE8" w:rsidP="0053754D">
      <w:pPr>
        <w:jc w:val="both"/>
      </w:pPr>
    </w:p>
    <w:p w14:paraId="0BBA5673" w14:textId="7F78F461" w:rsidR="00894CE8" w:rsidRDefault="00894CE8" w:rsidP="0053754D">
      <w:pPr>
        <w:jc w:val="both"/>
      </w:pPr>
      <w:r>
        <w:rPr>
          <w:noProof/>
        </w:rPr>
        <w:lastRenderedPageBreak/>
        <w:drawing>
          <wp:anchor distT="0" distB="0" distL="114300" distR="114300" simplePos="0" relativeHeight="251656704" behindDoc="0" locked="0" layoutInCell="1" allowOverlap="1" wp14:anchorId="36025870" wp14:editId="5F4A8C75">
            <wp:simplePos x="0" y="0"/>
            <wp:positionH relativeFrom="column">
              <wp:posOffset>-113161</wp:posOffset>
            </wp:positionH>
            <wp:positionV relativeFrom="paragraph">
              <wp:posOffset>56561</wp:posOffset>
            </wp:positionV>
            <wp:extent cx="6400800" cy="424497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244975"/>
                    </a:xfrm>
                    <a:prstGeom prst="rect">
                      <a:avLst/>
                    </a:prstGeom>
                  </pic:spPr>
                </pic:pic>
              </a:graphicData>
            </a:graphic>
            <wp14:sizeRelH relativeFrom="page">
              <wp14:pctWidth>0</wp14:pctWidth>
            </wp14:sizeRelH>
            <wp14:sizeRelV relativeFrom="page">
              <wp14:pctHeight>0</wp14:pctHeight>
            </wp14:sizeRelV>
          </wp:anchor>
        </w:drawing>
      </w:r>
    </w:p>
    <w:p w14:paraId="17A9AF65" w14:textId="28EDF1C3" w:rsidR="00F93762" w:rsidRDefault="00F93762" w:rsidP="0053754D">
      <w:pPr>
        <w:jc w:val="both"/>
      </w:pPr>
    </w:p>
    <w:p w14:paraId="4B609869" w14:textId="76279BD9" w:rsidR="00F93762" w:rsidRDefault="00F93762" w:rsidP="0053754D">
      <w:pPr>
        <w:jc w:val="both"/>
      </w:pPr>
    </w:p>
    <w:p w14:paraId="69620CD6" w14:textId="77777777" w:rsidR="00E94A2A" w:rsidRDefault="00E94A2A" w:rsidP="0053754D">
      <w:pPr>
        <w:jc w:val="both"/>
      </w:pPr>
    </w:p>
    <w:p w14:paraId="02E92A35" w14:textId="60412BB0" w:rsidR="005825D4" w:rsidRDefault="000D2831" w:rsidP="0053754D">
      <w:pPr>
        <w:jc w:val="both"/>
      </w:pPr>
      <w:r>
        <w:t>The statistical break points in slope changes</w:t>
      </w:r>
      <w:r w:rsidR="0074201B">
        <w:t xml:space="preserve"> in the coefficient of variation</w:t>
      </w:r>
      <w:r>
        <w:t xml:space="preserve"> for male life expectancy</w:t>
      </w:r>
      <w:r w:rsidR="00E271C4">
        <w:t xml:space="preserve"> between countries</w:t>
      </w:r>
      <w:r>
        <w:t xml:space="preserve"> were 1960, 1976, 1986, 1993 and 2001. </w:t>
      </w:r>
      <w:r w:rsidR="00497205">
        <w:t xml:space="preserve">We instead used </w:t>
      </w:r>
      <w:r w:rsidR="003D141E">
        <w:t xml:space="preserve">complete decades or historical events </w:t>
      </w:r>
      <w:r w:rsidR="00497205">
        <w:t>which</w:t>
      </w:r>
      <w:r w:rsidR="003D141E">
        <w:t xml:space="preserve"> ma</w:t>
      </w:r>
      <w:r w:rsidR="00497205">
        <w:t>d</w:t>
      </w:r>
      <w:r w:rsidR="003D141E">
        <w:t xml:space="preserve">e </w:t>
      </w:r>
      <w:r>
        <w:t>the interpretation of the results easier</w:t>
      </w:r>
      <w:r w:rsidR="003D141E">
        <w:t xml:space="preserve"> than having used these exact break points</w:t>
      </w:r>
      <w:r w:rsidR="00497205">
        <w:t>, which were all within 3 years of the cut points</w:t>
      </w:r>
      <w:r>
        <w:t>.</w:t>
      </w:r>
      <w:r w:rsidR="00AA0177">
        <w:t xml:space="preserve"> For example, the period 1960-1979 (complete years) </w:t>
      </w:r>
      <w:r w:rsidR="00497205">
        <w:t xml:space="preserve">included the </w:t>
      </w:r>
      <w:r w:rsidR="00AA0177">
        <w:t>two decades with no substantial changes in the coefficient of variation</w:t>
      </w:r>
      <w:r w:rsidR="00E271C4">
        <w:t xml:space="preserve"> between life expectancies</w:t>
      </w:r>
      <w:r w:rsidR="00AA0177">
        <w:t>. The next break point (1986) was extended to 1988 to include completely Gorbachev</w:t>
      </w:r>
      <w:r w:rsidR="00344170">
        <w:t>’s</w:t>
      </w:r>
      <w:r w:rsidR="00AA0177">
        <w:t xml:space="preserve"> anti-alcohol campaign, which was implemented in the period 1985-1988. This campaign was an unprecedented effort- in both scale and scope- to control supply and demand of alcohol and, simultaneously raising the effective price of drinking and subsidizing substitutes for alcohol consumption (</w:t>
      </w:r>
      <w:r w:rsidR="00AA0177" w:rsidRPr="00201071">
        <w:t>Bhattacharya</w:t>
      </w:r>
      <w:r w:rsidR="00E94A2A" w:rsidRPr="00201071">
        <w:t xml:space="preserve"> et al</w:t>
      </w:r>
      <w:r w:rsidR="00AA0177" w:rsidRPr="00201071">
        <w:t xml:space="preserve"> 2013</w:t>
      </w:r>
      <w:r w:rsidR="0054788E" w:rsidRPr="00201071">
        <w:t>).</w:t>
      </w:r>
      <w:r w:rsidR="0054788E">
        <w:t xml:space="preserve"> Additionally,</w:t>
      </w:r>
      <w:r w:rsidR="00E94A2A" w:rsidRPr="00201071">
        <w:t xml:space="preserve"> </w:t>
      </w:r>
      <w:r w:rsidR="0054788E">
        <w:t>t</w:t>
      </w:r>
      <w:r w:rsidR="00E94A2A" w:rsidRPr="00201071">
        <w:t xml:space="preserve">his campaign was </w:t>
      </w:r>
      <w:r w:rsidR="00E94A2A" w:rsidRPr="00E94A2A">
        <w:t>partly the reason of the rise in life expectancy in those years (Leon et al 1997, Bobadilla et al 1997, Cockerman 1999)</w:t>
      </w:r>
      <w:r w:rsidR="00201071">
        <w:t>. The following break point was used exactly since it allows the period 1988-1993 to include</w:t>
      </w:r>
      <w:r w:rsidR="0054788E">
        <w:t xml:space="preserve"> the dissolution of the Soviet Union in late 1991 and</w:t>
      </w:r>
      <w:r w:rsidR="00201071">
        <w:t xml:space="preserve"> the largest drops in life expectancy </w:t>
      </w:r>
      <w:r w:rsidR="00AF61AF">
        <w:t xml:space="preserve">in Russia, Latvia, Estonia, Lithuania, and less marked in Ukraine, Belarus, and Bulgaria </w:t>
      </w:r>
      <w:r w:rsidR="0054788E">
        <w:t xml:space="preserve">in 1992-1993 </w:t>
      </w:r>
      <w:r w:rsidR="00AF61AF">
        <w:t>(see Figure 2 in the manuscript and HMD 2018)</w:t>
      </w:r>
      <w:r w:rsidR="0054788E">
        <w:t>. Finally, the year 2001 was changed to 2000 to start with the 21</w:t>
      </w:r>
      <w:r w:rsidR="0054788E" w:rsidRPr="0054788E">
        <w:rPr>
          <w:vertAlign w:val="superscript"/>
        </w:rPr>
        <w:t>st</w:t>
      </w:r>
      <w:r w:rsidR="0054788E">
        <w:t xml:space="preserve"> century.</w:t>
      </w:r>
    </w:p>
    <w:p w14:paraId="0CAA7B6E" w14:textId="05EE1936" w:rsidR="00D445A8" w:rsidRDefault="00D445A8" w:rsidP="0053754D">
      <w:pPr>
        <w:jc w:val="both"/>
      </w:pPr>
    </w:p>
    <w:p w14:paraId="08096B35" w14:textId="1BB6947A" w:rsidR="000F3040" w:rsidRDefault="00497205" w:rsidP="0053754D">
      <w:pPr>
        <w:jc w:val="both"/>
      </w:pPr>
      <w:r>
        <w:lastRenderedPageBreak/>
        <w:t>We understand the concern about why we did not</w:t>
      </w:r>
      <w:r w:rsidR="00F55F4F">
        <w:t xml:space="preserve"> instead use</w:t>
      </w:r>
      <w:r>
        <w:t xml:space="preserve"> the (potentially more objective) statistical breaks. To demonstrate that this had little impact on our results, we have recreated the association</w:t>
      </w:r>
      <w:r w:rsidR="000250FC">
        <w:t xml:space="preserve"> </w:t>
      </w:r>
      <w:r>
        <w:t>figure with the statistically determined cut-off periods</w:t>
      </w:r>
      <w:r w:rsidR="000250FC">
        <w:t xml:space="preserve"> (see below)</w:t>
      </w:r>
      <w:r>
        <w:t>. Our selection does not change the main results compared with the statistically found ones</w:t>
      </w:r>
      <w:r w:rsidR="004E0DD1">
        <w:t>. In fact, the statistically determined breaks actually result in a marginally higher number of positively correlated changes in life expectancy and lifespan disparity for every period (see table below).</w:t>
      </w:r>
      <w:r>
        <w:t xml:space="preserve"> </w:t>
      </w:r>
      <w:r w:rsidR="00D445A8">
        <w:t>In addition, we have created an interactive app (</w:t>
      </w:r>
      <w:hyperlink r:id="rId9" w:history="1">
        <w:r w:rsidR="00D445A8" w:rsidRPr="00225329">
          <w:rPr>
            <w:rStyle w:val="Hyperlink"/>
          </w:rPr>
          <w:t>https://demographs.shinyapps.io/CEE_App/</w:t>
        </w:r>
      </w:hyperlink>
      <w:r w:rsidR="001A37FE">
        <w:t>)</w:t>
      </w:r>
      <w:r w:rsidR="00D445A8">
        <w:t>. In this app, the reviewers</w:t>
      </w:r>
      <w:r>
        <w:t xml:space="preserve"> (and later the readers)</w:t>
      </w:r>
      <w:r w:rsidR="00D445A8">
        <w:t xml:space="preserve"> can select the years</w:t>
      </w:r>
      <w:r w:rsidR="000F3040">
        <w:t xml:space="preserve"> (</w:t>
      </w:r>
      <w:r w:rsidR="00136163">
        <w:t xml:space="preserve">Association results by period and </w:t>
      </w:r>
      <w:r w:rsidR="000F3040">
        <w:t>Decomposition results by period panel</w:t>
      </w:r>
      <w:r w:rsidR="00136163">
        <w:t>s</w:t>
      </w:r>
      <w:r w:rsidR="000F3040">
        <w:t>)</w:t>
      </w:r>
      <w:r w:rsidR="00D445A8">
        <w:t xml:space="preserve"> selected statistically (or any combination) and see </w:t>
      </w:r>
      <w:r w:rsidR="000F3040">
        <w:t>how sensitive the results are to the selection of the periods.</w:t>
      </w:r>
      <w:r>
        <w:t xml:space="preserve"> We hope this will alleviate any potential reader concerns that we might have cherry picked dates to strengthen our arguments.</w:t>
      </w:r>
    </w:p>
    <w:p w14:paraId="5A4CED76" w14:textId="77777777" w:rsidR="006B6AE6" w:rsidRDefault="006B6AE6" w:rsidP="0053754D">
      <w:pPr>
        <w:jc w:val="both"/>
      </w:pPr>
    </w:p>
    <w:p w14:paraId="019B5F07" w14:textId="0C15E0DD" w:rsidR="00AA0177" w:rsidRDefault="00D34ADF" w:rsidP="0053754D">
      <w:pPr>
        <w:jc w:val="both"/>
      </w:pPr>
      <w:r>
        <w:rPr>
          <w:noProof/>
        </w:rPr>
        <w:drawing>
          <wp:anchor distT="0" distB="0" distL="114300" distR="114300" simplePos="0" relativeHeight="251657728" behindDoc="0" locked="0" layoutInCell="1" allowOverlap="1" wp14:anchorId="70F0FB85" wp14:editId="36025DA2">
            <wp:simplePos x="0" y="0"/>
            <wp:positionH relativeFrom="column">
              <wp:posOffset>-346841</wp:posOffset>
            </wp:positionH>
            <wp:positionV relativeFrom="paragraph">
              <wp:posOffset>302654</wp:posOffset>
            </wp:positionV>
            <wp:extent cx="6646207" cy="344949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6207" cy="3449495"/>
                    </a:xfrm>
                    <a:prstGeom prst="rect">
                      <a:avLst/>
                    </a:prstGeom>
                  </pic:spPr>
                </pic:pic>
              </a:graphicData>
            </a:graphic>
            <wp14:sizeRelH relativeFrom="page">
              <wp14:pctWidth>0</wp14:pctWidth>
            </wp14:sizeRelH>
            <wp14:sizeRelV relativeFrom="page">
              <wp14:pctHeight>0</wp14:pctHeight>
            </wp14:sizeRelV>
          </wp:anchor>
        </w:drawing>
      </w:r>
      <w:r w:rsidR="006B6AE6">
        <w:t>Results with statistical break points:</w:t>
      </w:r>
    </w:p>
    <w:p w14:paraId="387187E2" w14:textId="5B0C90A5" w:rsidR="006B6AE6" w:rsidRDefault="006B6AE6" w:rsidP="0053754D">
      <w:pPr>
        <w:jc w:val="both"/>
      </w:pPr>
    </w:p>
    <w:p w14:paraId="36263137" w14:textId="457059B9" w:rsidR="008576D9" w:rsidRDefault="008576D9">
      <w:r>
        <w:br w:type="page"/>
      </w:r>
    </w:p>
    <w:p w14:paraId="77CB4AAA" w14:textId="23B90FB8" w:rsidR="003F6508" w:rsidRDefault="0080320F" w:rsidP="0053754D">
      <w:pPr>
        <w:jc w:val="both"/>
      </w:pPr>
      <w:r>
        <w:lastRenderedPageBreak/>
        <w:t>Table. Proportions of changes in life expectancy and lifespan variation in the same and opposite direction, using statistical</w:t>
      </w:r>
      <w:r w:rsidR="004E0DD1">
        <w:t xml:space="preserve">ly determined </w:t>
      </w:r>
      <w:r>
        <w:t>break points</w:t>
      </w:r>
      <w:r w:rsidR="004E0DD1">
        <w:t xml:space="preserve"> versus historically determined break points</w:t>
      </w:r>
      <w:r>
        <w:t>.</w:t>
      </w:r>
      <w:r w:rsidR="003C4037">
        <w:t xml:space="preserve"> “</w:t>
      </w:r>
      <w:r w:rsidR="008576D9">
        <w:t>Expected</w:t>
      </w:r>
      <w:r w:rsidR="003C4037">
        <w:t xml:space="preserve"> direction” refer to mortality change that caused either </w:t>
      </w:r>
      <w:r w:rsidR="008576D9">
        <w:t>a simultaneous</w:t>
      </w:r>
      <w:r w:rsidR="003C4037">
        <w:t xml:space="preserve"> increase in life expectancy and </w:t>
      </w:r>
      <w:r w:rsidR="008576D9">
        <w:t xml:space="preserve">decrease </w:t>
      </w:r>
      <w:r w:rsidR="003C4037">
        <w:t>in life disparity</w:t>
      </w:r>
      <w:r w:rsidR="008576D9">
        <w:t xml:space="preserve"> or vice versa. Changes in an ‘unexpected direction’ were when both indices either increased or decreased together (aka weakening the commonly observed negative correlation).</w:t>
      </w:r>
    </w:p>
    <w:p w14:paraId="66AD3256" w14:textId="6456952D" w:rsidR="003F6508" w:rsidRDefault="003F6508" w:rsidP="0053754D">
      <w:pPr>
        <w:jc w:val="both"/>
      </w:pPr>
    </w:p>
    <w:tbl>
      <w:tblPr>
        <w:tblW w:w="9660" w:type="dxa"/>
        <w:tblInd w:w="93" w:type="dxa"/>
        <w:tblLook w:val="04A0" w:firstRow="1" w:lastRow="0" w:firstColumn="1" w:lastColumn="0" w:noHBand="0" w:noVBand="1"/>
      </w:tblPr>
      <w:tblGrid>
        <w:gridCol w:w="1406"/>
        <w:gridCol w:w="1380"/>
        <w:gridCol w:w="1380"/>
        <w:gridCol w:w="1380"/>
        <w:gridCol w:w="1380"/>
        <w:gridCol w:w="1380"/>
        <w:gridCol w:w="1380"/>
      </w:tblGrid>
      <w:tr w:rsidR="004E0DD1" w:rsidRPr="004E0DD1" w14:paraId="0D789F14" w14:textId="77777777" w:rsidTr="004E0DD1">
        <w:trPr>
          <w:trHeight w:val="288"/>
        </w:trPr>
        <w:tc>
          <w:tcPr>
            <w:tcW w:w="1380" w:type="dxa"/>
            <w:tcBorders>
              <w:top w:val="nil"/>
              <w:left w:val="nil"/>
              <w:bottom w:val="nil"/>
              <w:right w:val="nil"/>
            </w:tcBorders>
            <w:shd w:val="clear" w:color="auto" w:fill="auto"/>
            <w:noWrap/>
            <w:vAlign w:val="bottom"/>
            <w:hideMark/>
          </w:tcPr>
          <w:p w14:paraId="01C20CC8"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Period</w:t>
            </w:r>
          </w:p>
        </w:tc>
        <w:tc>
          <w:tcPr>
            <w:tcW w:w="2760" w:type="dxa"/>
            <w:gridSpan w:val="2"/>
            <w:tcBorders>
              <w:top w:val="nil"/>
              <w:left w:val="nil"/>
              <w:bottom w:val="nil"/>
              <w:right w:val="nil"/>
            </w:tcBorders>
            <w:shd w:val="clear" w:color="auto" w:fill="auto"/>
            <w:noWrap/>
            <w:vAlign w:val="bottom"/>
            <w:hideMark/>
          </w:tcPr>
          <w:p w14:paraId="0C70F5DA"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Years</w:t>
            </w:r>
          </w:p>
        </w:tc>
        <w:tc>
          <w:tcPr>
            <w:tcW w:w="2760" w:type="dxa"/>
            <w:gridSpan w:val="2"/>
            <w:tcBorders>
              <w:top w:val="nil"/>
              <w:left w:val="nil"/>
              <w:bottom w:val="nil"/>
              <w:right w:val="nil"/>
            </w:tcBorders>
            <w:shd w:val="clear" w:color="auto" w:fill="auto"/>
            <w:noWrap/>
            <w:vAlign w:val="bottom"/>
            <w:hideMark/>
          </w:tcPr>
          <w:p w14:paraId="64947194" w14:textId="1A519AAE" w:rsidR="004E0DD1" w:rsidRPr="004E0DD1" w:rsidRDefault="00463763" w:rsidP="004E0DD1">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Une</w:t>
            </w:r>
            <w:r w:rsidR="008576D9">
              <w:rPr>
                <w:rFonts w:ascii="Calibri" w:eastAsia="Times New Roman" w:hAnsi="Calibri" w:cs="Times New Roman"/>
                <w:color w:val="000000"/>
                <w:sz w:val="20"/>
                <w:szCs w:val="20"/>
              </w:rPr>
              <w:t>xpected direction</w:t>
            </w:r>
          </w:p>
        </w:tc>
        <w:tc>
          <w:tcPr>
            <w:tcW w:w="2760" w:type="dxa"/>
            <w:gridSpan w:val="2"/>
            <w:tcBorders>
              <w:top w:val="nil"/>
              <w:left w:val="nil"/>
              <w:bottom w:val="nil"/>
              <w:right w:val="nil"/>
            </w:tcBorders>
            <w:shd w:val="clear" w:color="auto" w:fill="auto"/>
            <w:noWrap/>
            <w:vAlign w:val="bottom"/>
            <w:hideMark/>
          </w:tcPr>
          <w:p w14:paraId="2DD6333E" w14:textId="04FA7B08" w:rsidR="004E0DD1" w:rsidRPr="004E0DD1" w:rsidRDefault="00463763" w:rsidP="003C4037">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E</w:t>
            </w:r>
            <w:r w:rsidR="008576D9">
              <w:rPr>
                <w:rFonts w:ascii="Calibri" w:eastAsia="Times New Roman" w:hAnsi="Calibri" w:cs="Times New Roman"/>
                <w:color w:val="000000"/>
                <w:sz w:val="20"/>
                <w:szCs w:val="20"/>
              </w:rPr>
              <w:t>xpected direction</w:t>
            </w:r>
          </w:p>
        </w:tc>
      </w:tr>
      <w:tr w:rsidR="004E0DD1" w:rsidRPr="004E0DD1" w14:paraId="7256CB11" w14:textId="77777777" w:rsidTr="004E0DD1">
        <w:trPr>
          <w:trHeight w:val="288"/>
        </w:trPr>
        <w:tc>
          <w:tcPr>
            <w:tcW w:w="1380" w:type="dxa"/>
            <w:tcBorders>
              <w:top w:val="nil"/>
              <w:left w:val="nil"/>
              <w:bottom w:val="nil"/>
              <w:right w:val="nil"/>
            </w:tcBorders>
            <w:shd w:val="clear" w:color="auto" w:fill="auto"/>
            <w:noWrap/>
            <w:vAlign w:val="bottom"/>
            <w:hideMark/>
          </w:tcPr>
          <w:p w14:paraId="677B75AA" w14:textId="77777777" w:rsidR="004E0DD1" w:rsidRPr="004E0DD1" w:rsidRDefault="004E0DD1" w:rsidP="004E0DD1">
            <w:pPr>
              <w:jc w:val="center"/>
              <w:rPr>
                <w:rFonts w:ascii="Calibri" w:eastAsia="Times New Roman" w:hAnsi="Calibri" w:cs="Times New Roman"/>
                <w:color w:val="000000"/>
                <w:sz w:val="20"/>
                <w:szCs w:val="20"/>
              </w:rPr>
            </w:pPr>
          </w:p>
        </w:tc>
        <w:tc>
          <w:tcPr>
            <w:tcW w:w="1380" w:type="dxa"/>
            <w:tcBorders>
              <w:top w:val="nil"/>
              <w:left w:val="nil"/>
              <w:bottom w:val="nil"/>
              <w:right w:val="nil"/>
            </w:tcBorders>
            <w:shd w:val="clear" w:color="auto" w:fill="auto"/>
            <w:noWrap/>
            <w:vAlign w:val="bottom"/>
            <w:hideMark/>
          </w:tcPr>
          <w:p w14:paraId="065DEBD4"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Statistical</w:t>
            </w:r>
          </w:p>
        </w:tc>
        <w:tc>
          <w:tcPr>
            <w:tcW w:w="1380" w:type="dxa"/>
            <w:tcBorders>
              <w:top w:val="nil"/>
              <w:left w:val="nil"/>
              <w:bottom w:val="nil"/>
              <w:right w:val="nil"/>
            </w:tcBorders>
            <w:shd w:val="clear" w:color="auto" w:fill="auto"/>
            <w:noWrap/>
            <w:vAlign w:val="bottom"/>
            <w:hideMark/>
          </w:tcPr>
          <w:p w14:paraId="5C2CDB29"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Historical</w:t>
            </w:r>
          </w:p>
        </w:tc>
        <w:tc>
          <w:tcPr>
            <w:tcW w:w="1380" w:type="dxa"/>
            <w:tcBorders>
              <w:top w:val="nil"/>
              <w:left w:val="nil"/>
              <w:bottom w:val="nil"/>
              <w:right w:val="nil"/>
            </w:tcBorders>
            <w:shd w:val="clear" w:color="auto" w:fill="auto"/>
            <w:noWrap/>
            <w:vAlign w:val="bottom"/>
            <w:hideMark/>
          </w:tcPr>
          <w:p w14:paraId="3FE0A81C"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Statistical</w:t>
            </w:r>
          </w:p>
        </w:tc>
        <w:tc>
          <w:tcPr>
            <w:tcW w:w="1380" w:type="dxa"/>
            <w:tcBorders>
              <w:top w:val="nil"/>
              <w:left w:val="nil"/>
              <w:bottom w:val="nil"/>
              <w:right w:val="nil"/>
            </w:tcBorders>
            <w:shd w:val="clear" w:color="auto" w:fill="auto"/>
            <w:noWrap/>
            <w:vAlign w:val="bottom"/>
            <w:hideMark/>
          </w:tcPr>
          <w:p w14:paraId="289E0973"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Historical</w:t>
            </w:r>
          </w:p>
        </w:tc>
        <w:tc>
          <w:tcPr>
            <w:tcW w:w="1380" w:type="dxa"/>
            <w:tcBorders>
              <w:top w:val="nil"/>
              <w:left w:val="nil"/>
              <w:bottom w:val="nil"/>
              <w:right w:val="nil"/>
            </w:tcBorders>
            <w:shd w:val="clear" w:color="auto" w:fill="auto"/>
            <w:noWrap/>
            <w:vAlign w:val="bottom"/>
            <w:hideMark/>
          </w:tcPr>
          <w:p w14:paraId="51DD3AFF"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Statistical</w:t>
            </w:r>
          </w:p>
        </w:tc>
        <w:tc>
          <w:tcPr>
            <w:tcW w:w="1380" w:type="dxa"/>
            <w:tcBorders>
              <w:top w:val="nil"/>
              <w:left w:val="nil"/>
              <w:bottom w:val="nil"/>
              <w:right w:val="nil"/>
            </w:tcBorders>
            <w:shd w:val="clear" w:color="auto" w:fill="auto"/>
            <w:noWrap/>
            <w:vAlign w:val="bottom"/>
            <w:hideMark/>
          </w:tcPr>
          <w:p w14:paraId="2F2D27A6"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Historical</w:t>
            </w:r>
          </w:p>
        </w:tc>
      </w:tr>
      <w:tr w:rsidR="004E0DD1" w:rsidRPr="004E0DD1" w14:paraId="24C6375C" w14:textId="77777777" w:rsidTr="004E0DD1">
        <w:trPr>
          <w:trHeight w:val="288"/>
        </w:trPr>
        <w:tc>
          <w:tcPr>
            <w:tcW w:w="1380" w:type="dxa"/>
            <w:tcBorders>
              <w:top w:val="nil"/>
              <w:left w:val="nil"/>
              <w:bottom w:val="nil"/>
              <w:right w:val="nil"/>
            </w:tcBorders>
            <w:shd w:val="clear" w:color="auto" w:fill="auto"/>
            <w:noWrap/>
            <w:vAlign w:val="bottom"/>
            <w:hideMark/>
          </w:tcPr>
          <w:p w14:paraId="06B93B1F"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Stagnation</w:t>
            </w:r>
          </w:p>
        </w:tc>
        <w:tc>
          <w:tcPr>
            <w:tcW w:w="1380" w:type="dxa"/>
            <w:tcBorders>
              <w:top w:val="nil"/>
              <w:left w:val="nil"/>
              <w:bottom w:val="nil"/>
              <w:right w:val="nil"/>
            </w:tcBorders>
            <w:shd w:val="clear" w:color="auto" w:fill="auto"/>
            <w:noWrap/>
            <w:vAlign w:val="bottom"/>
            <w:hideMark/>
          </w:tcPr>
          <w:p w14:paraId="0B1DD62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1960-1976</w:t>
            </w:r>
          </w:p>
        </w:tc>
        <w:tc>
          <w:tcPr>
            <w:tcW w:w="1380" w:type="dxa"/>
            <w:tcBorders>
              <w:top w:val="nil"/>
              <w:left w:val="nil"/>
              <w:bottom w:val="nil"/>
              <w:right w:val="nil"/>
            </w:tcBorders>
            <w:shd w:val="clear" w:color="auto" w:fill="auto"/>
            <w:noWrap/>
            <w:vAlign w:val="bottom"/>
            <w:hideMark/>
          </w:tcPr>
          <w:p w14:paraId="12AC568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1960-1980</w:t>
            </w:r>
          </w:p>
        </w:tc>
        <w:tc>
          <w:tcPr>
            <w:tcW w:w="1380" w:type="dxa"/>
            <w:tcBorders>
              <w:top w:val="nil"/>
              <w:left w:val="nil"/>
              <w:bottom w:val="nil"/>
              <w:right w:val="nil"/>
            </w:tcBorders>
            <w:shd w:val="clear" w:color="auto" w:fill="auto"/>
            <w:vAlign w:val="center"/>
            <w:hideMark/>
          </w:tcPr>
          <w:p w14:paraId="787F5446"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58.6</w:t>
            </w:r>
          </w:p>
        </w:tc>
        <w:tc>
          <w:tcPr>
            <w:tcW w:w="1380" w:type="dxa"/>
            <w:tcBorders>
              <w:top w:val="nil"/>
              <w:left w:val="nil"/>
              <w:bottom w:val="nil"/>
              <w:right w:val="nil"/>
            </w:tcBorders>
            <w:shd w:val="clear" w:color="auto" w:fill="auto"/>
            <w:noWrap/>
            <w:vAlign w:val="bottom"/>
            <w:hideMark/>
          </w:tcPr>
          <w:p w14:paraId="47D0F13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55.5</w:t>
            </w:r>
          </w:p>
        </w:tc>
        <w:tc>
          <w:tcPr>
            <w:tcW w:w="1380" w:type="dxa"/>
            <w:tcBorders>
              <w:top w:val="nil"/>
              <w:left w:val="nil"/>
              <w:bottom w:val="nil"/>
              <w:right w:val="nil"/>
            </w:tcBorders>
            <w:shd w:val="clear" w:color="auto" w:fill="auto"/>
            <w:vAlign w:val="center"/>
            <w:hideMark/>
          </w:tcPr>
          <w:p w14:paraId="35C2F1D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41.4</w:t>
            </w:r>
          </w:p>
        </w:tc>
        <w:tc>
          <w:tcPr>
            <w:tcW w:w="1380" w:type="dxa"/>
            <w:tcBorders>
              <w:top w:val="nil"/>
              <w:left w:val="nil"/>
              <w:bottom w:val="nil"/>
              <w:right w:val="nil"/>
            </w:tcBorders>
            <w:shd w:val="clear" w:color="auto" w:fill="auto"/>
            <w:noWrap/>
            <w:vAlign w:val="bottom"/>
            <w:hideMark/>
          </w:tcPr>
          <w:p w14:paraId="12C4D90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44.5</w:t>
            </w:r>
          </w:p>
        </w:tc>
      </w:tr>
      <w:tr w:rsidR="004E0DD1" w:rsidRPr="004E0DD1" w14:paraId="10CDA549" w14:textId="77777777" w:rsidTr="004E0DD1">
        <w:trPr>
          <w:trHeight w:val="288"/>
        </w:trPr>
        <w:tc>
          <w:tcPr>
            <w:tcW w:w="1380" w:type="dxa"/>
            <w:tcBorders>
              <w:top w:val="nil"/>
              <w:left w:val="nil"/>
              <w:bottom w:val="nil"/>
              <w:right w:val="nil"/>
            </w:tcBorders>
            <w:shd w:val="clear" w:color="auto" w:fill="auto"/>
            <w:noWrap/>
            <w:vAlign w:val="bottom"/>
            <w:hideMark/>
          </w:tcPr>
          <w:p w14:paraId="63469425"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Improvements</w:t>
            </w:r>
          </w:p>
        </w:tc>
        <w:tc>
          <w:tcPr>
            <w:tcW w:w="1380" w:type="dxa"/>
            <w:tcBorders>
              <w:top w:val="nil"/>
              <w:left w:val="nil"/>
              <w:bottom w:val="nil"/>
              <w:right w:val="nil"/>
            </w:tcBorders>
            <w:shd w:val="clear" w:color="auto" w:fill="auto"/>
            <w:noWrap/>
            <w:vAlign w:val="bottom"/>
            <w:hideMark/>
          </w:tcPr>
          <w:p w14:paraId="25AE337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1976-1986</w:t>
            </w:r>
          </w:p>
        </w:tc>
        <w:tc>
          <w:tcPr>
            <w:tcW w:w="1380" w:type="dxa"/>
            <w:tcBorders>
              <w:top w:val="nil"/>
              <w:left w:val="nil"/>
              <w:bottom w:val="nil"/>
              <w:right w:val="nil"/>
            </w:tcBorders>
            <w:shd w:val="clear" w:color="auto" w:fill="auto"/>
            <w:noWrap/>
            <w:vAlign w:val="bottom"/>
            <w:hideMark/>
          </w:tcPr>
          <w:p w14:paraId="26F96F3E"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1980-1988</w:t>
            </w:r>
          </w:p>
        </w:tc>
        <w:tc>
          <w:tcPr>
            <w:tcW w:w="1380" w:type="dxa"/>
            <w:tcBorders>
              <w:top w:val="nil"/>
              <w:left w:val="nil"/>
              <w:bottom w:val="nil"/>
              <w:right w:val="nil"/>
            </w:tcBorders>
            <w:shd w:val="clear" w:color="auto" w:fill="auto"/>
            <w:vAlign w:val="center"/>
            <w:hideMark/>
          </w:tcPr>
          <w:p w14:paraId="4A2D5F8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54.8</w:t>
            </w:r>
          </w:p>
        </w:tc>
        <w:tc>
          <w:tcPr>
            <w:tcW w:w="1380" w:type="dxa"/>
            <w:tcBorders>
              <w:top w:val="nil"/>
              <w:left w:val="nil"/>
              <w:bottom w:val="nil"/>
              <w:right w:val="nil"/>
            </w:tcBorders>
            <w:shd w:val="clear" w:color="auto" w:fill="auto"/>
            <w:noWrap/>
            <w:vAlign w:val="bottom"/>
            <w:hideMark/>
          </w:tcPr>
          <w:p w14:paraId="49B6E595"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47.3</w:t>
            </w:r>
          </w:p>
        </w:tc>
        <w:tc>
          <w:tcPr>
            <w:tcW w:w="1380" w:type="dxa"/>
            <w:tcBorders>
              <w:top w:val="nil"/>
              <w:left w:val="nil"/>
              <w:bottom w:val="nil"/>
              <w:right w:val="nil"/>
            </w:tcBorders>
            <w:shd w:val="clear" w:color="auto" w:fill="auto"/>
            <w:vAlign w:val="center"/>
            <w:hideMark/>
          </w:tcPr>
          <w:p w14:paraId="089264AB"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45.2</w:t>
            </w:r>
          </w:p>
        </w:tc>
        <w:tc>
          <w:tcPr>
            <w:tcW w:w="1380" w:type="dxa"/>
            <w:tcBorders>
              <w:top w:val="nil"/>
              <w:left w:val="nil"/>
              <w:bottom w:val="nil"/>
              <w:right w:val="nil"/>
            </w:tcBorders>
            <w:shd w:val="clear" w:color="auto" w:fill="auto"/>
            <w:noWrap/>
            <w:vAlign w:val="bottom"/>
            <w:hideMark/>
          </w:tcPr>
          <w:p w14:paraId="732C97EF"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52.7</w:t>
            </w:r>
          </w:p>
        </w:tc>
      </w:tr>
      <w:tr w:rsidR="004E0DD1" w:rsidRPr="004E0DD1" w14:paraId="58A629D6" w14:textId="77777777" w:rsidTr="004E0DD1">
        <w:trPr>
          <w:trHeight w:val="288"/>
        </w:trPr>
        <w:tc>
          <w:tcPr>
            <w:tcW w:w="1380" w:type="dxa"/>
            <w:tcBorders>
              <w:top w:val="nil"/>
              <w:left w:val="nil"/>
              <w:bottom w:val="nil"/>
              <w:right w:val="nil"/>
            </w:tcBorders>
            <w:shd w:val="clear" w:color="auto" w:fill="auto"/>
            <w:noWrap/>
            <w:vAlign w:val="bottom"/>
            <w:hideMark/>
          </w:tcPr>
          <w:p w14:paraId="3C4AA5EE"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Deterioration</w:t>
            </w:r>
          </w:p>
        </w:tc>
        <w:tc>
          <w:tcPr>
            <w:tcW w:w="1380" w:type="dxa"/>
            <w:tcBorders>
              <w:top w:val="nil"/>
              <w:left w:val="nil"/>
              <w:bottom w:val="nil"/>
              <w:right w:val="nil"/>
            </w:tcBorders>
            <w:shd w:val="clear" w:color="auto" w:fill="auto"/>
            <w:noWrap/>
            <w:vAlign w:val="bottom"/>
            <w:hideMark/>
          </w:tcPr>
          <w:p w14:paraId="16CC6F15"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1986-1993</w:t>
            </w:r>
          </w:p>
        </w:tc>
        <w:tc>
          <w:tcPr>
            <w:tcW w:w="1380" w:type="dxa"/>
            <w:tcBorders>
              <w:top w:val="nil"/>
              <w:left w:val="nil"/>
              <w:bottom w:val="nil"/>
              <w:right w:val="nil"/>
            </w:tcBorders>
            <w:shd w:val="clear" w:color="auto" w:fill="auto"/>
            <w:noWrap/>
            <w:vAlign w:val="bottom"/>
            <w:hideMark/>
          </w:tcPr>
          <w:p w14:paraId="3BCE476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1988-1994</w:t>
            </w:r>
          </w:p>
        </w:tc>
        <w:tc>
          <w:tcPr>
            <w:tcW w:w="1380" w:type="dxa"/>
            <w:tcBorders>
              <w:top w:val="nil"/>
              <w:left w:val="nil"/>
              <w:bottom w:val="nil"/>
              <w:right w:val="nil"/>
            </w:tcBorders>
            <w:shd w:val="clear" w:color="auto" w:fill="auto"/>
            <w:vAlign w:val="center"/>
            <w:hideMark/>
          </w:tcPr>
          <w:p w14:paraId="73952A67"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25.0</w:t>
            </w:r>
          </w:p>
        </w:tc>
        <w:tc>
          <w:tcPr>
            <w:tcW w:w="1380" w:type="dxa"/>
            <w:tcBorders>
              <w:top w:val="nil"/>
              <w:left w:val="nil"/>
              <w:bottom w:val="nil"/>
              <w:right w:val="nil"/>
            </w:tcBorders>
            <w:shd w:val="clear" w:color="auto" w:fill="auto"/>
            <w:noWrap/>
            <w:vAlign w:val="bottom"/>
            <w:hideMark/>
          </w:tcPr>
          <w:p w14:paraId="3C88AD46"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22.2</w:t>
            </w:r>
          </w:p>
        </w:tc>
        <w:tc>
          <w:tcPr>
            <w:tcW w:w="1380" w:type="dxa"/>
            <w:tcBorders>
              <w:top w:val="nil"/>
              <w:left w:val="nil"/>
              <w:bottom w:val="nil"/>
              <w:right w:val="nil"/>
            </w:tcBorders>
            <w:shd w:val="clear" w:color="auto" w:fill="auto"/>
            <w:vAlign w:val="center"/>
            <w:hideMark/>
          </w:tcPr>
          <w:p w14:paraId="626C3A02"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75.0</w:t>
            </w:r>
          </w:p>
        </w:tc>
        <w:tc>
          <w:tcPr>
            <w:tcW w:w="1380" w:type="dxa"/>
            <w:tcBorders>
              <w:top w:val="nil"/>
              <w:left w:val="nil"/>
              <w:bottom w:val="nil"/>
              <w:right w:val="nil"/>
            </w:tcBorders>
            <w:shd w:val="clear" w:color="auto" w:fill="auto"/>
            <w:noWrap/>
            <w:vAlign w:val="bottom"/>
            <w:hideMark/>
          </w:tcPr>
          <w:p w14:paraId="6CFA47EC"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77.8</w:t>
            </w:r>
          </w:p>
        </w:tc>
      </w:tr>
      <w:tr w:rsidR="004E0DD1" w:rsidRPr="004E0DD1" w14:paraId="248C8896" w14:textId="77777777" w:rsidTr="004E0DD1">
        <w:trPr>
          <w:trHeight w:val="288"/>
        </w:trPr>
        <w:tc>
          <w:tcPr>
            <w:tcW w:w="1380" w:type="dxa"/>
            <w:tcBorders>
              <w:top w:val="nil"/>
              <w:left w:val="nil"/>
              <w:bottom w:val="nil"/>
              <w:right w:val="nil"/>
            </w:tcBorders>
            <w:shd w:val="clear" w:color="auto" w:fill="auto"/>
            <w:noWrap/>
            <w:vAlign w:val="bottom"/>
            <w:hideMark/>
          </w:tcPr>
          <w:p w14:paraId="799FCF61"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Divergence</w:t>
            </w:r>
          </w:p>
        </w:tc>
        <w:tc>
          <w:tcPr>
            <w:tcW w:w="1380" w:type="dxa"/>
            <w:tcBorders>
              <w:top w:val="nil"/>
              <w:left w:val="nil"/>
              <w:bottom w:val="nil"/>
              <w:right w:val="nil"/>
            </w:tcBorders>
            <w:shd w:val="clear" w:color="auto" w:fill="auto"/>
            <w:noWrap/>
            <w:vAlign w:val="bottom"/>
            <w:hideMark/>
          </w:tcPr>
          <w:p w14:paraId="02E3B7E0"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1993-2001</w:t>
            </w:r>
          </w:p>
        </w:tc>
        <w:tc>
          <w:tcPr>
            <w:tcW w:w="1380" w:type="dxa"/>
            <w:tcBorders>
              <w:top w:val="nil"/>
              <w:left w:val="nil"/>
              <w:bottom w:val="nil"/>
              <w:right w:val="nil"/>
            </w:tcBorders>
            <w:shd w:val="clear" w:color="auto" w:fill="auto"/>
            <w:noWrap/>
            <w:vAlign w:val="bottom"/>
            <w:hideMark/>
          </w:tcPr>
          <w:p w14:paraId="7511B4C2"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1994-2000</w:t>
            </w:r>
          </w:p>
        </w:tc>
        <w:tc>
          <w:tcPr>
            <w:tcW w:w="1380" w:type="dxa"/>
            <w:tcBorders>
              <w:top w:val="nil"/>
              <w:left w:val="nil"/>
              <w:bottom w:val="nil"/>
              <w:right w:val="nil"/>
            </w:tcBorders>
            <w:shd w:val="clear" w:color="auto" w:fill="auto"/>
            <w:vAlign w:val="center"/>
            <w:hideMark/>
          </w:tcPr>
          <w:p w14:paraId="43507303"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31.7</w:t>
            </w:r>
          </w:p>
        </w:tc>
        <w:tc>
          <w:tcPr>
            <w:tcW w:w="1380" w:type="dxa"/>
            <w:tcBorders>
              <w:top w:val="nil"/>
              <w:left w:val="nil"/>
              <w:bottom w:val="nil"/>
              <w:right w:val="nil"/>
            </w:tcBorders>
            <w:shd w:val="clear" w:color="auto" w:fill="auto"/>
            <w:noWrap/>
            <w:vAlign w:val="bottom"/>
            <w:hideMark/>
          </w:tcPr>
          <w:p w14:paraId="0059004D"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31.7</w:t>
            </w:r>
          </w:p>
        </w:tc>
        <w:tc>
          <w:tcPr>
            <w:tcW w:w="1380" w:type="dxa"/>
            <w:tcBorders>
              <w:top w:val="nil"/>
              <w:left w:val="nil"/>
              <w:bottom w:val="nil"/>
              <w:right w:val="nil"/>
            </w:tcBorders>
            <w:shd w:val="clear" w:color="auto" w:fill="auto"/>
            <w:vAlign w:val="center"/>
            <w:hideMark/>
          </w:tcPr>
          <w:p w14:paraId="716D4503"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68.3</w:t>
            </w:r>
          </w:p>
        </w:tc>
        <w:tc>
          <w:tcPr>
            <w:tcW w:w="1380" w:type="dxa"/>
            <w:tcBorders>
              <w:top w:val="nil"/>
              <w:left w:val="nil"/>
              <w:bottom w:val="nil"/>
              <w:right w:val="nil"/>
            </w:tcBorders>
            <w:shd w:val="clear" w:color="auto" w:fill="auto"/>
            <w:noWrap/>
            <w:vAlign w:val="bottom"/>
            <w:hideMark/>
          </w:tcPr>
          <w:p w14:paraId="07FD896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68.3</w:t>
            </w:r>
          </w:p>
        </w:tc>
      </w:tr>
      <w:tr w:rsidR="004E0DD1" w:rsidRPr="004E0DD1" w14:paraId="1A59049C" w14:textId="77777777" w:rsidTr="004E0DD1">
        <w:trPr>
          <w:trHeight w:val="288"/>
        </w:trPr>
        <w:tc>
          <w:tcPr>
            <w:tcW w:w="1380" w:type="dxa"/>
            <w:tcBorders>
              <w:top w:val="nil"/>
              <w:left w:val="nil"/>
              <w:bottom w:val="nil"/>
              <w:right w:val="nil"/>
            </w:tcBorders>
            <w:shd w:val="clear" w:color="auto" w:fill="auto"/>
            <w:noWrap/>
            <w:vAlign w:val="bottom"/>
            <w:hideMark/>
          </w:tcPr>
          <w:p w14:paraId="3E60B25E"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Convergence</w:t>
            </w:r>
          </w:p>
        </w:tc>
        <w:tc>
          <w:tcPr>
            <w:tcW w:w="1380" w:type="dxa"/>
            <w:tcBorders>
              <w:top w:val="nil"/>
              <w:left w:val="nil"/>
              <w:bottom w:val="nil"/>
              <w:right w:val="nil"/>
            </w:tcBorders>
            <w:shd w:val="clear" w:color="auto" w:fill="auto"/>
            <w:noWrap/>
            <w:vAlign w:val="bottom"/>
            <w:hideMark/>
          </w:tcPr>
          <w:p w14:paraId="1EA78BC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2001-2014</w:t>
            </w:r>
          </w:p>
        </w:tc>
        <w:tc>
          <w:tcPr>
            <w:tcW w:w="1380" w:type="dxa"/>
            <w:tcBorders>
              <w:top w:val="nil"/>
              <w:left w:val="nil"/>
              <w:bottom w:val="nil"/>
              <w:right w:val="nil"/>
            </w:tcBorders>
            <w:shd w:val="clear" w:color="auto" w:fill="auto"/>
            <w:noWrap/>
            <w:vAlign w:val="bottom"/>
            <w:hideMark/>
          </w:tcPr>
          <w:p w14:paraId="1CA92928"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2000-2014</w:t>
            </w:r>
          </w:p>
        </w:tc>
        <w:tc>
          <w:tcPr>
            <w:tcW w:w="1380" w:type="dxa"/>
            <w:tcBorders>
              <w:top w:val="nil"/>
              <w:left w:val="nil"/>
              <w:bottom w:val="nil"/>
              <w:right w:val="nil"/>
            </w:tcBorders>
            <w:shd w:val="clear" w:color="auto" w:fill="auto"/>
            <w:vAlign w:val="center"/>
            <w:hideMark/>
          </w:tcPr>
          <w:p w14:paraId="209CA64B"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37.2</w:t>
            </w:r>
          </w:p>
        </w:tc>
        <w:tc>
          <w:tcPr>
            <w:tcW w:w="1380" w:type="dxa"/>
            <w:tcBorders>
              <w:top w:val="nil"/>
              <w:left w:val="nil"/>
              <w:bottom w:val="nil"/>
              <w:right w:val="nil"/>
            </w:tcBorders>
            <w:shd w:val="clear" w:color="auto" w:fill="auto"/>
            <w:noWrap/>
            <w:vAlign w:val="bottom"/>
            <w:hideMark/>
          </w:tcPr>
          <w:p w14:paraId="34A45F0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34.9</w:t>
            </w:r>
          </w:p>
        </w:tc>
        <w:tc>
          <w:tcPr>
            <w:tcW w:w="1380" w:type="dxa"/>
            <w:tcBorders>
              <w:top w:val="nil"/>
              <w:left w:val="nil"/>
              <w:bottom w:val="nil"/>
              <w:right w:val="nil"/>
            </w:tcBorders>
            <w:shd w:val="clear" w:color="auto" w:fill="auto"/>
            <w:vAlign w:val="center"/>
            <w:hideMark/>
          </w:tcPr>
          <w:p w14:paraId="20DDF92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62.8</w:t>
            </w:r>
          </w:p>
        </w:tc>
        <w:tc>
          <w:tcPr>
            <w:tcW w:w="1380" w:type="dxa"/>
            <w:tcBorders>
              <w:top w:val="nil"/>
              <w:left w:val="nil"/>
              <w:bottom w:val="nil"/>
              <w:right w:val="nil"/>
            </w:tcBorders>
            <w:shd w:val="clear" w:color="auto" w:fill="auto"/>
            <w:noWrap/>
            <w:vAlign w:val="bottom"/>
            <w:hideMark/>
          </w:tcPr>
          <w:p w14:paraId="7EABA800"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65.1</w:t>
            </w:r>
          </w:p>
        </w:tc>
      </w:tr>
    </w:tbl>
    <w:p w14:paraId="072F0100" w14:textId="77777777" w:rsidR="004E0DD1" w:rsidRDefault="004E0DD1" w:rsidP="0053754D">
      <w:pPr>
        <w:jc w:val="both"/>
      </w:pPr>
    </w:p>
    <w:p w14:paraId="087CCF23" w14:textId="77777777" w:rsidR="008576D9" w:rsidRDefault="008576D9" w:rsidP="0053754D">
      <w:pPr>
        <w:jc w:val="both"/>
      </w:pPr>
    </w:p>
    <w:p w14:paraId="1058E02F" w14:textId="77777777" w:rsidR="00C659CF" w:rsidRDefault="00C659CF" w:rsidP="00C659CF">
      <w:pPr>
        <w:jc w:val="both"/>
      </w:pPr>
      <w:r>
        <w:t>In addition, we described clearly how the periods were determined in the methods sections. We added the next paragraph:</w:t>
      </w:r>
    </w:p>
    <w:p w14:paraId="64A52A8B" w14:textId="77777777" w:rsidR="00C659CF" w:rsidRDefault="00C659CF" w:rsidP="00C659CF">
      <w:pPr>
        <w:jc w:val="both"/>
        <w:rPr>
          <w:i/>
          <w:color w:val="000000"/>
        </w:rPr>
      </w:pPr>
    </w:p>
    <w:p w14:paraId="19D7E594" w14:textId="7A3BE867" w:rsidR="00C659CF" w:rsidRPr="00190709" w:rsidRDefault="00C659CF" w:rsidP="00C659CF">
      <w:pPr>
        <w:jc w:val="both"/>
        <w:rPr>
          <w:i/>
        </w:rPr>
      </w:pPr>
      <w:r>
        <w:rPr>
          <w:i/>
          <w:color w:val="000000"/>
        </w:rPr>
        <w:t xml:space="preserve"> “</w:t>
      </w:r>
      <w:r w:rsidRPr="00190709">
        <w:rPr>
          <w:i/>
          <w:color w:val="000000"/>
        </w:rPr>
        <w:t xml:space="preserve">We focused on five periods determined by trends </w:t>
      </w:r>
      <w:r w:rsidR="004E0DD1">
        <w:rPr>
          <w:i/>
          <w:color w:val="000000"/>
        </w:rPr>
        <w:t>in</w:t>
      </w:r>
      <w:r w:rsidRPr="00190709">
        <w:rPr>
          <w:i/>
          <w:color w:val="000000"/>
        </w:rPr>
        <w:t xml:space="preserve"> the coefficient of variation of male life expectancy. </w:t>
      </w:r>
      <w:r w:rsidR="004E0DD1">
        <w:rPr>
          <w:i/>
          <w:color w:val="000000"/>
        </w:rPr>
        <w:t>The period</w:t>
      </w:r>
      <w:r w:rsidR="007E108B">
        <w:rPr>
          <w:i/>
          <w:color w:val="000000"/>
        </w:rPr>
        <w:t>s were labeled</w:t>
      </w:r>
      <w:r w:rsidRPr="00190709">
        <w:rPr>
          <w:i/>
          <w:color w:val="000000"/>
        </w:rPr>
        <w:t xml:space="preserve"> ``</w:t>
      </w:r>
      <w:r>
        <w:rPr>
          <w:i/>
          <w:color w:val="000000"/>
        </w:rPr>
        <w:t>Stagnation'</w:t>
      </w:r>
      <w:r w:rsidR="007E108B">
        <w:rPr>
          <w:i/>
          <w:color w:val="000000"/>
        </w:rPr>
        <w:t xml:space="preserve"> from </w:t>
      </w:r>
      <w:r w:rsidR="007E108B" w:rsidRPr="007E108B">
        <w:rPr>
          <w:i/>
          <w:color w:val="000000"/>
        </w:rPr>
        <w:t>1960 to 1980</w:t>
      </w:r>
      <w:r>
        <w:rPr>
          <w:i/>
          <w:color w:val="000000"/>
        </w:rPr>
        <w:t xml:space="preserve">, ``Improvements'' </w:t>
      </w:r>
      <w:r w:rsidRPr="00190709">
        <w:rPr>
          <w:i/>
          <w:color w:val="000000"/>
        </w:rPr>
        <w:t xml:space="preserve">from 1980 to 1988, ``Deterioration'' </w:t>
      </w:r>
      <w:r w:rsidR="007E108B">
        <w:rPr>
          <w:i/>
          <w:color w:val="000000"/>
        </w:rPr>
        <w:t>from</w:t>
      </w:r>
      <w:r w:rsidRPr="00190709">
        <w:rPr>
          <w:i/>
          <w:color w:val="000000"/>
        </w:rPr>
        <w:t xml:space="preserve"> 1988-1994, ``Divergence between 1994</w:t>
      </w:r>
      <w:r>
        <w:rPr>
          <w:i/>
          <w:color w:val="000000"/>
        </w:rPr>
        <w:t xml:space="preserve"> and 2000, and ``Convergence'' </w:t>
      </w:r>
      <w:r w:rsidRPr="00190709">
        <w:rPr>
          <w:i/>
          <w:color w:val="000000"/>
        </w:rPr>
        <w:t xml:space="preserve">thereafter. Periods were </w:t>
      </w:r>
      <w:r w:rsidR="007E108B">
        <w:rPr>
          <w:i/>
          <w:color w:val="000000"/>
        </w:rPr>
        <w:t xml:space="preserve">initially </w:t>
      </w:r>
      <w:r w:rsidRPr="00190709">
        <w:rPr>
          <w:i/>
          <w:color w:val="000000"/>
        </w:rPr>
        <w:t>determined using a divisive hierarchical estimation algorithm for multiple change points analysis</w:t>
      </w:r>
      <w:r>
        <w:rPr>
          <w:i/>
          <w:color w:val="800000"/>
        </w:rPr>
        <w:t xml:space="preserve">. </w:t>
      </w:r>
      <w:r w:rsidRPr="00190709">
        <w:rPr>
          <w:i/>
          <w:color w:val="000000"/>
        </w:rPr>
        <w:t xml:space="preserve">The statistical break points were 1960, 1976, 1986, 1993 and 2001. We instead used complete decades or historical events which made the interpretation of the results easier, which were all within 3 years of the cut points. For example, the period 1960-1979 (complete years) included the two decades with no substantial changes in the coefficient of variation between life expectancies. The next break point (1986) was extended to 1988 to include completely </w:t>
      </w:r>
      <w:r w:rsidRPr="00B40E2C">
        <w:rPr>
          <w:i/>
          <w:color w:val="000000"/>
        </w:rPr>
        <w:t>Gorbachev’s</w:t>
      </w:r>
      <w:r w:rsidRPr="00190709">
        <w:rPr>
          <w:i/>
          <w:color w:val="000000"/>
        </w:rPr>
        <w:t xml:space="preserve"> anti-alcohol campaign, which was implemented in the period 1985-1988. The following break point was used exactly since it allows the period 1988-1993 to include the dissolution of the Soviet Union in late 1991 and the largest drops in life expectancy in Russia, Latvia, Estonia, Lithuania, and less marked in Ukraine, Belarus, and Bulgaria in 1992-1993. Finally, the year 2001 was changed to 2000 to start with the 21st century.</w:t>
      </w:r>
      <w:r>
        <w:rPr>
          <w:i/>
          <w:color w:val="000000"/>
        </w:rPr>
        <w:t>”</w:t>
      </w:r>
    </w:p>
    <w:p w14:paraId="647D34BA" w14:textId="77777777" w:rsidR="00190709" w:rsidRDefault="00190709" w:rsidP="0053754D">
      <w:pPr>
        <w:jc w:val="both"/>
      </w:pPr>
    </w:p>
    <w:p w14:paraId="3C27CFD9" w14:textId="68393C60" w:rsidR="00D34ADF" w:rsidRDefault="00D34ADF" w:rsidP="0053754D">
      <w:pPr>
        <w:jc w:val="both"/>
      </w:pPr>
    </w:p>
    <w:p w14:paraId="7CCC0B5D" w14:textId="4650E4F8" w:rsidR="00AA0177" w:rsidRDefault="00AA0177" w:rsidP="0053754D">
      <w:pPr>
        <w:jc w:val="both"/>
      </w:pPr>
      <w:r>
        <w:t>References:</w:t>
      </w:r>
    </w:p>
    <w:p w14:paraId="4795626C" w14:textId="2AC7AD2B" w:rsidR="00AF61AF" w:rsidRPr="00E94A2A" w:rsidRDefault="00AF61AF" w:rsidP="00AF61AF">
      <w:pPr>
        <w:jc w:val="both"/>
      </w:pPr>
      <w:r w:rsidRPr="00E94A2A">
        <w:t>Bobadilla, J. L., Costello, C. A., Mitchell, F., &amp; National Research Council (US) Committee on Population. (1997). The Anti-Alcohol Campaign and Variations in Russian Mortality.</w:t>
      </w:r>
    </w:p>
    <w:p w14:paraId="769E305A" w14:textId="2F554719" w:rsidR="00AA0177" w:rsidRPr="00E94A2A" w:rsidRDefault="00AA0177" w:rsidP="0053754D">
      <w:pPr>
        <w:jc w:val="both"/>
      </w:pPr>
    </w:p>
    <w:p w14:paraId="23C371C3" w14:textId="7B1F7C25" w:rsidR="00AA0177" w:rsidRPr="00E94A2A" w:rsidRDefault="00AA0177" w:rsidP="0053754D">
      <w:pPr>
        <w:jc w:val="both"/>
      </w:pPr>
      <w:r w:rsidRPr="00E94A2A">
        <w:t>Bhattacharya, J., Gathmann, C., &amp; Miller, G. (2013). The Gorbachev anti-alcohol campaign and Russia's mortality crisis. American Economic Journal: Applied Economics, 5(2), 232-260.</w:t>
      </w:r>
    </w:p>
    <w:p w14:paraId="01EA86A4" w14:textId="3353ACB1" w:rsidR="00E94A2A" w:rsidRDefault="00E94A2A" w:rsidP="0053754D">
      <w:pPr>
        <w:jc w:val="both"/>
      </w:pPr>
    </w:p>
    <w:p w14:paraId="1BF0CBBE" w14:textId="77777777" w:rsidR="00AF61AF" w:rsidRDefault="00AF61AF" w:rsidP="00AF61AF">
      <w:pPr>
        <w:jc w:val="both"/>
      </w:pPr>
      <w:r w:rsidRPr="00E94A2A">
        <w:t>Cockerham, W. C. (1999). Health and social change in Russia and Eastern Europe. Psychology Press.</w:t>
      </w:r>
    </w:p>
    <w:p w14:paraId="2C14CF37" w14:textId="77777777" w:rsidR="00AF61AF" w:rsidRPr="00E94A2A" w:rsidRDefault="00AF61AF" w:rsidP="0053754D">
      <w:pPr>
        <w:jc w:val="both"/>
      </w:pPr>
    </w:p>
    <w:p w14:paraId="4B99F8CE" w14:textId="4F597708" w:rsidR="00E94A2A" w:rsidRPr="00E94A2A" w:rsidRDefault="00E94A2A" w:rsidP="0053754D">
      <w:pPr>
        <w:jc w:val="both"/>
      </w:pPr>
      <w:r w:rsidRPr="00E94A2A">
        <w:lastRenderedPageBreak/>
        <w:t>Leon, D. A., Chenet, L., Shkolnikov, V. M., Zakharov, S., Shapiro, J., Rakhmanova, G., ... &amp; McKee, M. (1997). Huge variation in Russian mortality rates 1984–94: artefact, alcohol, or what?. The lancet, 350(9075), 383-388.</w:t>
      </w:r>
    </w:p>
    <w:p w14:paraId="2D8B95E4" w14:textId="7FB7E942" w:rsidR="00AF61AF" w:rsidRDefault="00AF61AF" w:rsidP="0053754D">
      <w:pPr>
        <w:jc w:val="both"/>
      </w:pPr>
    </w:p>
    <w:p w14:paraId="57409E23" w14:textId="2959F99F" w:rsidR="00AF61AF" w:rsidRPr="00597B92" w:rsidRDefault="00AF61AF" w:rsidP="0053754D">
      <w:pPr>
        <w:jc w:val="both"/>
      </w:pPr>
      <w:r w:rsidRPr="00AF61AF">
        <w:t>Wilmoth, J. R., &amp; Shkolnikov, V. (2008). Human mortality database. University of California, Berkeley (USA), and Max Planck Institute for Demographic Research (Germany).</w:t>
      </w:r>
    </w:p>
    <w:p w14:paraId="3360D484" w14:textId="099B80BB" w:rsidR="002010C1" w:rsidRDefault="002010C1" w:rsidP="0053754D">
      <w:pPr>
        <w:jc w:val="both"/>
        <w:rPr>
          <w:b/>
        </w:rPr>
      </w:pPr>
      <w:r w:rsidRPr="002010C1">
        <w:rPr>
          <w:b/>
        </w:rPr>
        <w:cr/>
        <w:t>The decomposition method should be better explained. It is rather unclear what is the threshold age (mentioned later in results section) which differentiates ages which compress / expand the mortality and how is it computed.</w:t>
      </w:r>
    </w:p>
    <w:p w14:paraId="2DA62DB9" w14:textId="77777777" w:rsidR="004D71BA" w:rsidRDefault="004D71BA" w:rsidP="0053754D">
      <w:pPr>
        <w:jc w:val="both"/>
        <w:rPr>
          <w:b/>
        </w:rPr>
      </w:pPr>
    </w:p>
    <w:p w14:paraId="184D52D6" w14:textId="7608730B" w:rsidR="00F44E3D" w:rsidRDefault="00F44E3D" w:rsidP="0053754D">
      <w:pPr>
        <w:jc w:val="both"/>
      </w:pPr>
      <w:r>
        <w:t xml:space="preserve">We added a paragraph explaining with more detail the decomposition method and how the age-cause specific effects between </w:t>
      </w:r>
      <w:r w:rsidR="00A369AA">
        <w:t>two time points are derived following the line integral model (Horiuchi et al 2008):</w:t>
      </w:r>
    </w:p>
    <w:p w14:paraId="3D327345" w14:textId="077E9B91" w:rsidR="00A369AA" w:rsidRDefault="00A369AA" w:rsidP="004B50C8">
      <w:pPr>
        <w:jc w:val="both"/>
      </w:pPr>
    </w:p>
    <w:p w14:paraId="4CA3863E" w14:textId="593AA20E"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i/>
        </w:rPr>
      </w:pPr>
      <w:r>
        <w:t>“</w:t>
      </w:r>
      <w:r w:rsidRPr="00A369AA">
        <w:rPr>
          <w:i/>
        </w:rPr>
        <w:t xml:space="preserve">The decomposition method used in this paper is based on the line integral model </w:t>
      </w:r>
      <w:r w:rsidRPr="004B50C8">
        <w:rPr>
          <w:i/>
        </w:rPr>
        <w:t>(Horiuchi et al 2008)</w:t>
      </w:r>
      <w:r w:rsidRPr="00A369AA">
        <w:rPr>
          <w:i/>
        </w:rPr>
        <w:t>. Suppose</w:t>
      </w:r>
      <w:r w:rsidRPr="004B50C8">
        <w:rPr>
          <w:i/>
        </w:rPr>
        <w:t xml:space="preserve"> </w:t>
      </w:r>
      <m:oMath>
        <m:r>
          <w:rPr>
            <w:rFonts w:ascii="Cambria Math" w:hAnsi="Cambria Math"/>
          </w:rPr>
          <m:t>f</m:t>
        </m:r>
      </m:oMath>
      <w:r w:rsidR="005B19C7" w:rsidRPr="004B50C8">
        <w:rPr>
          <w:i/>
        </w:rPr>
        <w:t xml:space="preserve"> </w:t>
      </w:r>
      <w:r w:rsidRPr="00A369AA">
        <w:rPr>
          <w:i/>
        </w:rPr>
        <w:t>(e.g.</w:t>
      </w:r>
      <w:r w:rsidR="005B19C7"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4B50C8" w:rsidRPr="004B50C8">
        <w:rPr>
          <w:rFonts w:eastAsiaTheme="minorEastAsia"/>
          <w:i/>
        </w:rPr>
        <w:t xml:space="preserve"> or life expectancy</w:t>
      </w:r>
      <w:r w:rsidRPr="00A369AA">
        <w:rPr>
          <w:i/>
        </w:rPr>
        <w:t xml:space="preserve">) is a differentiable function of </w:t>
      </w:r>
      <m:oMath>
        <m:r>
          <w:rPr>
            <w:rFonts w:ascii="Cambria Math" w:hAnsi="Cambria Math"/>
          </w:rPr>
          <m:t>n</m:t>
        </m:r>
      </m:oMath>
      <w:r w:rsidR="00780E4C" w:rsidRPr="004B50C8">
        <w:rPr>
          <w:rFonts w:eastAsiaTheme="minorEastAsia"/>
          <w:i/>
        </w:rPr>
        <w:t xml:space="preserve"> </w:t>
      </w:r>
      <w:r w:rsidR="00780E4C" w:rsidRPr="004B50C8">
        <w:rPr>
          <w:i/>
        </w:rPr>
        <w:t xml:space="preserve">covariates (e.g. each age-cause </w:t>
      </w:r>
      <w:r w:rsidRPr="00A369AA">
        <w:rPr>
          <w:i/>
        </w:rPr>
        <w:t xml:space="preserve">specific mortality rate) denoted by the vector </w:t>
      </w:r>
      <m:oMath>
        <m:r>
          <m:rPr>
            <m:sty m:val="bi"/>
          </m:rP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m:t>
            </m:r>
          </m:e>
          <m:sup>
            <m:r>
              <w:rPr>
                <w:rFonts w:ascii="Cambria Math" w:hAnsi="Cambria Math"/>
              </w:rPr>
              <m:t>T</m:t>
            </m:r>
          </m:sup>
        </m:sSup>
      </m:oMath>
      <w:r w:rsidRPr="00A369AA">
        <w:rPr>
          <w:i/>
        </w:rPr>
        <w:t xml:space="preserve">. Assume that </w:t>
      </w:r>
      <m:oMath>
        <m:r>
          <w:rPr>
            <w:rFonts w:ascii="Cambria Math" w:hAnsi="Cambria Math"/>
          </w:rPr>
          <m:t>f</m:t>
        </m:r>
      </m:oMath>
      <w:r w:rsidR="00780E4C" w:rsidRPr="004B50C8">
        <w:rPr>
          <w:i/>
        </w:rPr>
        <w:t xml:space="preserve"> </w:t>
      </w:r>
      <w:r w:rsidRPr="00A369AA">
        <w:rPr>
          <w:i/>
        </w:rPr>
        <w:t xml:space="preserve">and </w:t>
      </w:r>
      <m:oMath>
        <m:r>
          <m:rPr>
            <m:sty m:val="bi"/>
          </m:rPr>
          <w:rPr>
            <w:rFonts w:ascii="Cambria Math" w:hAnsi="Cambria Math"/>
          </w:rPr>
          <m:t>A</m:t>
        </m:r>
      </m:oMath>
      <w:r w:rsidR="00780E4C" w:rsidRPr="004B50C8">
        <w:rPr>
          <w:i/>
        </w:rPr>
        <w:t xml:space="preserve"> depend </w:t>
      </w:r>
      <w:r w:rsidRPr="00A369AA">
        <w:rPr>
          <w:i/>
        </w:rPr>
        <w:t xml:space="preserve">on the underlying dimension </w:t>
      </w:r>
      <m:oMath>
        <m:r>
          <w:rPr>
            <w:rFonts w:ascii="Cambria Math" w:hAnsi="Cambria Math"/>
          </w:rPr>
          <m:t>t</m:t>
        </m:r>
      </m:oMath>
      <w:r w:rsidRPr="00A369AA">
        <w:rPr>
          <w:i/>
        </w:rPr>
        <w:t xml:space="preserve">, which is time in this case, </w:t>
      </w:r>
      <w:r w:rsidR="00780E4C" w:rsidRPr="004B50C8">
        <w:rPr>
          <w:i/>
        </w:rPr>
        <w:t xml:space="preserve">and that we have observations </w:t>
      </w:r>
      <w:r w:rsidRPr="00A369AA">
        <w:rPr>
          <w:i/>
        </w:rPr>
        <w:t>available in two time points</w:t>
      </w:r>
      <w:r w:rsidR="00780E4C" w:rsidRPr="004B50C8">
        <w:rPr>
          <w:i/>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Assuming that </w:t>
      </w:r>
      <m:oMath>
        <m:r>
          <m:rPr>
            <m:sty m:val="bi"/>
          </m:rPr>
          <w:rPr>
            <w:rFonts w:ascii="Cambria Math" w:hAnsi="Cambria Math"/>
          </w:rPr>
          <m:t>A</m:t>
        </m:r>
      </m:oMath>
      <w:r w:rsidR="00780E4C" w:rsidRPr="004B50C8">
        <w:rPr>
          <w:i/>
        </w:rPr>
        <w:t xml:space="preserve"> is a differentiable </w:t>
      </w:r>
      <w:r w:rsidRPr="00A369AA">
        <w:rPr>
          <w:i/>
        </w:rPr>
        <w:t xml:space="preserve">function of </w:t>
      </w:r>
      <m:oMath>
        <m:r>
          <w:rPr>
            <w:rFonts w:ascii="Cambria Math" w:hAnsi="Cambria Math"/>
          </w:rPr>
          <m:t>t</m:t>
        </m:r>
      </m:oMath>
      <w:r w:rsidR="00780E4C" w:rsidRPr="004B50C8">
        <w:rPr>
          <w:i/>
        </w:rPr>
        <w:t xml:space="preserve"> </w:t>
      </w:r>
      <w:r w:rsidRPr="00A369AA">
        <w:rPr>
          <w:i/>
        </w:rPr>
        <w:t xml:space="preserve">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00780E4C"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the difference in </w:t>
      </w:r>
      <m:oMath>
        <m:r>
          <w:rPr>
            <w:rFonts w:ascii="Cambria Math" w:hAnsi="Cambria Math"/>
          </w:rPr>
          <m:t>f</m:t>
        </m:r>
      </m:oMath>
      <w:r w:rsidRPr="00A369AA">
        <w:rPr>
          <w:i/>
        </w:rPr>
        <w:t xml:space="preserve"> 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00780E4C"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780E4C" w:rsidRPr="004B50C8">
        <w:rPr>
          <w:i/>
        </w:rPr>
        <w:t xml:space="preserve">can be </w:t>
      </w:r>
      <w:r w:rsidRPr="00A369AA">
        <w:rPr>
          <w:i/>
        </w:rPr>
        <w:t>expressed as follows:</w:t>
      </w:r>
    </w:p>
    <w:p w14:paraId="0A2D2DF3" w14:textId="113BC92F" w:rsidR="001B0E8B" w:rsidRPr="004B50C8" w:rsidRDefault="00967F30" w:rsidP="00A3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sub>
                <m: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sup>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e>
              </m:nary>
            </m:e>
          </m:nary>
          <m:r>
            <w:rPr>
              <w:rFonts w:ascii="Cambria Math" w:eastAsiaTheme="minorEastAsia" w:hAnsi="Cambria Math"/>
            </w:rPr>
            <m:t>,                                 (2)</m:t>
          </m:r>
        </m:oMath>
      </m:oMathPara>
    </w:p>
    <w:p w14:paraId="36186CA5" w14:textId="493FC808"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r w:rsidRPr="00A369AA">
        <w:rPr>
          <w:i/>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 is the total change in </w:t>
      </w:r>
      <m:oMath>
        <m:r>
          <w:rPr>
            <w:rFonts w:ascii="Cambria Math" w:hAnsi="Cambria Math"/>
          </w:rPr>
          <m:t>f</m:t>
        </m:r>
      </m:oMath>
      <w:r w:rsidRPr="00A369AA">
        <w:rPr>
          <w:i/>
        </w:rPr>
        <w:t xml:space="preserve"> </w:t>
      </w:r>
      <w:r w:rsidR="004B50C8" w:rsidRPr="00A369AA">
        <w:rPr>
          <w:i/>
        </w:rPr>
        <w:t>(e.g.</w:t>
      </w:r>
      <w:r w:rsidR="004B50C8"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4B50C8" w:rsidRPr="004B50C8">
        <w:rPr>
          <w:rFonts w:eastAsiaTheme="minorEastAsia"/>
          <w:i/>
        </w:rPr>
        <w:t xml:space="preserve"> or life expectancy</w:t>
      </w:r>
      <w:r w:rsidR="004B50C8" w:rsidRPr="00A369AA">
        <w:rPr>
          <w:i/>
        </w:rPr>
        <w:t xml:space="preserve">) </w:t>
      </w:r>
      <w:r w:rsidRPr="00A369AA">
        <w:rPr>
          <w:i/>
        </w:rPr>
        <w:t xml:space="preserve">produced by changes in the </w:t>
      </w:r>
      <m:oMath>
        <m:r>
          <w:rPr>
            <w:rFonts w:ascii="Cambria Math" w:hAnsi="Cambria Math"/>
          </w:rPr>
          <m:t>i</m:t>
        </m:r>
      </m:oMath>
      <w:r w:rsidRPr="00A369AA">
        <w:rPr>
          <w:i/>
        </w:rPr>
        <w:t xml:space="preserve">-th covariate,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369AA">
        <w:rPr>
          <w:i/>
        </w:rPr>
        <w:t xml:space="preserve">. The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's in equation </w:t>
      </w:r>
      <w:r w:rsidR="004B50C8" w:rsidRPr="004B50C8">
        <w:rPr>
          <w:i/>
        </w:rPr>
        <w:t>(2)</w:t>
      </w:r>
      <w:r w:rsidRPr="00A369AA">
        <w:rPr>
          <w:i/>
        </w:rPr>
        <w:t xml:space="preserve"> were computed with numerical integration following the algorithm suggested by </w:t>
      </w:r>
      <w:r w:rsidRPr="004B50C8">
        <w:rPr>
          <w:i/>
        </w:rPr>
        <w:t>Horiuchi et al (2008)</w:t>
      </w:r>
      <w:r w:rsidRPr="00A369AA">
        <w:rPr>
          <w:i/>
        </w:rPr>
        <w:t>. This method has the advantage of assuming that covariates change gradually along the time dimension.</w:t>
      </w:r>
    </w:p>
    <w:p w14:paraId="620CC331" w14:textId="77777777"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i/>
          <w:sz w:val="20"/>
          <w:szCs w:val="20"/>
        </w:rPr>
      </w:pPr>
    </w:p>
    <w:p w14:paraId="1F22CD57" w14:textId="00974972" w:rsidR="00A369AA" w:rsidRPr="004B50C8" w:rsidRDefault="00A369AA" w:rsidP="004B50C8">
      <w:pPr>
        <w:jc w:val="both"/>
        <w:rPr>
          <w:i/>
        </w:rPr>
      </w:pPr>
      <w:r w:rsidRPr="004B50C8">
        <w:rPr>
          <w:rFonts w:eastAsia="Times New Roman" w:cs="Times New Roman"/>
          <w:i/>
          <w:color w:val="000000"/>
          <w:szCs w:val="24"/>
        </w:rPr>
        <w:t>We perform such decomposition by single age, period and cause of death..”</w:t>
      </w:r>
    </w:p>
    <w:p w14:paraId="5BF7BC44" w14:textId="2FD3B854" w:rsidR="00A369AA" w:rsidRDefault="00A369AA" w:rsidP="0053754D">
      <w:pPr>
        <w:jc w:val="both"/>
      </w:pPr>
    </w:p>
    <w:p w14:paraId="3ED7C87A" w14:textId="101CCC49" w:rsidR="000E4DC3" w:rsidRDefault="00672231" w:rsidP="0053754D">
      <w:pPr>
        <w:jc w:val="both"/>
        <w:rPr>
          <w:rFonts w:eastAsiaTheme="minorEastAsia"/>
        </w:rPr>
      </w:pPr>
      <w:r>
        <w:t>The threshold age is the age at which mortality improvement has no effect on changing life disparity (</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t>)</w:t>
      </w:r>
      <w:r w:rsidR="007E13B7">
        <w:t>,</w:t>
      </w:r>
      <w:r>
        <w:t xml:space="preserve"> </w:t>
      </w:r>
      <w:r w:rsidR="007E13B7" w:rsidRPr="007E13B7">
        <w:t xml:space="preserve">and has been taken as the indicator that separates premature and late deaths </w:t>
      </w:r>
      <w:r w:rsidR="007E13B7">
        <w:t>(</w:t>
      </w:r>
      <w:r w:rsidR="007E13B7" w:rsidRPr="007E13B7">
        <w:t xml:space="preserve">Zhang &amp; Vaupel 2009, Vaupel et al 2011). </w:t>
      </w:r>
      <w:r w:rsidR="00AB3041">
        <w:t xml:space="preserve">Improvements below this age decrease disparity and improvements above increase life disparity. </w:t>
      </w:r>
      <w:r w:rsidR="007E13B7" w:rsidRPr="007E13B7">
        <w:t xml:space="preserve">It exists for several lifespan variation indicators and varies across them (Van Raalte &amp; Caswell 2013). However, it is not fixed and it is different for each country </w:t>
      </w:r>
      <w:r w:rsidR="00AB3041" w:rsidRPr="007E13B7">
        <w:t>in each</w:t>
      </w:r>
      <w:r w:rsidR="007E13B7" w:rsidRPr="007E13B7">
        <w:t xml:space="preserve"> time depending on the mortality profile.</w:t>
      </w:r>
      <w:r w:rsidR="007E13B7">
        <w:t xml:space="preserve"> </w:t>
      </w:r>
      <w:r w:rsidR="00B932BB">
        <w:t>While presenting results on the threshold age would add unnecessary complexity to an already dense paper</w:t>
      </w:r>
      <w:r w:rsidR="00AB3041">
        <w:t>,</w:t>
      </w:r>
      <w:r w:rsidR="00B932BB">
        <w:t xml:space="preserve"> you are right in highlighting that</w:t>
      </w:r>
      <w:r w:rsidR="00AB3041">
        <w:t xml:space="preserve"> </w:t>
      </w:r>
      <w:r w:rsidR="007E13B7">
        <w:t xml:space="preserve">it is necessary to be aware of its existence for </w:t>
      </w:r>
      <w:r w:rsidR="00B932BB">
        <w:t xml:space="preserve">interpretation of </w:t>
      </w:r>
      <w:r w:rsidR="007E13B7">
        <w:t>the age-specific analysis</w:t>
      </w:r>
      <w:r w:rsidR="00AB3041">
        <w:t>. In figures</w:t>
      </w:r>
      <w:r w:rsidR="007E13B7">
        <w:t xml:space="preserve"> </w:t>
      </w:r>
      <w:r w:rsidR="00AB3041">
        <w:t>4-6, there is a clear break in age-specific patterns (e.g. Russia ages 55-59, Slovakia 65-69, Slovenia 70-74, etc.</w:t>
      </w:r>
      <w:r w:rsidR="001A37FE">
        <w:t xml:space="preserve"> [</w:t>
      </w:r>
      <w:r w:rsidR="009E5DFB">
        <w:t>see Fig below</w:t>
      </w:r>
      <w:r w:rsidR="001A37FE">
        <w:t>])</w:t>
      </w:r>
      <w:r w:rsidR="00AB3041">
        <w:t>, which indicates that around those ages is the so-called threshold age. Its importance relies in the fact that, for example, even though life disparity did not change significantly in the period 1960-1980, when looking at age</w:t>
      </w:r>
      <w:r w:rsidR="00B932BB">
        <w:t>-</w:t>
      </w:r>
      <w:r w:rsidR="00AB3041">
        <w:t xml:space="preserve">specific effects it </w:t>
      </w:r>
      <w:r w:rsidR="003B13ED">
        <w:t>becomes</w:t>
      </w:r>
      <w:r w:rsidR="00AB3041">
        <w:t xml:space="preserve"> clear that it was a result of offsetting effects of early and midlife mortality patterns with changes in old age mortality. </w:t>
      </w:r>
      <w:r w:rsidR="003B13ED">
        <w:t xml:space="preserve">To clarify what the threshold age is, we have included an explanation </w:t>
      </w:r>
      <w:r w:rsidR="001A37FE">
        <w:t>in</w:t>
      </w:r>
      <w:r w:rsidR="003B13ED">
        <w:t xml:space="preserve"> the methods section as a property of </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rsidR="003B13ED">
        <w:rPr>
          <w:rFonts w:eastAsiaTheme="minorEastAsia"/>
        </w:rPr>
        <w:t>:</w:t>
      </w:r>
    </w:p>
    <w:p w14:paraId="1E6C299B" w14:textId="73062C8A" w:rsidR="00740FFE" w:rsidRDefault="00740FFE" w:rsidP="0053754D">
      <w:pPr>
        <w:jc w:val="both"/>
        <w:rPr>
          <w:rFonts w:eastAsiaTheme="minorEastAsia"/>
        </w:rPr>
      </w:pPr>
    </w:p>
    <w:p w14:paraId="4EE79DE5" w14:textId="479F29DB" w:rsidR="00740FFE" w:rsidRDefault="00246314" w:rsidP="0053754D">
      <w:pPr>
        <w:jc w:val="both"/>
        <w:rPr>
          <w:rFonts w:eastAsiaTheme="minorEastAsia"/>
        </w:rPr>
      </w:pPr>
      <w:r w:rsidRPr="00246314">
        <w:rPr>
          <w:rFonts w:eastAsiaTheme="minorEastAsia"/>
        </w:rPr>
        <w:t>“</w:t>
      </w:r>
      <w:r w:rsidR="00740FFE" w:rsidRPr="00246314">
        <w:rPr>
          <w:rFonts w:eastAsiaTheme="minorEastAsia"/>
          <w:i/>
        </w:rPr>
        <w:t>…</w:t>
      </w:r>
      <w:r w:rsidRPr="00246314">
        <w:rPr>
          <w:rFonts w:eastAsiaTheme="minorEastAsia"/>
          <w:i/>
        </w:rPr>
        <w:t xml:space="preserve"> </w:t>
      </w:r>
      <w:r w:rsidR="00740FFE" w:rsidRPr="00246314">
        <w:rPr>
          <w:i/>
          <w:color w:val="000000"/>
        </w:rPr>
        <w:t xml:space="preserve">An important attribute of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246314">
        <w:rPr>
          <w:rFonts w:eastAsiaTheme="minorEastAsia"/>
          <w:i/>
        </w:rPr>
        <w:t xml:space="preserve"> </w:t>
      </w:r>
      <w:r w:rsidR="00740FFE" w:rsidRPr="00246314">
        <w:rPr>
          <w:i/>
          <w:color w:val="000000"/>
        </w:rPr>
        <w:t xml:space="preserve">is the so-called threshold age at which mortality improvements have zero effect on lifespan variation </w:t>
      </w:r>
      <w:r w:rsidRPr="00246314">
        <w:rPr>
          <w:i/>
        </w:rPr>
        <w:t>(Zhang &amp; Vaupel 2009)</w:t>
      </w:r>
      <w:r w:rsidR="00740FFE" w:rsidRPr="00246314">
        <w:rPr>
          <w:i/>
          <w:color w:val="000000"/>
        </w:rPr>
        <w:t xml:space="preserve">. Progress in saving lives below this age reduces variation (also called premature deaths), whereas progress above this age increases variation in lifespans </w:t>
      </w:r>
      <w:r w:rsidRPr="00246314">
        <w:rPr>
          <w:i/>
          <w:color w:val="000000"/>
        </w:rPr>
        <w:t>(</w:t>
      </w:r>
      <w:r w:rsidRPr="00246314">
        <w:rPr>
          <w:i/>
        </w:rPr>
        <w:t>Vaupel et al 2011)</w:t>
      </w:r>
      <w:r w:rsidR="00740FFE" w:rsidRPr="00246314">
        <w:rPr>
          <w:i/>
          <w:color w:val="000000"/>
        </w:rPr>
        <w:t>.</w:t>
      </w:r>
      <w:r>
        <w:rPr>
          <w:color w:val="000000"/>
        </w:rPr>
        <w:t>”</w:t>
      </w:r>
    </w:p>
    <w:p w14:paraId="774FD041" w14:textId="41E95ABE" w:rsidR="003B13ED" w:rsidRDefault="003B13ED" w:rsidP="0053754D">
      <w:pPr>
        <w:jc w:val="both"/>
        <w:rPr>
          <w:rFonts w:eastAsiaTheme="minorEastAsia"/>
        </w:rPr>
      </w:pPr>
    </w:p>
    <w:p w14:paraId="230F3D06" w14:textId="46F1591C" w:rsidR="00B66AAD" w:rsidRDefault="00B66AAD" w:rsidP="0053754D">
      <w:pPr>
        <w:jc w:val="both"/>
        <w:rPr>
          <w:rFonts w:eastAsiaTheme="minorEastAsia"/>
        </w:rPr>
      </w:pPr>
      <w:r>
        <w:rPr>
          <w:rFonts w:eastAsiaTheme="minorEastAsia"/>
        </w:rPr>
        <w:t>We also explain in the Results section that by visual inspection the threshold age occurs around the age-groups w</w:t>
      </w:r>
      <w:r w:rsidR="005959D8">
        <w:rPr>
          <w:rFonts w:eastAsiaTheme="minorEastAsia"/>
        </w:rPr>
        <w:t>h</w:t>
      </w:r>
      <w:r>
        <w:rPr>
          <w:rFonts w:eastAsiaTheme="minorEastAsia"/>
        </w:rPr>
        <w:t>ere changes in lifespan variation are usually the lowest in Figures 4-6:</w:t>
      </w:r>
      <w:r w:rsidR="009E5DFB">
        <w:rPr>
          <w:rFonts w:eastAsiaTheme="minorEastAsia"/>
        </w:rPr>
        <w:t xml:space="preserve"> </w:t>
      </w:r>
    </w:p>
    <w:p w14:paraId="20977D2C" w14:textId="77777777" w:rsidR="00B66AAD" w:rsidRDefault="00B66AAD" w:rsidP="0053754D">
      <w:pPr>
        <w:jc w:val="both"/>
        <w:rPr>
          <w:rFonts w:eastAsiaTheme="minorEastAsia"/>
        </w:rPr>
      </w:pPr>
    </w:p>
    <w:p w14:paraId="304B0E74" w14:textId="7E0E3467" w:rsidR="003B13ED" w:rsidRDefault="00B66AAD" w:rsidP="0053754D">
      <w:pPr>
        <w:jc w:val="both"/>
        <w:rPr>
          <w:rFonts w:eastAsiaTheme="minorEastAsia"/>
        </w:rPr>
      </w:pPr>
      <w:r>
        <w:rPr>
          <w:color w:val="000000"/>
        </w:rPr>
        <w:t>“</w:t>
      </w:r>
      <w:r w:rsidRPr="00B66AAD">
        <w:rPr>
          <w:i/>
          <w:color w:val="000000"/>
        </w:rPr>
        <w:t>…The threshold age occurs around the age-groups w</w:t>
      </w:r>
      <w:r w:rsidR="005959D8">
        <w:rPr>
          <w:i/>
          <w:color w:val="000000"/>
        </w:rPr>
        <w:t>h</w:t>
      </w:r>
      <w:r w:rsidRPr="00B66AAD">
        <w:rPr>
          <w:i/>
          <w:color w:val="000000"/>
        </w:rPr>
        <w:t xml:space="preserve">ere changes in lifespan variation are usually the lowest by period (e.g. Russia ages 55-59, Slovakia 65-69, Slovenia 70-74). Bars on the left (decreases in variation) come about from mortality decrease at young ages or increase at old ages, separated by </w:t>
      </w:r>
      <w:r w:rsidR="007E108B">
        <w:rPr>
          <w:i/>
          <w:color w:val="000000"/>
        </w:rPr>
        <w:t>the</w:t>
      </w:r>
      <w:r w:rsidR="007E108B" w:rsidRPr="00B66AAD">
        <w:rPr>
          <w:i/>
          <w:color w:val="000000"/>
        </w:rPr>
        <w:t xml:space="preserve"> </w:t>
      </w:r>
      <w:r w:rsidRPr="00B66AAD">
        <w:rPr>
          <w:i/>
          <w:color w:val="000000"/>
        </w:rPr>
        <w:t>threshold age. Conversely, bars on the right (increase in variation) are produced by mortality increase at young ages or mortality decrease at old ages…</w:t>
      </w:r>
      <w:r>
        <w:rPr>
          <w:rFonts w:eastAsiaTheme="minorEastAsia"/>
        </w:rPr>
        <w:t>”</w:t>
      </w:r>
    </w:p>
    <w:p w14:paraId="12026A51" w14:textId="76ABF144" w:rsidR="003B13ED" w:rsidRDefault="003B13ED" w:rsidP="0053754D">
      <w:pPr>
        <w:jc w:val="both"/>
      </w:pPr>
    </w:p>
    <w:p w14:paraId="3D53B763" w14:textId="77777777" w:rsidR="000E4DC3" w:rsidRPr="007E13B7" w:rsidRDefault="000E4DC3" w:rsidP="0053754D">
      <w:pPr>
        <w:jc w:val="both"/>
      </w:pPr>
    </w:p>
    <w:p w14:paraId="2E59723C" w14:textId="2D4497D1" w:rsidR="00672231" w:rsidRDefault="000E4DC3" w:rsidP="0053754D">
      <w:pPr>
        <w:jc w:val="both"/>
      </w:pPr>
      <w:r>
        <w:rPr>
          <w:noProof/>
        </w:rPr>
        <w:drawing>
          <wp:inline distT="0" distB="0" distL="0" distR="0" wp14:anchorId="1A639D54" wp14:editId="49FB605C">
            <wp:extent cx="5940425" cy="1912620"/>
            <wp:effectExtent l="0" t="0" r="3175" b="0"/>
            <wp:docPr id="16" name="Picture 16" descr="C:\Users\jmaburt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maburto\AppData\Local\Microsoft\Windows\INetCache\Content.Word\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912620"/>
                    </a:xfrm>
                    <a:prstGeom prst="rect">
                      <a:avLst/>
                    </a:prstGeom>
                    <a:noFill/>
                    <a:ln>
                      <a:noFill/>
                    </a:ln>
                  </pic:spPr>
                </pic:pic>
              </a:graphicData>
            </a:graphic>
          </wp:inline>
        </w:drawing>
      </w:r>
    </w:p>
    <w:p w14:paraId="0FECD32C" w14:textId="77777777" w:rsidR="000E4DC3" w:rsidRDefault="000E4DC3" w:rsidP="0053754D">
      <w:pPr>
        <w:jc w:val="both"/>
      </w:pPr>
    </w:p>
    <w:p w14:paraId="37BBC6E9" w14:textId="53DE3D91" w:rsidR="00A369AA" w:rsidRDefault="00A369AA" w:rsidP="0053754D">
      <w:pPr>
        <w:jc w:val="both"/>
      </w:pPr>
      <w:r>
        <w:t>References:</w:t>
      </w:r>
    </w:p>
    <w:p w14:paraId="2E4B141C" w14:textId="42893543" w:rsidR="00A369AA" w:rsidRDefault="00A369AA" w:rsidP="0053754D">
      <w:pPr>
        <w:jc w:val="both"/>
      </w:pPr>
      <w:r w:rsidRPr="00A369AA">
        <w:t>Horiuchi, S., Wilmoth, J. R., &amp; Pletcher, S. D. (2008). A decomposition method based on a model of continuous change. Demography, 45(4), 785-801.</w:t>
      </w:r>
    </w:p>
    <w:p w14:paraId="24CD3045" w14:textId="77777777" w:rsidR="007E13B7" w:rsidRDefault="007E13B7" w:rsidP="0053754D">
      <w:pPr>
        <w:jc w:val="both"/>
      </w:pPr>
    </w:p>
    <w:p w14:paraId="4D58A1D2" w14:textId="6221891E" w:rsidR="007E13B7" w:rsidRPr="007E13B7" w:rsidRDefault="007E13B7" w:rsidP="0053754D">
      <w:pPr>
        <w:jc w:val="both"/>
      </w:pPr>
      <w:r w:rsidRPr="007E13B7">
        <w:t>Van Raalte, A. A., &amp; Caswell, H. (2013). Perturbation analysis of indices of lifespan variability. Demography, 50(5), 1615-1640.</w:t>
      </w:r>
    </w:p>
    <w:p w14:paraId="3B962F6C" w14:textId="77777777" w:rsidR="007E13B7" w:rsidRDefault="007E13B7" w:rsidP="0053754D">
      <w:pPr>
        <w:jc w:val="both"/>
      </w:pPr>
    </w:p>
    <w:p w14:paraId="3942121E" w14:textId="016A2E50" w:rsidR="007E13B7" w:rsidRDefault="007E13B7" w:rsidP="0053754D">
      <w:pPr>
        <w:jc w:val="both"/>
      </w:pPr>
      <w:r w:rsidRPr="007E13B7">
        <w:t>Vaupel, J. W., Zhang, Z., &amp; van Raalte, A. A. (2011). Life expectancy and disparity: an international comparison of life table data. BMJ open, 1(1), e000128.</w:t>
      </w:r>
    </w:p>
    <w:p w14:paraId="24E27373" w14:textId="19B06220" w:rsidR="007E13B7" w:rsidRDefault="007E13B7" w:rsidP="0053754D">
      <w:pPr>
        <w:jc w:val="both"/>
      </w:pPr>
    </w:p>
    <w:p w14:paraId="1EB1186E" w14:textId="489BA193" w:rsidR="007E13B7" w:rsidRPr="00F44E3D" w:rsidRDefault="007E13B7" w:rsidP="0053754D">
      <w:pPr>
        <w:jc w:val="both"/>
      </w:pPr>
      <w:r w:rsidRPr="007E13B7">
        <w:t>Zhang, Z., &amp; Vaupel, J. W. (2009). The age separating early deaths from late deaths. Demographic Research, 20, 721-730.</w:t>
      </w:r>
    </w:p>
    <w:p w14:paraId="3D812773" w14:textId="77777777" w:rsidR="006E7A37" w:rsidRDefault="002010C1">
      <w:r w:rsidRPr="007E13B7">
        <w:cr/>
      </w:r>
      <w:r w:rsidR="006E7A37">
        <w:br w:type="page"/>
      </w:r>
    </w:p>
    <w:p w14:paraId="5EF89400" w14:textId="3ABEB0E6" w:rsidR="00D934AB" w:rsidRDefault="002010C1" w:rsidP="0053754D">
      <w:pPr>
        <w:jc w:val="both"/>
        <w:rPr>
          <w:b/>
        </w:rPr>
      </w:pPr>
      <w:r w:rsidRPr="002010C1">
        <w:rPr>
          <w:b/>
        </w:rPr>
        <w:lastRenderedPageBreak/>
        <w:t xml:space="preserve">I have a concern regarding the inclusion of infant mortality in the analysis. According to the authors, including infant mortality is important because of its overall impact and because excluding it would require arbitrary censoring of the age scale. Infant mortality in the Eastern countries has however undergone huge artificial changes due to updates of diverse non-standard definitions of live births (which are not corrected in the HMD data). These changes may impact life expectancy and lifespan dispersion differently. Including infant mortality is also in conflict with the aim of the paper, which focuses at adult/elderly mortality and particularly at the effects of alcohol. </w:t>
      </w:r>
    </w:p>
    <w:p w14:paraId="0DC600D7" w14:textId="4F13CEF5" w:rsidR="00CA23F5" w:rsidRDefault="00CA23F5" w:rsidP="0053754D">
      <w:pPr>
        <w:jc w:val="both"/>
        <w:rPr>
          <w:b/>
        </w:rPr>
      </w:pPr>
    </w:p>
    <w:p w14:paraId="12FF1CE2" w14:textId="07C95F59" w:rsidR="00BD56DF" w:rsidRPr="005943A1" w:rsidRDefault="002B56AB" w:rsidP="0053754D">
      <w:pPr>
        <w:jc w:val="both"/>
      </w:pPr>
      <w:r w:rsidRPr="002B56AB">
        <w:t xml:space="preserve">We thank the reviewer for these observations and comments. </w:t>
      </w:r>
      <w:r w:rsidR="006D2F44">
        <w:t xml:space="preserve">Eastern European mortality patterns raise questions about quality and completeness of the data. </w:t>
      </w:r>
      <w:r w:rsidR="002B11C7">
        <w:t>Considering</w:t>
      </w:r>
      <w:r w:rsidR="00BD56DF">
        <w:t xml:space="preserve"> that infant mortality was underestimated before </w:t>
      </w:r>
      <w:r w:rsidR="00A34E31">
        <w:t>switching from the Soviet to WHO definition of live birth</w:t>
      </w:r>
      <w:r w:rsidR="00A77739">
        <w:t xml:space="preserve"> </w:t>
      </w:r>
      <w:r w:rsidR="00A77739" w:rsidRPr="00CC6DDC">
        <w:t>(</w:t>
      </w:r>
      <w:r w:rsidR="00A77739" w:rsidRPr="002B11C7">
        <w:rPr>
          <w:color w:val="000000"/>
        </w:rPr>
        <w:t>Aleshina and Redmond 200</w:t>
      </w:r>
      <w:r w:rsidR="00CC6DDC">
        <w:rPr>
          <w:color w:val="000000"/>
        </w:rPr>
        <w:t>5</w:t>
      </w:r>
      <w:r w:rsidR="00A77739" w:rsidRPr="002B11C7">
        <w:rPr>
          <w:color w:val="000000"/>
        </w:rPr>
        <w:t>,</w:t>
      </w:r>
      <w:r w:rsidR="00CC6DDC">
        <w:rPr>
          <w:color w:val="000000"/>
        </w:rPr>
        <w:t xml:space="preserve"> Anderson and Silver 1986,</w:t>
      </w:r>
      <w:r w:rsidR="00A77739" w:rsidRPr="002B11C7">
        <w:rPr>
          <w:color w:val="000000"/>
        </w:rPr>
        <w:t xml:space="preserve"> UNICEF 2003)</w:t>
      </w:r>
      <w:r w:rsidR="00BD56DF">
        <w:t xml:space="preserve">, it would bias our results to the extent that lifespan variation would have been </w:t>
      </w:r>
      <w:r w:rsidR="00A34E31">
        <w:t xml:space="preserve">(artificially) </w:t>
      </w:r>
      <w:r w:rsidR="00BD56DF">
        <w:t xml:space="preserve">larger </w:t>
      </w:r>
      <w:r w:rsidR="00A34E31">
        <w:t>under the Soviet definition</w:t>
      </w:r>
      <w:r w:rsidR="00BD56DF">
        <w:t>, and declines in lifespan variation would have been more dramatic than observed</w:t>
      </w:r>
      <w:r w:rsidR="00A34E31">
        <w:t xml:space="preserve"> during the transition</w:t>
      </w:r>
      <w:r w:rsidR="00BD56DF">
        <w:t xml:space="preserve">.  More subtly, while the levels would have differed, the trends pre-1990 would have been the same, </w:t>
      </w:r>
      <w:r w:rsidR="00A34E31">
        <w:t>assuming that the Soviet definition was used consistently over the period</w:t>
      </w:r>
      <w:r w:rsidR="00BD56DF">
        <w:t xml:space="preserve">. Post-1990 there were differences in the speed of adoption of the WHO rules which could also have led to some biases. </w:t>
      </w:r>
    </w:p>
    <w:p w14:paraId="24FA9C2B" w14:textId="77777777" w:rsidR="007E4275" w:rsidRDefault="007E4275" w:rsidP="0053754D">
      <w:pPr>
        <w:jc w:val="both"/>
        <w:rPr>
          <w:b/>
        </w:rPr>
      </w:pPr>
    </w:p>
    <w:p w14:paraId="49C9F1CC" w14:textId="5A10361A" w:rsidR="002B4381" w:rsidRDefault="00CA23F5" w:rsidP="0053754D">
      <w:pPr>
        <w:jc w:val="both"/>
      </w:pPr>
      <w:r w:rsidRPr="00CA23F5">
        <w:t xml:space="preserve">However, </w:t>
      </w:r>
      <w:r>
        <w:t xml:space="preserve">we believe that </w:t>
      </w:r>
      <w:r w:rsidRPr="00CA23F5">
        <w:t>includi</w:t>
      </w:r>
      <w:r>
        <w:t>ng infant mortality is not in c</w:t>
      </w:r>
      <w:r w:rsidRPr="00CA23F5">
        <w:t xml:space="preserve">onflict with the aim of the paper. </w:t>
      </w:r>
      <w:r>
        <w:t xml:space="preserve">It is true that life expectancy and </w:t>
      </w:r>
      <w:r w:rsidR="00AF189B">
        <w:t xml:space="preserve">especially </w:t>
      </w:r>
      <w:r>
        <w:t xml:space="preserve">lifespan </w:t>
      </w:r>
      <w:r w:rsidR="008648C5">
        <w:t>variation</w:t>
      </w:r>
      <w:r>
        <w:t xml:space="preserve"> are highly sensitive to changes</w:t>
      </w:r>
      <w:r w:rsidR="008648C5">
        <w:t xml:space="preserve"> in early ages in some periods (van Raalte and Caswell 2013). By using appropriate decomposition techniques, we could disentangle its effect and analyze age-specific effects above infant mortality. In general, all lifespan variation measures depend on which age is taken as the starting point (</w:t>
      </w:r>
      <w:r w:rsidR="00EA5BF4">
        <w:t>Engelman et al. 2010</w:t>
      </w:r>
      <w:r w:rsidR="008648C5">
        <w:t>)</w:t>
      </w:r>
      <w:r w:rsidR="008F577C">
        <w:t>,</w:t>
      </w:r>
      <w:r w:rsidR="002471C7">
        <w:t xml:space="preserve"> and we believe that major improvements in very early ages, infant mortality </w:t>
      </w:r>
      <w:r w:rsidR="00B66992">
        <w:t xml:space="preserve">and under five </w:t>
      </w:r>
      <w:r w:rsidR="002471C7">
        <w:t xml:space="preserve">particularly, </w:t>
      </w:r>
      <w:r w:rsidR="00D04395">
        <w:t>are undeniable from 1960</w:t>
      </w:r>
      <w:r w:rsidR="002471C7">
        <w:t xml:space="preserve"> in the region</w:t>
      </w:r>
      <w:r w:rsidR="00B66992">
        <w:t xml:space="preserve"> </w:t>
      </w:r>
      <w:r w:rsidR="008E1A0B">
        <w:t>even controlling for the change in definition (</w:t>
      </w:r>
      <w:r w:rsidR="00486CC5">
        <w:t xml:space="preserve">Kingkade </w:t>
      </w:r>
      <w:r w:rsidR="00CC6DDC">
        <w:t xml:space="preserve">and Sawyer </w:t>
      </w:r>
      <w:r w:rsidR="00486CC5">
        <w:t>2001)</w:t>
      </w:r>
      <w:r w:rsidR="002471C7">
        <w:t xml:space="preserve">. Therefore, they should not be overlooked. </w:t>
      </w:r>
    </w:p>
    <w:p w14:paraId="6E2971A3" w14:textId="77777777" w:rsidR="002B4381" w:rsidRDefault="002B4381" w:rsidP="0053754D">
      <w:pPr>
        <w:jc w:val="both"/>
      </w:pPr>
    </w:p>
    <w:p w14:paraId="330EDCBE" w14:textId="3F6C19CC" w:rsidR="009F7473" w:rsidRDefault="002B4381" w:rsidP="0053754D">
      <w:pPr>
        <w:jc w:val="both"/>
      </w:pPr>
      <w:r>
        <w:t xml:space="preserve">To show how sensitive our results are with respect </w:t>
      </w:r>
      <w:r w:rsidR="003C4037">
        <w:t>to the starting age,</w:t>
      </w:r>
      <w:r w:rsidR="002471C7">
        <w:t xml:space="preserve"> we performed a sensitivity analysis with life expectancy and lifespan variation </w:t>
      </w:r>
      <w:r w:rsidR="003C4037">
        <w:t xml:space="preserve">(1) </w:t>
      </w:r>
      <w:r>
        <w:t>conditional on surviving</w:t>
      </w:r>
      <w:r w:rsidR="002471C7">
        <w:t xml:space="preserve"> </w:t>
      </w:r>
      <w:r>
        <w:t>to</w:t>
      </w:r>
      <w:r w:rsidR="002471C7">
        <w:t xml:space="preserve"> age 5</w:t>
      </w:r>
      <w:r w:rsidR="009F7473">
        <w:t xml:space="preserve"> and</w:t>
      </w:r>
      <w:r w:rsidR="003C4037">
        <w:t xml:space="preserve"> (2)</w:t>
      </w:r>
      <w:r w:rsidR="009F7473">
        <w:t xml:space="preserve"> </w:t>
      </w:r>
      <w:r w:rsidR="006E7A37" w:rsidRPr="006E7A37">
        <w:rPr>
          <w:i/>
        </w:rPr>
        <w:t xml:space="preserve"> </w:t>
      </w:r>
      <w:r w:rsidR="006E7A37" w:rsidRPr="002B11C7">
        <w:t>a doubling of infant mortality prior to 1990, followed by a linear decrease to 10% higher rates in 2000, and constant inflation of 10% thereafter</w:t>
      </w:r>
      <w:r w:rsidR="003C4037">
        <w:t>. These results are now</w:t>
      </w:r>
      <w:r w:rsidR="00C144FB">
        <w:t xml:space="preserve"> included in the supplemental material </w:t>
      </w:r>
      <w:r w:rsidR="00C144FB" w:rsidRPr="002B11C7">
        <w:t xml:space="preserve">and </w:t>
      </w:r>
      <w:r w:rsidR="003C4037" w:rsidRPr="002B11C7">
        <w:t xml:space="preserve">the following </w:t>
      </w:r>
      <w:r w:rsidR="00C144FB" w:rsidRPr="002B11C7">
        <w:t xml:space="preserve">short description </w:t>
      </w:r>
      <w:r w:rsidR="003C4037" w:rsidRPr="002B11C7">
        <w:t xml:space="preserve">of the issued was added to the </w:t>
      </w:r>
      <w:r w:rsidR="00C144FB" w:rsidRPr="002B11C7">
        <w:t xml:space="preserve">limitations </w:t>
      </w:r>
      <w:r w:rsidR="003C4037" w:rsidRPr="002B11C7">
        <w:t xml:space="preserve">section </w:t>
      </w:r>
      <w:r w:rsidR="00C144FB" w:rsidRPr="002B11C7">
        <w:t>of the paper</w:t>
      </w:r>
      <w:r w:rsidR="009F7473">
        <w:t>:</w:t>
      </w:r>
    </w:p>
    <w:p w14:paraId="41A62E60" w14:textId="77777777" w:rsidR="009F7473" w:rsidRDefault="009F7473" w:rsidP="0053754D">
      <w:pPr>
        <w:jc w:val="both"/>
      </w:pPr>
    </w:p>
    <w:p w14:paraId="49A28BBD" w14:textId="44A176B5" w:rsidR="00F21A6D" w:rsidRPr="009F7473" w:rsidRDefault="009F7473" w:rsidP="0053754D">
      <w:pPr>
        <w:jc w:val="both"/>
        <w:rPr>
          <w:i/>
        </w:rPr>
      </w:pPr>
      <w:r w:rsidRPr="009F7473">
        <w:rPr>
          <w:i/>
          <w:color w:val="000000"/>
        </w:rPr>
        <w:t xml:space="preserve">There could be concerns with the quality of the data used in a comparative temporal setting. First, the </w:t>
      </w:r>
      <w:r w:rsidRPr="002B11C7">
        <w:rPr>
          <w:i/>
          <w:color w:val="000000"/>
        </w:rPr>
        <w:t>FSU</w:t>
      </w:r>
      <w:r w:rsidRPr="009F7473">
        <w:rPr>
          <w:i/>
          <w:color w:val="000000"/>
        </w:rPr>
        <w:t xml:space="preserve"> and Central European countries used a less strict definition of live births </w:t>
      </w:r>
      <w:r w:rsidR="002A25CF">
        <w:rPr>
          <w:i/>
          <w:color w:val="000000"/>
        </w:rPr>
        <w:t>compared to</w:t>
      </w:r>
      <w:r w:rsidRPr="009F7473">
        <w:rPr>
          <w:i/>
          <w:color w:val="000000"/>
        </w:rPr>
        <w:t xml:space="preserve"> the WHO</w:t>
      </w:r>
      <w:r w:rsidR="002A25CF">
        <w:rPr>
          <w:i/>
          <w:color w:val="000000"/>
        </w:rPr>
        <w:t xml:space="preserve"> definition</w:t>
      </w:r>
      <w:r w:rsidRPr="009F7473">
        <w:rPr>
          <w:i/>
          <w:color w:val="000000"/>
        </w:rPr>
        <w:t xml:space="preserve">, which had the result of </w:t>
      </w:r>
      <w:r w:rsidR="002A25CF">
        <w:rPr>
          <w:i/>
          <w:color w:val="000000"/>
        </w:rPr>
        <w:t xml:space="preserve">artificially </w:t>
      </w:r>
      <w:r w:rsidRPr="009F7473">
        <w:rPr>
          <w:i/>
          <w:color w:val="000000"/>
        </w:rPr>
        <w:t>depressing infant mortality levels (</w:t>
      </w:r>
      <w:r w:rsidR="00326457" w:rsidRPr="002B11C7">
        <w:rPr>
          <w:i/>
          <w:color w:val="000000"/>
        </w:rPr>
        <w:t>Aleshina and Redmond 200</w:t>
      </w:r>
      <w:r w:rsidR="00CC6DDC">
        <w:rPr>
          <w:i/>
          <w:color w:val="000000"/>
        </w:rPr>
        <w:t>5</w:t>
      </w:r>
      <w:r w:rsidR="0080434A" w:rsidRPr="002B11C7">
        <w:rPr>
          <w:i/>
          <w:color w:val="000000"/>
        </w:rPr>
        <w:t>, UNICEF 2003</w:t>
      </w:r>
      <w:r w:rsidRPr="009F7473">
        <w:rPr>
          <w:i/>
          <w:color w:val="000000"/>
        </w:rPr>
        <w:t xml:space="preserve">). </w:t>
      </w:r>
      <w:r w:rsidR="002A25CF">
        <w:rPr>
          <w:i/>
          <w:color w:val="000000"/>
        </w:rPr>
        <w:t>A</w:t>
      </w:r>
      <w:r w:rsidRPr="009F7473">
        <w:rPr>
          <w:i/>
          <w:color w:val="000000"/>
        </w:rPr>
        <w:t>ll countries eventually shifted to the WHO definition, although the timing of this shift differed between and within countries</w:t>
      </w:r>
      <w:r w:rsidR="002A25CF">
        <w:rPr>
          <w:i/>
          <w:color w:val="000000"/>
        </w:rPr>
        <w:t>, with some regions beginning the shift even before the dissolution of the FSU</w:t>
      </w:r>
      <w:r w:rsidRPr="009F7473">
        <w:rPr>
          <w:i/>
          <w:color w:val="000000"/>
        </w:rPr>
        <w:t xml:space="preserve"> (</w:t>
      </w:r>
      <w:r w:rsidR="002A25CF">
        <w:rPr>
          <w:i/>
          <w:color w:val="000000"/>
        </w:rPr>
        <w:t xml:space="preserve">Anderson and Silver 1986, </w:t>
      </w:r>
      <w:r w:rsidR="00326457" w:rsidRPr="002B11C7">
        <w:rPr>
          <w:i/>
          <w:color w:val="000000"/>
        </w:rPr>
        <w:t>Aleshina and Redmond 2003</w:t>
      </w:r>
      <w:r w:rsidR="0080434A" w:rsidRPr="002B11C7">
        <w:rPr>
          <w:i/>
          <w:color w:val="000000"/>
        </w:rPr>
        <w:t>, UNICEF 2003</w:t>
      </w:r>
      <w:r w:rsidRPr="009F7473">
        <w:rPr>
          <w:i/>
          <w:color w:val="000000"/>
        </w:rPr>
        <w:t xml:space="preserve">). Since indices of lifespan variation are comparatively more sensitive to changes in infant mortality than life expectancy </w:t>
      </w:r>
      <w:r w:rsidR="00A77739">
        <w:rPr>
          <w:i/>
          <w:color w:val="000000"/>
        </w:rPr>
        <w:t>(van Raalte and Caswell 2013)</w:t>
      </w:r>
      <w:r w:rsidRPr="009F7473">
        <w:rPr>
          <w:i/>
          <w:color w:val="000000"/>
        </w:rPr>
        <w:t xml:space="preserve">, we investigated whether our results would be robust </w:t>
      </w:r>
      <w:r w:rsidR="002A25CF">
        <w:rPr>
          <w:i/>
          <w:color w:val="000000"/>
        </w:rPr>
        <w:t>to the following assumptions</w:t>
      </w:r>
      <w:r w:rsidR="00EB2127">
        <w:rPr>
          <w:i/>
          <w:color w:val="000000"/>
        </w:rPr>
        <w:t>:</w:t>
      </w:r>
      <w:r w:rsidRPr="009F7473">
        <w:rPr>
          <w:i/>
          <w:color w:val="000000"/>
        </w:rPr>
        <w:t xml:space="preserve"> </w:t>
      </w:r>
      <w:r w:rsidR="00EB2127">
        <w:rPr>
          <w:i/>
          <w:color w:val="000000"/>
        </w:rPr>
        <w:t>(</w:t>
      </w:r>
      <w:r w:rsidR="002A25CF">
        <w:rPr>
          <w:i/>
          <w:color w:val="000000"/>
        </w:rPr>
        <w:t>1</w:t>
      </w:r>
      <w:r w:rsidR="00EB2127">
        <w:rPr>
          <w:i/>
          <w:color w:val="000000"/>
        </w:rPr>
        <w:t xml:space="preserve">) a doubling of infant mortality </w:t>
      </w:r>
      <w:r w:rsidR="00EB2127" w:rsidRPr="00EB2127">
        <w:rPr>
          <w:i/>
          <w:color w:val="000000"/>
        </w:rPr>
        <w:t xml:space="preserve">prior to 1990, </w:t>
      </w:r>
      <w:r w:rsidR="00EB2127">
        <w:rPr>
          <w:i/>
          <w:color w:val="000000"/>
        </w:rPr>
        <w:t xml:space="preserve">followed by </w:t>
      </w:r>
      <w:r w:rsidR="00EB2127" w:rsidRPr="00EB2127">
        <w:rPr>
          <w:i/>
          <w:color w:val="000000"/>
        </w:rPr>
        <w:t xml:space="preserve">a linear decrease to </w:t>
      </w:r>
      <w:r w:rsidR="00EB2127" w:rsidRPr="00EB2127">
        <w:rPr>
          <w:i/>
          <w:color w:val="000000"/>
        </w:rPr>
        <w:lastRenderedPageBreak/>
        <w:t>10% higher rates in 2000, and constant inflation of 10% thereafter</w:t>
      </w:r>
      <w:r w:rsidR="006E7A37" w:rsidRPr="002B11C7">
        <w:rPr>
          <w:b/>
          <w:i/>
          <w:color w:val="000000"/>
        </w:rPr>
        <w:t>[</w:t>
      </w:r>
      <w:r w:rsidR="008D31E8">
        <w:rPr>
          <w:b/>
          <w:i/>
          <w:color w:val="000000"/>
        </w:rPr>
        <w:t>footnote</w:t>
      </w:r>
      <w:r w:rsidR="006E7A37" w:rsidRPr="002B11C7">
        <w:rPr>
          <w:b/>
          <w:i/>
          <w:color w:val="000000"/>
        </w:rPr>
        <w:t>]</w:t>
      </w:r>
      <w:r w:rsidR="002A25CF">
        <w:rPr>
          <w:i/>
          <w:color w:val="000000"/>
        </w:rPr>
        <w:t xml:space="preserve">, and </w:t>
      </w:r>
      <w:r w:rsidR="002A25CF" w:rsidRPr="002A25CF">
        <w:rPr>
          <w:i/>
          <w:color w:val="000000"/>
        </w:rPr>
        <w:t>(</w:t>
      </w:r>
      <w:r w:rsidR="002A25CF">
        <w:rPr>
          <w:i/>
          <w:color w:val="000000"/>
        </w:rPr>
        <w:t>2</w:t>
      </w:r>
      <w:r w:rsidR="002A25CF" w:rsidRPr="002A25CF">
        <w:rPr>
          <w:i/>
          <w:color w:val="000000"/>
        </w:rPr>
        <w:t>) mortality conditional upon survival to age 5</w:t>
      </w:r>
      <w:r w:rsidR="00EB2127" w:rsidRPr="00EB2127">
        <w:rPr>
          <w:i/>
          <w:color w:val="000000"/>
        </w:rPr>
        <w:t>.</w:t>
      </w:r>
      <w:r w:rsidRPr="009F7473">
        <w:rPr>
          <w:i/>
          <w:color w:val="000000"/>
        </w:rPr>
        <w:t xml:space="preserve"> While </w:t>
      </w:r>
      <w:r w:rsidR="002A25CF">
        <w:rPr>
          <w:i/>
          <w:color w:val="000000"/>
        </w:rPr>
        <w:t>these scenarios created</w:t>
      </w:r>
      <w:r w:rsidRPr="009F7473">
        <w:rPr>
          <w:i/>
          <w:color w:val="000000"/>
        </w:rPr>
        <w:t xml:space="preserve"> some differences in the direction of trends, particularly over the communist period where infant mortality decline was substantial, our two main conclusions from this period still held: (1) life expectancy and life disparity moved independently during the years before the fall of the Berlin wall, (2) trends in life disparity were especially driven by trends in early adult mortality. The</w:t>
      </w:r>
      <w:r w:rsidR="002A25CF">
        <w:rPr>
          <w:i/>
          <w:color w:val="000000"/>
        </w:rPr>
        <w:t xml:space="preserve"> </w:t>
      </w:r>
      <w:r w:rsidRPr="009F7473">
        <w:rPr>
          <w:i/>
          <w:color w:val="000000"/>
        </w:rPr>
        <w:t>result</w:t>
      </w:r>
      <w:r w:rsidR="002A25CF">
        <w:rPr>
          <w:i/>
          <w:color w:val="000000"/>
        </w:rPr>
        <w:t>s of these robustness checks</w:t>
      </w:r>
      <w:r w:rsidRPr="009F7473">
        <w:rPr>
          <w:i/>
          <w:color w:val="000000"/>
        </w:rPr>
        <w:t xml:space="preserve"> are available in the </w:t>
      </w:r>
      <w:r w:rsidRPr="002B11C7">
        <w:rPr>
          <w:i/>
          <w:color w:val="000000"/>
        </w:rPr>
        <w:t>online</w:t>
      </w:r>
      <w:r w:rsidRPr="009F7473">
        <w:rPr>
          <w:i/>
          <w:color w:val="000000"/>
        </w:rPr>
        <w:t xml:space="preserve"> Appendix.</w:t>
      </w:r>
      <w:r w:rsidR="00C144FB" w:rsidRPr="009F7473">
        <w:rPr>
          <w:i/>
        </w:rPr>
        <w:t xml:space="preserve"> </w:t>
      </w:r>
      <w:r w:rsidR="00BA7D6A">
        <w:rPr>
          <w:i/>
        </w:rPr>
        <w:tab/>
      </w:r>
    </w:p>
    <w:p w14:paraId="616D5324" w14:textId="0202A2E0" w:rsidR="00F21A6D" w:rsidRDefault="00F21A6D" w:rsidP="0053754D">
      <w:pPr>
        <w:jc w:val="both"/>
      </w:pPr>
    </w:p>
    <w:p w14:paraId="2BCA6B8B" w14:textId="3EC5743F" w:rsidR="006E7A37" w:rsidRPr="002B11C7" w:rsidRDefault="006E7A37" w:rsidP="0053754D">
      <w:pPr>
        <w:jc w:val="both"/>
        <w:rPr>
          <w:i/>
        </w:rPr>
      </w:pPr>
      <w:r w:rsidRPr="002B11C7">
        <w:rPr>
          <w:i/>
        </w:rPr>
        <w:t>Footnote</w:t>
      </w:r>
      <w:r w:rsidR="00CC6DDC">
        <w:rPr>
          <w:i/>
        </w:rPr>
        <w:t>:</w:t>
      </w:r>
      <w:r w:rsidRPr="002B11C7">
        <w:rPr>
          <w:i/>
        </w:rPr>
        <w:t xml:space="preserve"> Kingkade and Sawyer (2001) published adjustment factors which were generally much lower than the doubling that we used here. Thus this adjustment should be seen as a conservative rather than realistic adjustment to test the robustness of our finding</w:t>
      </w:r>
      <w:r w:rsidR="008D31E8" w:rsidRPr="002B11C7">
        <w:rPr>
          <w:i/>
        </w:rPr>
        <w:t>s.</w:t>
      </w:r>
      <w:r w:rsidRPr="002B11C7">
        <w:rPr>
          <w:i/>
        </w:rPr>
        <w:t xml:space="preserve"> </w:t>
      </w:r>
      <w:r w:rsidR="00787EE1" w:rsidRPr="002B11C7">
        <w:rPr>
          <w:i/>
        </w:rPr>
        <w:t>For the 1960-1980 period, inflating the infant mortality by anywhere up to 77 %</w:t>
      </w:r>
      <w:r w:rsidR="003F3399">
        <w:rPr>
          <w:i/>
        </w:rPr>
        <w:t xml:space="preserve"> for males and 95% for females</w:t>
      </w:r>
      <w:r w:rsidR="00787EE1" w:rsidRPr="002B11C7">
        <w:rPr>
          <w:i/>
        </w:rPr>
        <w:t xml:space="preserve"> resulted in yearly changes in life expectancy and life disparity moving in unexpected directions</w:t>
      </w:r>
      <w:r w:rsidR="003F3399">
        <w:rPr>
          <w:i/>
        </w:rPr>
        <w:t xml:space="preserve"> up to 50%</w:t>
      </w:r>
      <w:r w:rsidR="00787EE1" w:rsidRPr="002B11C7">
        <w:rPr>
          <w:i/>
        </w:rPr>
        <w:t xml:space="preserve"> (see </w:t>
      </w:r>
      <w:r w:rsidR="002C6F23" w:rsidRPr="002C6F23">
        <w:t xml:space="preserve"> </w:t>
      </w:r>
      <w:r w:rsidR="002C6F23" w:rsidRPr="002C6F23">
        <w:rPr>
          <w:i/>
        </w:rPr>
        <w:t>https://demographs.shinyapps.io/CEE_App/</w:t>
      </w:r>
      <w:r w:rsidR="00787EE1" w:rsidRPr="002B11C7">
        <w:rPr>
          <w:i/>
        </w:rPr>
        <w:t>).</w:t>
      </w:r>
    </w:p>
    <w:p w14:paraId="1CA35055" w14:textId="604A2C5D" w:rsidR="00ED1FE1" w:rsidRDefault="00ED1FE1">
      <w:pPr>
        <w:rPr>
          <w:b/>
        </w:rPr>
      </w:pPr>
    </w:p>
    <w:p w14:paraId="326F1B03" w14:textId="77777777" w:rsidR="00ED1FE1" w:rsidRDefault="00ED1FE1" w:rsidP="0053754D">
      <w:pPr>
        <w:jc w:val="both"/>
        <w:rPr>
          <w:b/>
        </w:rPr>
      </w:pPr>
    </w:p>
    <w:p w14:paraId="64749C91" w14:textId="358078B4" w:rsidR="006E7A37" w:rsidRPr="005F2437" w:rsidRDefault="006E7A37" w:rsidP="0053754D">
      <w:pPr>
        <w:jc w:val="both"/>
        <w:rPr>
          <w:b/>
        </w:rPr>
      </w:pPr>
      <w:r w:rsidRPr="005F2437">
        <w:rPr>
          <w:b/>
        </w:rPr>
        <w:t>Results of robustness checks</w:t>
      </w:r>
      <w:r>
        <w:rPr>
          <w:b/>
        </w:rPr>
        <w:t xml:space="preserve"> </w:t>
      </w:r>
    </w:p>
    <w:p w14:paraId="10087352" w14:textId="77777777" w:rsidR="00ED1FE1" w:rsidRDefault="00ED1FE1" w:rsidP="0053754D">
      <w:pPr>
        <w:jc w:val="both"/>
      </w:pPr>
    </w:p>
    <w:p w14:paraId="0E3E035A" w14:textId="5F4FD916" w:rsidR="00A645AC" w:rsidRDefault="002B4381" w:rsidP="0053754D">
      <w:pPr>
        <w:jc w:val="both"/>
      </w:pPr>
      <w:r>
        <w:t>Figure 1 below shows life expectancy at age 5</w:t>
      </w:r>
      <w:r w:rsidR="00F16598">
        <w:t xml:space="preserve"> versus life expectancy at birth</w:t>
      </w:r>
      <w:r>
        <w:t xml:space="preserve"> for the Eastern European countries selected in our study. Although the level</w:t>
      </w:r>
      <w:r w:rsidR="003C4037">
        <w:t>s</w:t>
      </w:r>
      <w:r>
        <w:t xml:space="preserve"> differ, major trends </w:t>
      </w:r>
      <w:r w:rsidR="003C4037">
        <w:t xml:space="preserve">are </w:t>
      </w:r>
      <w:r w:rsidR="00D76CE6">
        <w:t>like</w:t>
      </w:r>
      <w:r w:rsidR="003C4037">
        <w:t xml:space="preserve"> </w:t>
      </w:r>
      <w:r>
        <w:t>the ones we show in the paper. For instance, Russia, Latvia and Estonia also show the lower values of life expectancy at age 5, and Slovenia and Czech Republic are the frontrunners in the region after 1990</w:t>
      </w:r>
      <w:r w:rsidR="001D38C3">
        <w:t xml:space="preserve"> for males</w:t>
      </w:r>
      <w:r w:rsidR="00F16598">
        <w:t>,</w:t>
      </w:r>
      <w:r>
        <w:t xml:space="preserve"> even without accounting for mortality below age 5</w:t>
      </w:r>
      <w:r w:rsidR="003C4037">
        <w:t>.</w:t>
      </w:r>
    </w:p>
    <w:p w14:paraId="60C35B11" w14:textId="77777777" w:rsidR="00ED1FE1" w:rsidRDefault="00ED1FE1" w:rsidP="0053754D">
      <w:pPr>
        <w:jc w:val="both"/>
      </w:pPr>
    </w:p>
    <w:p w14:paraId="5767E041" w14:textId="77777777" w:rsidR="00ED1FE1" w:rsidRDefault="00ED1FE1" w:rsidP="00ED1FE1">
      <w:pPr>
        <w:jc w:val="both"/>
      </w:pPr>
      <w:r>
        <w:t>Similarly, Figure 2 shows life disparity or lifespan variation conditional on surviving to age 5 and at birth. As in the previous figure, the trends are similar to lifespan variation over the full age span. Figure 3 shows the association between changes in life expectancy and lifespan variation conditional on surviving to age 5 and Table 1 shows the proportions of changes in same and opposite directions. The results do not change substantively compared to those including mortality under age 5.</w:t>
      </w:r>
    </w:p>
    <w:p w14:paraId="3B16B5FB" w14:textId="77777777" w:rsidR="009E220F" w:rsidRDefault="009E220F" w:rsidP="00A645AC">
      <w:pPr>
        <w:jc w:val="both"/>
      </w:pPr>
    </w:p>
    <w:p w14:paraId="5A54D2CE" w14:textId="77777777" w:rsidR="00ED1FE1" w:rsidRDefault="00ED1FE1">
      <w:r>
        <w:br w:type="page"/>
      </w:r>
    </w:p>
    <w:p w14:paraId="53E595C6" w14:textId="7656FE2B" w:rsidR="00A645AC" w:rsidRDefault="003539EE" w:rsidP="00A645AC">
      <w:pPr>
        <w:jc w:val="both"/>
      </w:pPr>
      <w:r>
        <w:rPr>
          <w:noProof/>
        </w:rPr>
        <w:lastRenderedPageBreak/>
        <w:drawing>
          <wp:anchor distT="0" distB="0" distL="114300" distR="114300" simplePos="0" relativeHeight="251657216" behindDoc="0" locked="0" layoutInCell="1" allowOverlap="1" wp14:anchorId="27B822F1" wp14:editId="761C6DA4">
            <wp:simplePos x="0" y="0"/>
            <wp:positionH relativeFrom="column">
              <wp:posOffset>-307818</wp:posOffset>
            </wp:positionH>
            <wp:positionV relativeFrom="paragraph">
              <wp:posOffset>307252</wp:posOffset>
            </wp:positionV>
            <wp:extent cx="6545580" cy="3237865"/>
            <wp:effectExtent l="0" t="0" r="762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45580" cy="3237865"/>
                    </a:xfrm>
                    <a:prstGeom prst="rect">
                      <a:avLst/>
                    </a:prstGeom>
                  </pic:spPr>
                </pic:pic>
              </a:graphicData>
            </a:graphic>
            <wp14:sizeRelH relativeFrom="page">
              <wp14:pctWidth>0</wp14:pctWidth>
            </wp14:sizeRelH>
            <wp14:sizeRelV relativeFrom="page">
              <wp14:pctHeight>0</wp14:pctHeight>
            </wp14:sizeRelV>
          </wp:anchor>
        </w:drawing>
      </w:r>
      <w:r w:rsidR="00A645AC">
        <w:t>Figure 1. Life expectancy at age 5 for males and females. Source: HMD</w:t>
      </w:r>
    </w:p>
    <w:p w14:paraId="10901CCD" w14:textId="779A525F" w:rsidR="005943A1" w:rsidRDefault="005943A1" w:rsidP="0053754D">
      <w:pPr>
        <w:jc w:val="both"/>
      </w:pPr>
    </w:p>
    <w:p w14:paraId="065332FA" w14:textId="04FE8A64" w:rsidR="00754C49" w:rsidRDefault="00754C49" w:rsidP="0053754D">
      <w:pPr>
        <w:jc w:val="both"/>
      </w:pPr>
    </w:p>
    <w:p w14:paraId="505F2794" w14:textId="25C28F8C" w:rsidR="00754C49" w:rsidRDefault="00754C49" w:rsidP="0053754D">
      <w:pPr>
        <w:jc w:val="both"/>
      </w:pPr>
    </w:p>
    <w:p w14:paraId="645BB0D6" w14:textId="0F0DF50E" w:rsidR="00376A00" w:rsidRDefault="00A645AC" w:rsidP="0053754D">
      <w:pPr>
        <w:jc w:val="both"/>
      </w:pPr>
      <w:r>
        <w:t>Figure 2. Life disparity</w:t>
      </w:r>
      <w:r w:rsidR="00376A00">
        <w:t xml:space="preserve"> at age 5 for males and females. Source: HMD</w:t>
      </w:r>
    </w:p>
    <w:p w14:paraId="2E310A47" w14:textId="257EE278" w:rsidR="007D2FCA" w:rsidRDefault="003539EE" w:rsidP="0053754D">
      <w:pPr>
        <w:jc w:val="both"/>
      </w:pPr>
      <w:r>
        <w:rPr>
          <w:noProof/>
        </w:rPr>
        <w:drawing>
          <wp:anchor distT="0" distB="0" distL="114300" distR="114300" simplePos="0" relativeHeight="251659264" behindDoc="0" locked="0" layoutInCell="1" allowOverlap="1" wp14:anchorId="2FC7C7C0" wp14:editId="74DD5F43">
            <wp:simplePos x="0" y="0"/>
            <wp:positionH relativeFrom="column">
              <wp:posOffset>-335136</wp:posOffset>
            </wp:positionH>
            <wp:positionV relativeFrom="paragraph">
              <wp:posOffset>189758</wp:posOffset>
            </wp:positionV>
            <wp:extent cx="6602095" cy="3241040"/>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02095" cy="3241040"/>
                    </a:xfrm>
                    <a:prstGeom prst="rect">
                      <a:avLst/>
                    </a:prstGeom>
                  </pic:spPr>
                </pic:pic>
              </a:graphicData>
            </a:graphic>
            <wp14:sizeRelH relativeFrom="page">
              <wp14:pctWidth>0</wp14:pctWidth>
            </wp14:sizeRelH>
            <wp14:sizeRelV relativeFrom="page">
              <wp14:pctHeight>0</wp14:pctHeight>
            </wp14:sizeRelV>
          </wp:anchor>
        </w:drawing>
      </w:r>
    </w:p>
    <w:p w14:paraId="11804213" w14:textId="77777777" w:rsidR="00F97085" w:rsidRDefault="00F97085" w:rsidP="0053754D">
      <w:pPr>
        <w:jc w:val="both"/>
      </w:pPr>
    </w:p>
    <w:p w14:paraId="5A0AF9C2" w14:textId="77777777" w:rsidR="00F97085" w:rsidRDefault="00F97085" w:rsidP="0053754D">
      <w:pPr>
        <w:jc w:val="both"/>
      </w:pPr>
    </w:p>
    <w:p w14:paraId="2994ECB6" w14:textId="3E27E12C" w:rsidR="007D2FCA" w:rsidRDefault="003539EE" w:rsidP="0053754D">
      <w:pPr>
        <w:jc w:val="both"/>
      </w:pPr>
      <w:r>
        <w:rPr>
          <w:noProof/>
        </w:rPr>
        <w:lastRenderedPageBreak/>
        <w:drawing>
          <wp:anchor distT="0" distB="0" distL="114300" distR="114300" simplePos="0" relativeHeight="251660800" behindDoc="0" locked="0" layoutInCell="1" allowOverlap="1" wp14:anchorId="46FED8E8" wp14:editId="3BCA3F4C">
            <wp:simplePos x="0" y="0"/>
            <wp:positionH relativeFrom="column">
              <wp:posOffset>-262746</wp:posOffset>
            </wp:positionH>
            <wp:positionV relativeFrom="paragraph">
              <wp:posOffset>470535</wp:posOffset>
            </wp:positionV>
            <wp:extent cx="6454140" cy="42545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4140" cy="4254500"/>
                    </a:xfrm>
                    <a:prstGeom prst="rect">
                      <a:avLst/>
                    </a:prstGeom>
                  </pic:spPr>
                </pic:pic>
              </a:graphicData>
            </a:graphic>
            <wp14:sizeRelH relativeFrom="page">
              <wp14:pctWidth>0</wp14:pctWidth>
            </wp14:sizeRelH>
            <wp14:sizeRelV relativeFrom="page">
              <wp14:pctHeight>0</wp14:pctHeight>
            </wp14:sizeRelV>
          </wp:anchor>
        </w:drawing>
      </w:r>
      <w:r w:rsidR="00F16598">
        <w:t>Figure 3. Association between changes in life expectancy at age 5 and lifespan variation conditional on surviving to age 5.</w:t>
      </w:r>
    </w:p>
    <w:p w14:paraId="69FC0A7E" w14:textId="5E1747BC" w:rsidR="00F16598" w:rsidRDefault="00F16598" w:rsidP="0053754D">
      <w:pPr>
        <w:jc w:val="both"/>
      </w:pPr>
    </w:p>
    <w:p w14:paraId="53B9C8E7" w14:textId="75D0FEBD" w:rsidR="0031445F" w:rsidRDefault="0031445F" w:rsidP="0053754D">
      <w:pPr>
        <w:jc w:val="both"/>
      </w:pPr>
    </w:p>
    <w:p w14:paraId="6DC98933" w14:textId="4C7BA88D" w:rsidR="0031445F" w:rsidRDefault="0031445F" w:rsidP="0053754D">
      <w:pPr>
        <w:jc w:val="both"/>
      </w:pPr>
      <w:r>
        <w:t>Table 1. Proportions of changes in same and opposite direction by period.</w:t>
      </w:r>
    </w:p>
    <w:tbl>
      <w:tblPr>
        <w:tblW w:w="6240" w:type="dxa"/>
        <w:tblInd w:w="108" w:type="dxa"/>
        <w:tblLook w:val="04A0" w:firstRow="1" w:lastRow="0" w:firstColumn="1" w:lastColumn="0" w:noHBand="0" w:noVBand="1"/>
      </w:tblPr>
      <w:tblGrid>
        <w:gridCol w:w="3080"/>
        <w:gridCol w:w="1760"/>
        <w:gridCol w:w="1400"/>
      </w:tblGrid>
      <w:tr w:rsidR="004D4184" w:rsidRPr="004D4184" w14:paraId="22B7B75D" w14:textId="77777777" w:rsidTr="004D4184">
        <w:trPr>
          <w:trHeight w:val="1068"/>
        </w:trPr>
        <w:tc>
          <w:tcPr>
            <w:tcW w:w="3080" w:type="dxa"/>
            <w:tcBorders>
              <w:top w:val="nil"/>
              <w:left w:val="nil"/>
              <w:bottom w:val="nil"/>
              <w:right w:val="nil"/>
            </w:tcBorders>
            <w:shd w:val="clear" w:color="auto" w:fill="auto"/>
            <w:vAlign w:val="center"/>
            <w:hideMark/>
          </w:tcPr>
          <w:p w14:paraId="028BD29C" w14:textId="77777777" w:rsidR="004D4184" w:rsidRPr="004D4184" w:rsidRDefault="004D4184" w:rsidP="004D4184">
            <w:pPr>
              <w:rPr>
                <w:rFonts w:eastAsia="Times New Roman" w:cs="Times New Roman"/>
                <w:szCs w:val="24"/>
              </w:rPr>
            </w:pPr>
          </w:p>
        </w:tc>
        <w:tc>
          <w:tcPr>
            <w:tcW w:w="1760" w:type="dxa"/>
            <w:tcBorders>
              <w:top w:val="nil"/>
              <w:left w:val="nil"/>
              <w:bottom w:val="nil"/>
              <w:right w:val="nil"/>
            </w:tcBorders>
            <w:shd w:val="clear" w:color="auto" w:fill="auto"/>
            <w:vAlign w:val="center"/>
            <w:hideMark/>
          </w:tcPr>
          <w:p w14:paraId="491B4F50" w14:textId="36927AA8" w:rsidR="004D4184" w:rsidRPr="004D4184" w:rsidRDefault="00BA7D6A" w:rsidP="004D4184">
            <w:pPr>
              <w:ind w:firstLineChars="100" w:firstLine="200"/>
              <w:rPr>
                <w:rFonts w:eastAsia="Times New Roman" w:cs="Times New Roman"/>
                <w:color w:val="000000"/>
                <w:sz w:val="20"/>
                <w:szCs w:val="20"/>
              </w:rPr>
            </w:pPr>
            <w:r>
              <w:rPr>
                <w:rFonts w:eastAsia="Times New Roman" w:cs="Times New Roman"/>
                <w:color w:val="000000"/>
                <w:sz w:val="20"/>
                <w:szCs w:val="20"/>
              </w:rPr>
              <w:t>Une</w:t>
            </w:r>
            <w:r w:rsidR="004D4184" w:rsidRPr="004D4184">
              <w:rPr>
                <w:rFonts w:eastAsia="Times New Roman" w:cs="Times New Roman"/>
                <w:color w:val="000000"/>
                <w:sz w:val="20"/>
                <w:szCs w:val="20"/>
              </w:rPr>
              <w:t>xpected direction</w:t>
            </w:r>
            <w:r w:rsidR="004B3248">
              <w:rPr>
                <w:rFonts w:eastAsia="Times New Roman" w:cs="Times New Roman"/>
                <w:color w:val="000000"/>
                <w:sz w:val="20"/>
                <w:szCs w:val="20"/>
              </w:rPr>
              <w:t xml:space="preserve"> (%)</w:t>
            </w:r>
          </w:p>
        </w:tc>
        <w:tc>
          <w:tcPr>
            <w:tcW w:w="1400" w:type="dxa"/>
            <w:tcBorders>
              <w:top w:val="nil"/>
              <w:left w:val="nil"/>
              <w:bottom w:val="nil"/>
              <w:right w:val="nil"/>
            </w:tcBorders>
            <w:shd w:val="clear" w:color="auto" w:fill="auto"/>
            <w:vAlign w:val="center"/>
            <w:hideMark/>
          </w:tcPr>
          <w:p w14:paraId="37BE8316" w14:textId="3D952539" w:rsidR="004D4184" w:rsidRPr="004D4184" w:rsidRDefault="00BA7D6A" w:rsidP="004D4184">
            <w:pPr>
              <w:ind w:firstLineChars="100" w:firstLine="200"/>
              <w:rPr>
                <w:rFonts w:eastAsia="Times New Roman" w:cs="Times New Roman"/>
                <w:color w:val="000000"/>
                <w:sz w:val="20"/>
                <w:szCs w:val="20"/>
              </w:rPr>
            </w:pPr>
            <w:r>
              <w:rPr>
                <w:rFonts w:eastAsia="Times New Roman" w:cs="Times New Roman"/>
                <w:color w:val="000000"/>
                <w:sz w:val="20"/>
                <w:szCs w:val="20"/>
              </w:rPr>
              <w:t>E</w:t>
            </w:r>
            <w:r w:rsidR="004D4184" w:rsidRPr="004D4184">
              <w:rPr>
                <w:rFonts w:eastAsia="Times New Roman" w:cs="Times New Roman"/>
                <w:color w:val="000000"/>
                <w:sz w:val="20"/>
                <w:szCs w:val="20"/>
              </w:rPr>
              <w:t>xpected direction</w:t>
            </w:r>
            <w:r w:rsidR="004B3248">
              <w:rPr>
                <w:rFonts w:eastAsia="Times New Roman" w:cs="Times New Roman"/>
                <w:color w:val="000000"/>
                <w:sz w:val="20"/>
                <w:szCs w:val="20"/>
              </w:rPr>
              <w:t xml:space="preserve"> (%)</w:t>
            </w:r>
          </w:p>
        </w:tc>
      </w:tr>
      <w:tr w:rsidR="004D4184" w:rsidRPr="004D4184" w14:paraId="7E91C1A7" w14:textId="77777777" w:rsidTr="004D4184">
        <w:trPr>
          <w:trHeight w:val="540"/>
        </w:trPr>
        <w:tc>
          <w:tcPr>
            <w:tcW w:w="3080" w:type="dxa"/>
            <w:tcBorders>
              <w:top w:val="nil"/>
              <w:left w:val="nil"/>
              <w:bottom w:val="nil"/>
              <w:right w:val="nil"/>
            </w:tcBorders>
            <w:shd w:val="clear" w:color="auto" w:fill="auto"/>
            <w:vAlign w:val="center"/>
            <w:hideMark/>
          </w:tcPr>
          <w:p w14:paraId="7D02327D"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Stagnation 1960-1980</w:t>
            </w:r>
          </w:p>
        </w:tc>
        <w:tc>
          <w:tcPr>
            <w:tcW w:w="1760" w:type="dxa"/>
            <w:tcBorders>
              <w:top w:val="nil"/>
              <w:left w:val="nil"/>
              <w:bottom w:val="nil"/>
              <w:right w:val="nil"/>
            </w:tcBorders>
            <w:shd w:val="clear" w:color="auto" w:fill="auto"/>
            <w:vAlign w:val="center"/>
            <w:hideMark/>
          </w:tcPr>
          <w:p w14:paraId="5857DF18"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58.6</w:t>
            </w:r>
          </w:p>
        </w:tc>
        <w:tc>
          <w:tcPr>
            <w:tcW w:w="1400" w:type="dxa"/>
            <w:tcBorders>
              <w:top w:val="nil"/>
              <w:left w:val="nil"/>
              <w:bottom w:val="nil"/>
              <w:right w:val="nil"/>
            </w:tcBorders>
            <w:shd w:val="clear" w:color="auto" w:fill="auto"/>
            <w:vAlign w:val="center"/>
            <w:hideMark/>
          </w:tcPr>
          <w:p w14:paraId="3E1674F5"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41.4</w:t>
            </w:r>
          </w:p>
        </w:tc>
      </w:tr>
      <w:tr w:rsidR="004D4184" w:rsidRPr="004D4184" w14:paraId="37C22108" w14:textId="77777777" w:rsidTr="004D4184">
        <w:trPr>
          <w:trHeight w:val="528"/>
        </w:trPr>
        <w:tc>
          <w:tcPr>
            <w:tcW w:w="3080" w:type="dxa"/>
            <w:tcBorders>
              <w:top w:val="nil"/>
              <w:left w:val="nil"/>
              <w:bottom w:val="nil"/>
              <w:right w:val="nil"/>
            </w:tcBorders>
            <w:shd w:val="clear" w:color="auto" w:fill="auto"/>
            <w:vAlign w:val="center"/>
            <w:hideMark/>
          </w:tcPr>
          <w:p w14:paraId="38BF1E07"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Improvements 1980-1988</w:t>
            </w:r>
          </w:p>
        </w:tc>
        <w:tc>
          <w:tcPr>
            <w:tcW w:w="1760" w:type="dxa"/>
            <w:tcBorders>
              <w:top w:val="nil"/>
              <w:left w:val="nil"/>
              <w:bottom w:val="nil"/>
              <w:right w:val="nil"/>
            </w:tcBorders>
            <w:shd w:val="clear" w:color="auto" w:fill="auto"/>
            <w:vAlign w:val="center"/>
            <w:hideMark/>
          </w:tcPr>
          <w:p w14:paraId="16EFBDD9"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54.8</w:t>
            </w:r>
          </w:p>
        </w:tc>
        <w:tc>
          <w:tcPr>
            <w:tcW w:w="1400" w:type="dxa"/>
            <w:tcBorders>
              <w:top w:val="nil"/>
              <w:left w:val="nil"/>
              <w:bottom w:val="nil"/>
              <w:right w:val="nil"/>
            </w:tcBorders>
            <w:shd w:val="clear" w:color="auto" w:fill="auto"/>
            <w:vAlign w:val="center"/>
            <w:hideMark/>
          </w:tcPr>
          <w:p w14:paraId="0652F65E"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45.2</w:t>
            </w:r>
          </w:p>
        </w:tc>
      </w:tr>
      <w:tr w:rsidR="004D4184" w:rsidRPr="004D4184" w14:paraId="407DFFDA" w14:textId="77777777" w:rsidTr="004D4184">
        <w:trPr>
          <w:trHeight w:val="288"/>
        </w:trPr>
        <w:tc>
          <w:tcPr>
            <w:tcW w:w="3080" w:type="dxa"/>
            <w:tcBorders>
              <w:top w:val="nil"/>
              <w:left w:val="nil"/>
              <w:bottom w:val="nil"/>
              <w:right w:val="nil"/>
            </w:tcBorders>
            <w:shd w:val="clear" w:color="auto" w:fill="auto"/>
            <w:vAlign w:val="center"/>
            <w:hideMark/>
          </w:tcPr>
          <w:p w14:paraId="2D7A022E"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Deterioration 1988-1994</w:t>
            </w:r>
          </w:p>
        </w:tc>
        <w:tc>
          <w:tcPr>
            <w:tcW w:w="1760" w:type="dxa"/>
            <w:tcBorders>
              <w:top w:val="nil"/>
              <w:left w:val="nil"/>
              <w:bottom w:val="nil"/>
              <w:right w:val="nil"/>
            </w:tcBorders>
            <w:shd w:val="clear" w:color="auto" w:fill="auto"/>
            <w:vAlign w:val="center"/>
            <w:hideMark/>
          </w:tcPr>
          <w:p w14:paraId="3CB2631F"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25.0</w:t>
            </w:r>
          </w:p>
        </w:tc>
        <w:tc>
          <w:tcPr>
            <w:tcW w:w="1400" w:type="dxa"/>
            <w:tcBorders>
              <w:top w:val="nil"/>
              <w:left w:val="nil"/>
              <w:bottom w:val="nil"/>
              <w:right w:val="nil"/>
            </w:tcBorders>
            <w:shd w:val="clear" w:color="auto" w:fill="auto"/>
            <w:vAlign w:val="center"/>
            <w:hideMark/>
          </w:tcPr>
          <w:p w14:paraId="22916FE2"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75.0</w:t>
            </w:r>
          </w:p>
        </w:tc>
      </w:tr>
      <w:tr w:rsidR="004D4184" w:rsidRPr="004D4184" w14:paraId="1745B1D8" w14:textId="77777777" w:rsidTr="004D4184">
        <w:trPr>
          <w:trHeight w:val="288"/>
        </w:trPr>
        <w:tc>
          <w:tcPr>
            <w:tcW w:w="3080" w:type="dxa"/>
            <w:tcBorders>
              <w:top w:val="nil"/>
              <w:left w:val="nil"/>
              <w:bottom w:val="nil"/>
              <w:right w:val="nil"/>
            </w:tcBorders>
            <w:shd w:val="clear" w:color="auto" w:fill="auto"/>
            <w:vAlign w:val="center"/>
            <w:hideMark/>
          </w:tcPr>
          <w:p w14:paraId="3CCD245D"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Divergence 1994-2000</w:t>
            </w:r>
          </w:p>
        </w:tc>
        <w:tc>
          <w:tcPr>
            <w:tcW w:w="1760" w:type="dxa"/>
            <w:tcBorders>
              <w:top w:val="nil"/>
              <w:left w:val="nil"/>
              <w:bottom w:val="nil"/>
              <w:right w:val="nil"/>
            </w:tcBorders>
            <w:shd w:val="clear" w:color="auto" w:fill="auto"/>
            <w:vAlign w:val="center"/>
            <w:hideMark/>
          </w:tcPr>
          <w:p w14:paraId="24F8D948"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31.7</w:t>
            </w:r>
          </w:p>
        </w:tc>
        <w:tc>
          <w:tcPr>
            <w:tcW w:w="1400" w:type="dxa"/>
            <w:tcBorders>
              <w:top w:val="nil"/>
              <w:left w:val="nil"/>
              <w:bottom w:val="nil"/>
              <w:right w:val="nil"/>
            </w:tcBorders>
            <w:shd w:val="clear" w:color="auto" w:fill="auto"/>
            <w:vAlign w:val="center"/>
            <w:hideMark/>
          </w:tcPr>
          <w:p w14:paraId="79B45C4B"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68.3</w:t>
            </w:r>
          </w:p>
        </w:tc>
      </w:tr>
      <w:tr w:rsidR="004D4184" w:rsidRPr="004D4184" w14:paraId="40EB7431" w14:textId="77777777" w:rsidTr="004D4184">
        <w:trPr>
          <w:trHeight w:val="288"/>
        </w:trPr>
        <w:tc>
          <w:tcPr>
            <w:tcW w:w="3080" w:type="dxa"/>
            <w:tcBorders>
              <w:top w:val="nil"/>
              <w:left w:val="nil"/>
              <w:bottom w:val="nil"/>
              <w:right w:val="nil"/>
            </w:tcBorders>
            <w:shd w:val="clear" w:color="auto" w:fill="auto"/>
            <w:vAlign w:val="center"/>
            <w:hideMark/>
          </w:tcPr>
          <w:p w14:paraId="67C4640A"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Convergence 2000-present</w:t>
            </w:r>
          </w:p>
        </w:tc>
        <w:tc>
          <w:tcPr>
            <w:tcW w:w="1760" w:type="dxa"/>
            <w:tcBorders>
              <w:top w:val="nil"/>
              <w:left w:val="nil"/>
              <w:bottom w:val="nil"/>
              <w:right w:val="nil"/>
            </w:tcBorders>
            <w:shd w:val="clear" w:color="auto" w:fill="auto"/>
            <w:vAlign w:val="center"/>
            <w:hideMark/>
          </w:tcPr>
          <w:p w14:paraId="743EB2CA"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37.2</w:t>
            </w:r>
          </w:p>
        </w:tc>
        <w:tc>
          <w:tcPr>
            <w:tcW w:w="1400" w:type="dxa"/>
            <w:tcBorders>
              <w:top w:val="nil"/>
              <w:left w:val="nil"/>
              <w:bottom w:val="nil"/>
              <w:right w:val="nil"/>
            </w:tcBorders>
            <w:shd w:val="clear" w:color="auto" w:fill="auto"/>
            <w:vAlign w:val="center"/>
            <w:hideMark/>
          </w:tcPr>
          <w:p w14:paraId="245DE373" w14:textId="7E7A2AB0" w:rsidR="004D4184" w:rsidRPr="004D4184" w:rsidRDefault="004B3248" w:rsidP="004D4184">
            <w:pPr>
              <w:ind w:firstLineChars="100" w:firstLine="200"/>
              <w:rPr>
                <w:rFonts w:eastAsia="Times New Roman" w:cs="Times New Roman"/>
                <w:color w:val="000000"/>
                <w:sz w:val="20"/>
                <w:szCs w:val="20"/>
              </w:rPr>
            </w:pPr>
            <w:r>
              <w:rPr>
                <w:rFonts w:eastAsia="Times New Roman" w:cs="Times New Roman"/>
                <w:color w:val="000000"/>
                <w:sz w:val="20"/>
              </w:rPr>
              <w:t>62.8</w:t>
            </w:r>
          </w:p>
        </w:tc>
      </w:tr>
    </w:tbl>
    <w:p w14:paraId="1245EC10" w14:textId="77777777" w:rsidR="00AD06DA" w:rsidRDefault="00AD06DA" w:rsidP="0053754D">
      <w:pPr>
        <w:jc w:val="both"/>
      </w:pPr>
    </w:p>
    <w:p w14:paraId="1FAE0E6F" w14:textId="77777777" w:rsidR="00AD06DA" w:rsidRDefault="00AD06DA" w:rsidP="0053754D">
      <w:pPr>
        <w:jc w:val="both"/>
      </w:pPr>
    </w:p>
    <w:p w14:paraId="4F9001B9" w14:textId="37A21ED1" w:rsidR="007D2FCA" w:rsidRDefault="007D2FCA" w:rsidP="0053754D">
      <w:pPr>
        <w:jc w:val="both"/>
      </w:pPr>
      <w:r>
        <w:t>We further performed the age-specific decomposition of lifespan variation conditional on surviving to age</w:t>
      </w:r>
      <w:r w:rsidR="0005683F">
        <w:t xml:space="preserve"> 5</w:t>
      </w:r>
      <w:r>
        <w:t xml:space="preserve"> following the same methodology that we used in the pape</w:t>
      </w:r>
      <w:r w:rsidR="00F16598">
        <w:t>r. Results are shown in Figure 4</w:t>
      </w:r>
      <w:r>
        <w:t xml:space="preserve"> below. The results are very close as if we decompose lifespan variation from age 0 (Figure 4 in the paper). </w:t>
      </w:r>
    </w:p>
    <w:p w14:paraId="1118E6E3" w14:textId="77777777" w:rsidR="00371BF6" w:rsidRDefault="00371BF6" w:rsidP="0053754D">
      <w:pPr>
        <w:jc w:val="both"/>
      </w:pPr>
    </w:p>
    <w:p w14:paraId="5AF08053" w14:textId="0E35E956" w:rsidR="009E220F" w:rsidRDefault="00F16598" w:rsidP="0053754D">
      <w:pPr>
        <w:jc w:val="both"/>
      </w:pPr>
      <w:r>
        <w:t>Figure 4</w:t>
      </w:r>
      <w:r w:rsidR="009E220F">
        <w:t>. Age specific contributions to changes in life disparity conditional on surviving at age 5, by period.</w:t>
      </w:r>
    </w:p>
    <w:p w14:paraId="4972AE23" w14:textId="45455199" w:rsidR="009E220F" w:rsidRDefault="003539EE" w:rsidP="0053754D">
      <w:pPr>
        <w:jc w:val="both"/>
      </w:pPr>
      <w:r>
        <w:rPr>
          <w:noProof/>
        </w:rPr>
        <w:drawing>
          <wp:anchor distT="0" distB="0" distL="114300" distR="114300" simplePos="0" relativeHeight="251658240" behindDoc="1" locked="0" layoutInCell="1" allowOverlap="1" wp14:anchorId="04E77D3A" wp14:editId="0AA12A91">
            <wp:simplePos x="0" y="0"/>
            <wp:positionH relativeFrom="column">
              <wp:posOffset>-516381</wp:posOffset>
            </wp:positionH>
            <wp:positionV relativeFrom="paragraph">
              <wp:posOffset>270730</wp:posOffset>
            </wp:positionV>
            <wp:extent cx="6960870" cy="4634865"/>
            <wp:effectExtent l="0" t="0" r="0" b="0"/>
            <wp:wrapTight wrapText="bothSides">
              <wp:wrapPolygon edited="0">
                <wp:start x="0" y="0"/>
                <wp:lineTo x="0" y="21485"/>
                <wp:lineTo x="21517" y="21485"/>
                <wp:lineTo x="2151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60870" cy="4634865"/>
                    </a:xfrm>
                    <a:prstGeom prst="rect">
                      <a:avLst/>
                    </a:prstGeom>
                  </pic:spPr>
                </pic:pic>
              </a:graphicData>
            </a:graphic>
            <wp14:sizeRelH relativeFrom="page">
              <wp14:pctWidth>0</wp14:pctWidth>
            </wp14:sizeRelH>
            <wp14:sizeRelV relativeFrom="page">
              <wp14:pctHeight>0</wp14:pctHeight>
            </wp14:sizeRelV>
          </wp:anchor>
        </w:drawing>
      </w:r>
    </w:p>
    <w:p w14:paraId="53A6BE6E" w14:textId="3F3650BB" w:rsidR="004E3D11" w:rsidRPr="00DB41CE" w:rsidRDefault="004E3D11" w:rsidP="002B4381">
      <w:pPr>
        <w:jc w:val="both"/>
      </w:pPr>
    </w:p>
    <w:p w14:paraId="1D98FEC7" w14:textId="341FBADB" w:rsidR="009F7473" w:rsidRDefault="009F7473" w:rsidP="002B4381">
      <w:pPr>
        <w:jc w:val="both"/>
      </w:pPr>
    </w:p>
    <w:p w14:paraId="40502E43" w14:textId="6E8C68E5" w:rsidR="009F7473" w:rsidRDefault="009F7473" w:rsidP="002B4381">
      <w:pPr>
        <w:jc w:val="both"/>
      </w:pPr>
    </w:p>
    <w:p w14:paraId="51BF528C" w14:textId="77777777" w:rsidR="009F7473" w:rsidRDefault="009F7473" w:rsidP="002B4381">
      <w:pPr>
        <w:jc w:val="both"/>
      </w:pPr>
    </w:p>
    <w:p w14:paraId="28D7A860" w14:textId="77777777" w:rsidR="00ED1FE1" w:rsidRDefault="00ED1FE1">
      <w:r>
        <w:br w:type="page"/>
      </w:r>
    </w:p>
    <w:p w14:paraId="21C3DE04" w14:textId="10EDAAFF" w:rsidR="00DB41CE" w:rsidRDefault="009F7473" w:rsidP="002B4381">
      <w:pPr>
        <w:jc w:val="both"/>
      </w:pPr>
      <w:r>
        <w:lastRenderedPageBreak/>
        <w:t xml:space="preserve">Figure 5. </w:t>
      </w:r>
      <w:r w:rsidR="00DB41CE" w:rsidRPr="00DB41CE">
        <w:t>Association between changes in life expectancy and lifespan variation doubling infant mortality rates prior to 1990, a linear decrease to 10% higher rates in 2000, and constant inflation of 10% thereafter.</w:t>
      </w:r>
      <w:r w:rsidR="00AF6226">
        <w:t xml:space="preserve"> Table below shows the proportions of expected and unexpected </w:t>
      </w:r>
      <w:r w:rsidR="003D5E2F">
        <w:t>proportions.</w:t>
      </w:r>
    </w:p>
    <w:p w14:paraId="6304365B" w14:textId="77777777" w:rsidR="00DB41CE" w:rsidRPr="00DB41CE" w:rsidRDefault="00DB41CE" w:rsidP="002B4381">
      <w:pPr>
        <w:jc w:val="both"/>
      </w:pPr>
    </w:p>
    <w:p w14:paraId="5851C5FE" w14:textId="2548DC1E" w:rsidR="00DB41CE" w:rsidRDefault="00DB41CE" w:rsidP="002B4381">
      <w:pPr>
        <w:jc w:val="both"/>
        <w:rPr>
          <w:b/>
        </w:rPr>
      </w:pPr>
      <w:r>
        <w:rPr>
          <w:noProof/>
        </w:rPr>
        <w:drawing>
          <wp:inline distT="0" distB="0" distL="0" distR="0" wp14:anchorId="77313CF1" wp14:editId="1B8ACD8F">
            <wp:extent cx="5943600" cy="1929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9765"/>
                    </a:xfrm>
                    <a:prstGeom prst="rect">
                      <a:avLst/>
                    </a:prstGeom>
                  </pic:spPr>
                </pic:pic>
              </a:graphicData>
            </a:graphic>
          </wp:inline>
        </w:drawing>
      </w:r>
    </w:p>
    <w:p w14:paraId="606CB467" w14:textId="6429AEF0" w:rsidR="00DB41CE" w:rsidRDefault="00DB41CE" w:rsidP="002B4381">
      <w:pPr>
        <w:jc w:val="both"/>
        <w:rPr>
          <w:b/>
        </w:rPr>
      </w:pPr>
    </w:p>
    <w:tbl>
      <w:tblPr>
        <w:tblW w:w="6804" w:type="dxa"/>
        <w:tblInd w:w="108" w:type="dxa"/>
        <w:tblLook w:val="04A0" w:firstRow="1" w:lastRow="0" w:firstColumn="1" w:lastColumn="0" w:noHBand="0" w:noVBand="1"/>
      </w:tblPr>
      <w:tblGrid>
        <w:gridCol w:w="3080"/>
        <w:gridCol w:w="1760"/>
        <w:gridCol w:w="1964"/>
      </w:tblGrid>
      <w:tr w:rsidR="0064685C" w:rsidRPr="0064685C" w14:paraId="27BFB455" w14:textId="77777777" w:rsidTr="0064685C">
        <w:trPr>
          <w:trHeight w:val="1068"/>
        </w:trPr>
        <w:tc>
          <w:tcPr>
            <w:tcW w:w="3080" w:type="dxa"/>
            <w:tcBorders>
              <w:top w:val="nil"/>
              <w:left w:val="nil"/>
              <w:bottom w:val="nil"/>
              <w:right w:val="nil"/>
            </w:tcBorders>
            <w:shd w:val="clear" w:color="auto" w:fill="auto"/>
            <w:vAlign w:val="center"/>
            <w:hideMark/>
          </w:tcPr>
          <w:p w14:paraId="32130367" w14:textId="77777777" w:rsidR="0064685C" w:rsidRPr="0064685C" w:rsidRDefault="0064685C" w:rsidP="0064685C">
            <w:pPr>
              <w:rPr>
                <w:rFonts w:eastAsia="Times New Roman" w:cs="Times New Roman"/>
                <w:b/>
                <w:szCs w:val="24"/>
              </w:rPr>
            </w:pPr>
          </w:p>
        </w:tc>
        <w:tc>
          <w:tcPr>
            <w:tcW w:w="1760" w:type="dxa"/>
            <w:tcBorders>
              <w:top w:val="nil"/>
              <w:left w:val="nil"/>
              <w:bottom w:val="nil"/>
              <w:right w:val="nil"/>
            </w:tcBorders>
            <w:shd w:val="clear" w:color="auto" w:fill="auto"/>
            <w:vAlign w:val="center"/>
            <w:hideMark/>
          </w:tcPr>
          <w:p w14:paraId="1E76558B" w14:textId="4FD0C432" w:rsidR="0064685C" w:rsidRPr="0064685C" w:rsidRDefault="0064685C" w:rsidP="001C6BD4">
            <w:pPr>
              <w:ind w:firstLineChars="100" w:firstLine="200"/>
              <w:rPr>
                <w:rFonts w:eastAsia="Times New Roman" w:cs="Times New Roman"/>
                <w:b/>
                <w:color w:val="000000"/>
                <w:sz w:val="20"/>
                <w:szCs w:val="20"/>
              </w:rPr>
            </w:pPr>
            <w:r w:rsidRPr="0064685C">
              <w:rPr>
                <w:rFonts w:eastAsia="Times New Roman" w:cs="Times New Roman"/>
                <w:b/>
                <w:color w:val="000000"/>
                <w:sz w:val="20"/>
                <w:szCs w:val="20"/>
              </w:rPr>
              <w:t>Expected direction</w:t>
            </w:r>
            <w:r>
              <w:rPr>
                <w:rFonts w:eastAsia="Times New Roman" w:cs="Times New Roman"/>
                <w:b/>
                <w:color w:val="000000"/>
                <w:sz w:val="20"/>
                <w:szCs w:val="20"/>
              </w:rPr>
              <w:t xml:space="preserve"> (%)</w:t>
            </w:r>
          </w:p>
        </w:tc>
        <w:tc>
          <w:tcPr>
            <w:tcW w:w="1964" w:type="dxa"/>
            <w:tcBorders>
              <w:top w:val="nil"/>
              <w:left w:val="nil"/>
              <w:bottom w:val="nil"/>
              <w:right w:val="nil"/>
            </w:tcBorders>
            <w:shd w:val="clear" w:color="auto" w:fill="auto"/>
            <w:vAlign w:val="center"/>
            <w:hideMark/>
          </w:tcPr>
          <w:p w14:paraId="3CBC8824" w14:textId="4E5DBB55" w:rsidR="0064685C" w:rsidRPr="0064685C" w:rsidRDefault="0064685C" w:rsidP="001C6BD4">
            <w:pPr>
              <w:ind w:firstLineChars="100" w:firstLine="200"/>
              <w:rPr>
                <w:rFonts w:eastAsia="Times New Roman" w:cs="Times New Roman"/>
                <w:b/>
                <w:color w:val="000000"/>
                <w:sz w:val="20"/>
                <w:szCs w:val="20"/>
              </w:rPr>
            </w:pPr>
            <w:r w:rsidRPr="0064685C">
              <w:rPr>
                <w:rFonts w:eastAsia="Times New Roman" w:cs="Times New Roman"/>
                <w:b/>
                <w:color w:val="000000"/>
                <w:sz w:val="20"/>
                <w:szCs w:val="20"/>
              </w:rPr>
              <w:t>Unexpected direction</w:t>
            </w:r>
            <w:r>
              <w:rPr>
                <w:rFonts w:eastAsia="Times New Roman" w:cs="Times New Roman"/>
                <w:b/>
                <w:color w:val="000000"/>
                <w:sz w:val="20"/>
                <w:szCs w:val="20"/>
              </w:rPr>
              <w:t xml:space="preserve"> (%)</w:t>
            </w:r>
          </w:p>
        </w:tc>
      </w:tr>
      <w:tr w:rsidR="0064685C" w:rsidRPr="0064685C" w14:paraId="2D4AC412" w14:textId="77777777" w:rsidTr="0064685C">
        <w:trPr>
          <w:trHeight w:val="540"/>
        </w:trPr>
        <w:tc>
          <w:tcPr>
            <w:tcW w:w="3080" w:type="dxa"/>
            <w:tcBorders>
              <w:top w:val="nil"/>
              <w:left w:val="nil"/>
              <w:bottom w:val="nil"/>
              <w:right w:val="nil"/>
            </w:tcBorders>
            <w:shd w:val="clear" w:color="auto" w:fill="auto"/>
            <w:vAlign w:val="center"/>
            <w:hideMark/>
          </w:tcPr>
          <w:p w14:paraId="0075DFE6" w14:textId="77777777" w:rsidR="0064685C" w:rsidRPr="0064685C" w:rsidRDefault="0064685C" w:rsidP="001C6BD4">
            <w:pPr>
              <w:ind w:firstLineChars="100" w:firstLine="200"/>
              <w:rPr>
                <w:rFonts w:eastAsia="Times New Roman" w:cs="Times New Roman"/>
                <w:b/>
                <w:color w:val="000000"/>
                <w:sz w:val="20"/>
                <w:szCs w:val="20"/>
              </w:rPr>
            </w:pPr>
            <w:r w:rsidRPr="0064685C">
              <w:rPr>
                <w:rFonts w:eastAsia="Times New Roman" w:cs="Times New Roman"/>
                <w:b/>
                <w:color w:val="000000"/>
                <w:sz w:val="20"/>
              </w:rPr>
              <w:t>Stagnation 1960-1980</w:t>
            </w:r>
          </w:p>
        </w:tc>
        <w:tc>
          <w:tcPr>
            <w:tcW w:w="1760" w:type="dxa"/>
            <w:tcBorders>
              <w:top w:val="nil"/>
              <w:left w:val="nil"/>
              <w:bottom w:val="nil"/>
              <w:right w:val="nil"/>
            </w:tcBorders>
            <w:shd w:val="clear" w:color="auto" w:fill="auto"/>
            <w:vAlign w:val="center"/>
            <w:hideMark/>
          </w:tcPr>
          <w:p w14:paraId="451B24D0"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52.3</w:t>
            </w:r>
          </w:p>
        </w:tc>
        <w:tc>
          <w:tcPr>
            <w:tcW w:w="1964" w:type="dxa"/>
            <w:tcBorders>
              <w:top w:val="nil"/>
              <w:left w:val="nil"/>
              <w:bottom w:val="nil"/>
              <w:right w:val="nil"/>
            </w:tcBorders>
            <w:shd w:val="clear" w:color="auto" w:fill="auto"/>
            <w:vAlign w:val="center"/>
            <w:hideMark/>
          </w:tcPr>
          <w:p w14:paraId="3D602A7D"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47.7</w:t>
            </w:r>
          </w:p>
        </w:tc>
      </w:tr>
      <w:tr w:rsidR="0064685C" w:rsidRPr="0064685C" w14:paraId="1E316B7D" w14:textId="77777777" w:rsidTr="0064685C">
        <w:trPr>
          <w:trHeight w:val="528"/>
        </w:trPr>
        <w:tc>
          <w:tcPr>
            <w:tcW w:w="3080" w:type="dxa"/>
            <w:tcBorders>
              <w:top w:val="nil"/>
              <w:left w:val="nil"/>
              <w:bottom w:val="nil"/>
              <w:right w:val="nil"/>
            </w:tcBorders>
            <w:shd w:val="clear" w:color="auto" w:fill="auto"/>
            <w:vAlign w:val="center"/>
            <w:hideMark/>
          </w:tcPr>
          <w:p w14:paraId="2850A508" w14:textId="77777777" w:rsidR="0064685C" w:rsidRPr="0064685C" w:rsidRDefault="0064685C" w:rsidP="001C6BD4">
            <w:pPr>
              <w:ind w:firstLineChars="100" w:firstLine="200"/>
              <w:rPr>
                <w:rFonts w:eastAsia="Times New Roman" w:cs="Times New Roman"/>
                <w:b/>
                <w:color w:val="000000"/>
                <w:sz w:val="20"/>
                <w:szCs w:val="20"/>
              </w:rPr>
            </w:pPr>
            <w:r w:rsidRPr="0064685C">
              <w:rPr>
                <w:rFonts w:eastAsia="Times New Roman" w:cs="Times New Roman"/>
                <w:b/>
                <w:color w:val="000000"/>
                <w:sz w:val="20"/>
              </w:rPr>
              <w:t>Improvements 1980-1988</w:t>
            </w:r>
          </w:p>
        </w:tc>
        <w:tc>
          <w:tcPr>
            <w:tcW w:w="1760" w:type="dxa"/>
            <w:tcBorders>
              <w:top w:val="nil"/>
              <w:left w:val="nil"/>
              <w:bottom w:val="nil"/>
              <w:right w:val="nil"/>
            </w:tcBorders>
            <w:shd w:val="clear" w:color="auto" w:fill="auto"/>
            <w:vAlign w:val="center"/>
            <w:hideMark/>
          </w:tcPr>
          <w:p w14:paraId="38D7EA1D"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51.6</w:t>
            </w:r>
          </w:p>
        </w:tc>
        <w:tc>
          <w:tcPr>
            <w:tcW w:w="1964" w:type="dxa"/>
            <w:tcBorders>
              <w:top w:val="nil"/>
              <w:left w:val="nil"/>
              <w:bottom w:val="nil"/>
              <w:right w:val="nil"/>
            </w:tcBorders>
            <w:shd w:val="clear" w:color="auto" w:fill="auto"/>
            <w:vAlign w:val="center"/>
            <w:hideMark/>
          </w:tcPr>
          <w:p w14:paraId="4E3D3BF1"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48.4</w:t>
            </w:r>
          </w:p>
        </w:tc>
      </w:tr>
      <w:tr w:rsidR="0064685C" w:rsidRPr="0064685C" w14:paraId="4814576E" w14:textId="77777777" w:rsidTr="0064685C">
        <w:trPr>
          <w:trHeight w:val="288"/>
        </w:trPr>
        <w:tc>
          <w:tcPr>
            <w:tcW w:w="3080" w:type="dxa"/>
            <w:tcBorders>
              <w:top w:val="nil"/>
              <w:left w:val="nil"/>
              <w:bottom w:val="nil"/>
              <w:right w:val="nil"/>
            </w:tcBorders>
            <w:shd w:val="clear" w:color="auto" w:fill="auto"/>
            <w:vAlign w:val="center"/>
            <w:hideMark/>
          </w:tcPr>
          <w:p w14:paraId="68F55334" w14:textId="77777777" w:rsidR="0064685C" w:rsidRPr="0064685C" w:rsidRDefault="0064685C" w:rsidP="001C6BD4">
            <w:pPr>
              <w:ind w:firstLineChars="100" w:firstLine="200"/>
              <w:rPr>
                <w:rFonts w:eastAsia="Times New Roman" w:cs="Times New Roman"/>
                <w:b/>
                <w:color w:val="000000"/>
                <w:sz w:val="20"/>
                <w:szCs w:val="20"/>
              </w:rPr>
            </w:pPr>
            <w:r w:rsidRPr="0064685C">
              <w:rPr>
                <w:rFonts w:eastAsia="Times New Roman" w:cs="Times New Roman"/>
                <w:b/>
                <w:color w:val="000000"/>
                <w:sz w:val="20"/>
              </w:rPr>
              <w:t>Deterioration 1988-1994</w:t>
            </w:r>
          </w:p>
        </w:tc>
        <w:tc>
          <w:tcPr>
            <w:tcW w:w="1760" w:type="dxa"/>
            <w:tcBorders>
              <w:top w:val="nil"/>
              <w:left w:val="nil"/>
              <w:bottom w:val="nil"/>
              <w:right w:val="nil"/>
            </w:tcBorders>
            <w:shd w:val="clear" w:color="auto" w:fill="auto"/>
            <w:vAlign w:val="center"/>
            <w:hideMark/>
          </w:tcPr>
          <w:p w14:paraId="2685E5F5" w14:textId="7065B373"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65.3</w:t>
            </w:r>
          </w:p>
        </w:tc>
        <w:tc>
          <w:tcPr>
            <w:tcW w:w="1964" w:type="dxa"/>
            <w:tcBorders>
              <w:top w:val="nil"/>
              <w:left w:val="nil"/>
              <w:bottom w:val="nil"/>
              <w:right w:val="nil"/>
            </w:tcBorders>
            <w:shd w:val="clear" w:color="auto" w:fill="auto"/>
            <w:vAlign w:val="center"/>
            <w:hideMark/>
          </w:tcPr>
          <w:p w14:paraId="79D3A957" w14:textId="39C004E0"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34.7</w:t>
            </w:r>
          </w:p>
        </w:tc>
      </w:tr>
      <w:tr w:rsidR="0064685C" w:rsidRPr="0064685C" w14:paraId="4A3DE3C5" w14:textId="77777777" w:rsidTr="0064685C">
        <w:trPr>
          <w:trHeight w:val="288"/>
        </w:trPr>
        <w:tc>
          <w:tcPr>
            <w:tcW w:w="3080" w:type="dxa"/>
            <w:tcBorders>
              <w:top w:val="nil"/>
              <w:left w:val="nil"/>
              <w:bottom w:val="nil"/>
              <w:right w:val="nil"/>
            </w:tcBorders>
            <w:shd w:val="clear" w:color="auto" w:fill="auto"/>
            <w:vAlign w:val="center"/>
            <w:hideMark/>
          </w:tcPr>
          <w:p w14:paraId="4F6AF54C" w14:textId="77777777" w:rsidR="0064685C" w:rsidRPr="0064685C" w:rsidRDefault="0064685C" w:rsidP="001C6BD4">
            <w:pPr>
              <w:ind w:firstLineChars="100" w:firstLine="200"/>
              <w:rPr>
                <w:rFonts w:eastAsia="Times New Roman" w:cs="Times New Roman"/>
                <w:b/>
                <w:color w:val="000000"/>
                <w:sz w:val="20"/>
                <w:szCs w:val="20"/>
              </w:rPr>
            </w:pPr>
            <w:r w:rsidRPr="0064685C">
              <w:rPr>
                <w:rFonts w:eastAsia="Times New Roman" w:cs="Times New Roman"/>
                <w:b/>
                <w:color w:val="000000"/>
                <w:sz w:val="20"/>
              </w:rPr>
              <w:t>Divergence 1994-2000</w:t>
            </w:r>
          </w:p>
        </w:tc>
        <w:tc>
          <w:tcPr>
            <w:tcW w:w="1760" w:type="dxa"/>
            <w:tcBorders>
              <w:top w:val="nil"/>
              <w:left w:val="nil"/>
              <w:bottom w:val="nil"/>
              <w:right w:val="nil"/>
            </w:tcBorders>
            <w:shd w:val="clear" w:color="auto" w:fill="auto"/>
            <w:vAlign w:val="center"/>
            <w:hideMark/>
          </w:tcPr>
          <w:p w14:paraId="55513262" w14:textId="06276E39"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83.3</w:t>
            </w:r>
          </w:p>
        </w:tc>
        <w:tc>
          <w:tcPr>
            <w:tcW w:w="1964" w:type="dxa"/>
            <w:tcBorders>
              <w:top w:val="nil"/>
              <w:left w:val="nil"/>
              <w:bottom w:val="nil"/>
              <w:right w:val="nil"/>
            </w:tcBorders>
            <w:shd w:val="clear" w:color="auto" w:fill="auto"/>
            <w:vAlign w:val="center"/>
            <w:hideMark/>
          </w:tcPr>
          <w:p w14:paraId="2706C846" w14:textId="79A4B9A5"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16.7</w:t>
            </w:r>
          </w:p>
        </w:tc>
      </w:tr>
      <w:tr w:rsidR="0064685C" w:rsidRPr="0064685C" w14:paraId="3131B89C" w14:textId="77777777" w:rsidTr="0064685C">
        <w:trPr>
          <w:trHeight w:val="288"/>
        </w:trPr>
        <w:tc>
          <w:tcPr>
            <w:tcW w:w="3080" w:type="dxa"/>
            <w:tcBorders>
              <w:top w:val="nil"/>
              <w:left w:val="nil"/>
              <w:bottom w:val="nil"/>
              <w:right w:val="nil"/>
            </w:tcBorders>
            <w:shd w:val="clear" w:color="auto" w:fill="auto"/>
            <w:vAlign w:val="center"/>
            <w:hideMark/>
          </w:tcPr>
          <w:p w14:paraId="4357DB33" w14:textId="77777777" w:rsidR="0064685C" w:rsidRPr="0064685C" w:rsidRDefault="0064685C" w:rsidP="001C6BD4">
            <w:pPr>
              <w:ind w:firstLineChars="100" w:firstLine="200"/>
              <w:rPr>
                <w:rFonts w:eastAsia="Times New Roman" w:cs="Times New Roman"/>
                <w:b/>
                <w:color w:val="000000"/>
                <w:sz w:val="20"/>
                <w:szCs w:val="20"/>
              </w:rPr>
            </w:pPr>
            <w:r w:rsidRPr="0064685C">
              <w:rPr>
                <w:rFonts w:eastAsia="Times New Roman" w:cs="Times New Roman"/>
                <w:b/>
                <w:color w:val="000000"/>
                <w:sz w:val="20"/>
              </w:rPr>
              <w:t>Convergence 2000-present</w:t>
            </w:r>
          </w:p>
        </w:tc>
        <w:tc>
          <w:tcPr>
            <w:tcW w:w="1760" w:type="dxa"/>
            <w:tcBorders>
              <w:top w:val="nil"/>
              <w:left w:val="nil"/>
              <w:bottom w:val="nil"/>
              <w:right w:val="nil"/>
            </w:tcBorders>
            <w:shd w:val="clear" w:color="auto" w:fill="auto"/>
            <w:vAlign w:val="center"/>
            <w:hideMark/>
          </w:tcPr>
          <w:p w14:paraId="1C811D2E" w14:textId="3FD8D9C1"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63.4</w:t>
            </w:r>
          </w:p>
        </w:tc>
        <w:tc>
          <w:tcPr>
            <w:tcW w:w="1964" w:type="dxa"/>
            <w:tcBorders>
              <w:top w:val="nil"/>
              <w:left w:val="nil"/>
              <w:bottom w:val="nil"/>
              <w:right w:val="nil"/>
            </w:tcBorders>
            <w:shd w:val="clear" w:color="auto" w:fill="auto"/>
            <w:vAlign w:val="center"/>
            <w:hideMark/>
          </w:tcPr>
          <w:p w14:paraId="20492589" w14:textId="79C5FEC3"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3</w:t>
            </w:r>
            <w:r w:rsidR="008B73FF">
              <w:rPr>
                <w:rFonts w:eastAsia="Times New Roman" w:cs="Times New Roman"/>
                <w:color w:val="000000"/>
                <w:sz w:val="20"/>
              </w:rPr>
              <w:t>6.6</w:t>
            </w:r>
          </w:p>
        </w:tc>
      </w:tr>
      <w:tr w:rsidR="008B73FF" w:rsidRPr="0064685C" w14:paraId="782B63CD" w14:textId="77777777" w:rsidTr="0064685C">
        <w:trPr>
          <w:trHeight w:val="288"/>
        </w:trPr>
        <w:tc>
          <w:tcPr>
            <w:tcW w:w="3080" w:type="dxa"/>
            <w:tcBorders>
              <w:top w:val="nil"/>
              <w:left w:val="nil"/>
              <w:bottom w:val="nil"/>
              <w:right w:val="nil"/>
            </w:tcBorders>
            <w:shd w:val="clear" w:color="auto" w:fill="auto"/>
            <w:vAlign w:val="center"/>
          </w:tcPr>
          <w:p w14:paraId="4FD8076A" w14:textId="77777777" w:rsidR="008B73FF" w:rsidRPr="0064685C" w:rsidRDefault="008B73FF" w:rsidP="001C6BD4">
            <w:pPr>
              <w:ind w:firstLineChars="100" w:firstLine="200"/>
              <w:rPr>
                <w:rFonts w:eastAsia="Times New Roman" w:cs="Times New Roman"/>
                <w:b/>
                <w:color w:val="000000"/>
                <w:sz w:val="20"/>
              </w:rPr>
            </w:pPr>
          </w:p>
        </w:tc>
        <w:tc>
          <w:tcPr>
            <w:tcW w:w="1760" w:type="dxa"/>
            <w:tcBorders>
              <w:top w:val="nil"/>
              <w:left w:val="nil"/>
              <w:bottom w:val="nil"/>
              <w:right w:val="nil"/>
            </w:tcBorders>
            <w:shd w:val="clear" w:color="auto" w:fill="auto"/>
            <w:vAlign w:val="center"/>
          </w:tcPr>
          <w:p w14:paraId="2DA152F6" w14:textId="77777777" w:rsidR="008B73FF" w:rsidRPr="0064685C" w:rsidRDefault="008B73FF" w:rsidP="0064685C">
            <w:pPr>
              <w:ind w:firstLineChars="100" w:firstLine="200"/>
              <w:rPr>
                <w:rFonts w:eastAsia="Times New Roman" w:cs="Times New Roman"/>
                <w:color w:val="000000"/>
                <w:sz w:val="20"/>
              </w:rPr>
            </w:pPr>
          </w:p>
        </w:tc>
        <w:tc>
          <w:tcPr>
            <w:tcW w:w="1964" w:type="dxa"/>
            <w:tcBorders>
              <w:top w:val="nil"/>
              <w:left w:val="nil"/>
              <w:bottom w:val="nil"/>
              <w:right w:val="nil"/>
            </w:tcBorders>
            <w:shd w:val="clear" w:color="auto" w:fill="auto"/>
            <w:vAlign w:val="center"/>
          </w:tcPr>
          <w:p w14:paraId="20F87EF6" w14:textId="77777777" w:rsidR="008B73FF" w:rsidRPr="0064685C" w:rsidRDefault="008B73FF" w:rsidP="0064685C">
            <w:pPr>
              <w:ind w:firstLineChars="100" w:firstLine="200"/>
              <w:rPr>
                <w:rFonts w:eastAsia="Times New Roman" w:cs="Times New Roman"/>
                <w:color w:val="000000"/>
                <w:sz w:val="20"/>
              </w:rPr>
            </w:pPr>
          </w:p>
        </w:tc>
      </w:tr>
    </w:tbl>
    <w:p w14:paraId="2E290CF3" w14:textId="20214DEC" w:rsidR="00054DD6" w:rsidRDefault="00054DD6" w:rsidP="002B4381">
      <w:pPr>
        <w:jc w:val="both"/>
        <w:rPr>
          <w:b/>
        </w:rPr>
      </w:pPr>
    </w:p>
    <w:p w14:paraId="38B70AE3" w14:textId="77777777" w:rsidR="00054DD6" w:rsidRPr="003539EE" w:rsidRDefault="00054DD6" w:rsidP="002B4381">
      <w:pPr>
        <w:jc w:val="both"/>
        <w:rPr>
          <w:b/>
        </w:rPr>
      </w:pPr>
    </w:p>
    <w:p w14:paraId="64D271E1" w14:textId="77777777" w:rsidR="00CC6DDC" w:rsidRPr="003539EE" w:rsidRDefault="00CC6DDC" w:rsidP="00CC6DDC">
      <w:pPr>
        <w:jc w:val="both"/>
        <w:rPr>
          <w:b/>
        </w:rPr>
      </w:pPr>
      <w:r w:rsidRPr="003539EE">
        <w:rPr>
          <w:b/>
        </w:rPr>
        <w:t>References</w:t>
      </w:r>
    </w:p>
    <w:p w14:paraId="4B5B2319" w14:textId="77777777" w:rsidR="00CC6DDC" w:rsidRDefault="00CC6DDC" w:rsidP="00CC6DDC">
      <w:pPr>
        <w:jc w:val="both"/>
      </w:pPr>
    </w:p>
    <w:p w14:paraId="1B9FE358" w14:textId="77777777" w:rsidR="00CC6DDC" w:rsidRDefault="00CC6DDC" w:rsidP="00CC6DDC">
      <w:pPr>
        <w:jc w:val="both"/>
      </w:pPr>
    </w:p>
    <w:p w14:paraId="7867ABC3" w14:textId="77777777" w:rsidR="00CC6DDC" w:rsidRPr="00AD3456" w:rsidRDefault="00CC6DDC" w:rsidP="00CC6DDC">
      <w:pPr>
        <w:jc w:val="both"/>
      </w:pPr>
      <w:r w:rsidRPr="00AD3456">
        <w:t xml:space="preserve">Aleshina, N., &amp; Redmond, G. (2005). How high is infant mortality in Central and Eastern Europe and the Commonwealth of Independent States?. </w:t>
      </w:r>
      <w:r w:rsidRPr="00AD3456">
        <w:rPr>
          <w:i/>
          <w:iCs/>
        </w:rPr>
        <w:t>Population studies</w:t>
      </w:r>
      <w:r w:rsidRPr="00AD3456">
        <w:t xml:space="preserve">, </w:t>
      </w:r>
      <w:r w:rsidRPr="00AD3456">
        <w:rPr>
          <w:i/>
          <w:iCs/>
        </w:rPr>
        <w:t>59</w:t>
      </w:r>
      <w:r w:rsidRPr="00AD3456">
        <w:t>(1), 39-54.</w:t>
      </w:r>
    </w:p>
    <w:p w14:paraId="3C354EAD" w14:textId="77777777" w:rsidR="00CC6DDC" w:rsidRPr="00E713E6" w:rsidRDefault="00CC6DDC" w:rsidP="00CC6DDC">
      <w:pPr>
        <w:jc w:val="both"/>
      </w:pPr>
      <w:r w:rsidRPr="00AD3456" w:rsidDel="00AD3456">
        <w:t xml:space="preserve"> </w:t>
      </w:r>
    </w:p>
    <w:p w14:paraId="64181FFB" w14:textId="77777777" w:rsidR="00CC6DDC" w:rsidRPr="002A25CF" w:rsidRDefault="00CC6DDC" w:rsidP="00CC6DDC">
      <w:pPr>
        <w:jc w:val="both"/>
      </w:pPr>
      <w:r w:rsidRPr="002A25CF">
        <w:t xml:space="preserve">Anderson, B. A., &amp; Silver, B. D. (1986). Infant mortality in the Soviet Union: regional differences and measurement issues. </w:t>
      </w:r>
      <w:r w:rsidRPr="002A25CF">
        <w:rPr>
          <w:i/>
          <w:iCs/>
        </w:rPr>
        <w:t>Population and development review</w:t>
      </w:r>
      <w:r w:rsidRPr="002A25CF">
        <w:t>, 705-738.</w:t>
      </w:r>
    </w:p>
    <w:p w14:paraId="0C8FD7EC" w14:textId="77777777" w:rsidR="00CC6DDC" w:rsidRDefault="00CC6DDC" w:rsidP="00CC6DDC">
      <w:pPr>
        <w:jc w:val="both"/>
      </w:pPr>
    </w:p>
    <w:p w14:paraId="587DDC3A" w14:textId="77777777" w:rsidR="00CC6DDC" w:rsidRDefault="00CC6DDC" w:rsidP="00CC6DDC">
      <w:pPr>
        <w:jc w:val="both"/>
      </w:pPr>
      <w:r w:rsidRPr="008C6146">
        <w:t xml:space="preserve">Engelman, M., Canudas-Romo, V., &amp; Agree, E. M. (2010). </w:t>
      </w:r>
      <w:r w:rsidRPr="004E3D11">
        <w:t>The implications of increased survivorship for mortality variation in aging populations. Population and Development Review, 36(3), 511-539.</w:t>
      </w:r>
    </w:p>
    <w:p w14:paraId="6F769075" w14:textId="77777777" w:rsidR="00CC6DDC" w:rsidRDefault="00CC6DDC" w:rsidP="00CC6DDC">
      <w:pPr>
        <w:jc w:val="both"/>
      </w:pPr>
    </w:p>
    <w:p w14:paraId="3290CE38" w14:textId="77777777" w:rsidR="00CC6DDC" w:rsidRPr="00D934AB" w:rsidRDefault="00CC6DDC" w:rsidP="00CC6DDC">
      <w:pPr>
        <w:jc w:val="both"/>
      </w:pPr>
      <w:r w:rsidRPr="008E1A0B">
        <w:t>Kingkade, W. W., &amp; Sawyer, C. C. (2001). Infant mortality in Eastern Europe and the former Soviet Union before and after the breakup. US Bureau of the Census, Population Division, Washington, DC.</w:t>
      </w:r>
    </w:p>
    <w:p w14:paraId="7843FB9A" w14:textId="77777777" w:rsidR="00CC6DDC" w:rsidRPr="00D934AB" w:rsidRDefault="00CC6DDC" w:rsidP="00CC6DDC">
      <w:pPr>
        <w:jc w:val="both"/>
      </w:pPr>
    </w:p>
    <w:p w14:paraId="37295422" w14:textId="77777777" w:rsidR="00CC6DDC" w:rsidRPr="008C6146" w:rsidRDefault="00CC6DDC" w:rsidP="00CC6DDC">
      <w:pPr>
        <w:jc w:val="both"/>
        <w:rPr>
          <w:lang w:val="es-ES"/>
        </w:rPr>
      </w:pPr>
      <w:r w:rsidRPr="00DB239E">
        <w:lastRenderedPageBreak/>
        <w:t xml:space="preserve">Unicef. </w:t>
      </w:r>
      <w:r w:rsidRPr="008C6146">
        <w:rPr>
          <w:lang w:val="es-ES"/>
        </w:rPr>
        <w:t>(2003). Social monitor, 2003.</w:t>
      </w:r>
    </w:p>
    <w:p w14:paraId="478D5F7D" w14:textId="77777777" w:rsidR="00CC6DDC" w:rsidRPr="008C6146" w:rsidRDefault="00CC6DDC" w:rsidP="00CC6DDC">
      <w:pPr>
        <w:jc w:val="both"/>
        <w:rPr>
          <w:lang w:val="es-ES"/>
        </w:rPr>
      </w:pPr>
    </w:p>
    <w:p w14:paraId="15950EA9" w14:textId="122A3DE6" w:rsidR="00CC6DDC" w:rsidRDefault="00CC6DDC" w:rsidP="00CC6DDC">
      <w:pPr>
        <w:jc w:val="both"/>
      </w:pPr>
      <w:r w:rsidRPr="00D76CE6">
        <w:rPr>
          <w:lang w:val="es-ES"/>
        </w:rPr>
        <w:t xml:space="preserve">van Raalte, A. A., &amp; Caswell, H. (2013). </w:t>
      </w:r>
      <w:r w:rsidRPr="007E13B7">
        <w:t>Perturbation analysis of indices of lifespan variability. Demography, 50(5), 1615-1640.</w:t>
      </w:r>
    </w:p>
    <w:p w14:paraId="1260317B" w14:textId="77777777" w:rsidR="00CC6DDC" w:rsidRDefault="00CC6DDC" w:rsidP="00CC6DDC">
      <w:pPr>
        <w:jc w:val="both"/>
      </w:pPr>
    </w:p>
    <w:p w14:paraId="02BA998A" w14:textId="10D81650" w:rsidR="002B4381" w:rsidRDefault="002B4381" w:rsidP="002B4381">
      <w:pPr>
        <w:jc w:val="both"/>
        <w:rPr>
          <w:b/>
        </w:rPr>
      </w:pPr>
      <w:r w:rsidRPr="002010C1">
        <w:rPr>
          <w:b/>
        </w:rPr>
        <w:t xml:space="preserve">The cause-of-death analysis is too focused on the issue of alcohol. It is of no dispute that alcohol played important role in mortality fluctuations in the period and region of ex-USSR, but it has played much smaller role in central Europe (Poland, Slovakia, Czech Republic). Moreover, these countries have reduced their mortality dramatically after 1990 but the alcohol consumption levels remained the same or even increased, suggesting that alcohol had a very minor role in the recent changes (which were attributed uniquely to progress in cardio-therapy). </w:t>
      </w:r>
    </w:p>
    <w:p w14:paraId="17E63B2C" w14:textId="77777777" w:rsidR="00156786" w:rsidRDefault="00156786" w:rsidP="0053754D">
      <w:pPr>
        <w:jc w:val="both"/>
      </w:pPr>
    </w:p>
    <w:p w14:paraId="36CB6330" w14:textId="33A0D7C2" w:rsidR="00E363A2" w:rsidRDefault="00E363A2" w:rsidP="0053754D">
      <w:pPr>
        <w:jc w:val="both"/>
      </w:pPr>
      <w:r>
        <w:t xml:space="preserve">This is true and we made the following major changes to the manuscript. </w:t>
      </w:r>
    </w:p>
    <w:p w14:paraId="491605FD" w14:textId="77777777" w:rsidR="00E363A2" w:rsidRDefault="00E363A2" w:rsidP="0053754D">
      <w:pPr>
        <w:jc w:val="both"/>
      </w:pPr>
    </w:p>
    <w:p w14:paraId="2B9DCF1E" w14:textId="46ADF5F3" w:rsidR="00E363A2" w:rsidRPr="00D76CE6" w:rsidRDefault="00E363A2" w:rsidP="00D76CE6">
      <w:pPr>
        <w:pStyle w:val="ListParagraph"/>
        <w:numPr>
          <w:ilvl w:val="0"/>
          <w:numId w:val="5"/>
        </w:numPr>
        <w:jc w:val="both"/>
        <w:rPr>
          <w:rFonts w:ascii="Times New Roman" w:hAnsi="Times New Roman"/>
          <w:sz w:val="24"/>
          <w:lang w:val="en-US"/>
        </w:rPr>
      </w:pPr>
      <w:r w:rsidRPr="00D76CE6">
        <w:rPr>
          <w:rFonts w:ascii="Times New Roman" w:hAnsi="Times New Roman"/>
          <w:sz w:val="24"/>
          <w:lang w:val="en-US"/>
        </w:rPr>
        <w:t xml:space="preserve">We shifted the focus away from trying to partition mortality into alcohol and non-alcohol related mortality, since attributing the proportion of mortality from amenable causes is anyway problematic. Instead in our description of the COD results we paid more attention to co-movements of circulatory disease, traffic accidents and external mortality to </w:t>
      </w:r>
      <w:r w:rsidR="003F1760" w:rsidRPr="00D76CE6">
        <w:rPr>
          <w:rFonts w:ascii="Times New Roman" w:hAnsi="Times New Roman"/>
          <w:sz w:val="24"/>
          <w:lang w:val="en-US"/>
        </w:rPr>
        <w:t xml:space="preserve">mortality that is </w:t>
      </w:r>
      <w:r w:rsidRPr="00D76CE6">
        <w:rPr>
          <w:rFonts w:ascii="Times New Roman" w:hAnsi="Times New Roman"/>
          <w:sz w:val="24"/>
          <w:lang w:val="en-US"/>
        </w:rPr>
        <w:t xml:space="preserve">wholly attributable </w:t>
      </w:r>
      <w:r w:rsidR="003F1760" w:rsidRPr="00D76CE6">
        <w:rPr>
          <w:rFonts w:ascii="Times New Roman" w:hAnsi="Times New Roman"/>
          <w:sz w:val="24"/>
          <w:lang w:val="en-US"/>
        </w:rPr>
        <w:t>to alcohol</w:t>
      </w:r>
      <w:r w:rsidRPr="00D76CE6">
        <w:rPr>
          <w:rFonts w:ascii="Times New Roman" w:hAnsi="Times New Roman"/>
          <w:sz w:val="24"/>
          <w:lang w:val="en-US"/>
        </w:rPr>
        <w:t>. This way, we can infer over which ages/periods alcohol was likely to have played a larger role in changes to these larger COD groupings.</w:t>
      </w:r>
    </w:p>
    <w:p w14:paraId="3076CCDF" w14:textId="40ADAB01" w:rsidR="005943A1" w:rsidRPr="00D76CE6" w:rsidRDefault="00E363A2" w:rsidP="00D76CE6">
      <w:pPr>
        <w:pStyle w:val="ListParagraph"/>
        <w:numPr>
          <w:ilvl w:val="0"/>
          <w:numId w:val="5"/>
        </w:numPr>
        <w:jc w:val="both"/>
        <w:rPr>
          <w:rFonts w:ascii="Times New Roman" w:hAnsi="Times New Roman"/>
          <w:sz w:val="24"/>
          <w:lang w:val="en-US"/>
        </w:rPr>
      </w:pPr>
      <w:r w:rsidRPr="00D76CE6">
        <w:rPr>
          <w:rFonts w:ascii="Times New Roman" w:hAnsi="Times New Roman"/>
          <w:sz w:val="24"/>
          <w:lang w:val="en-US"/>
        </w:rPr>
        <w:t xml:space="preserve">Related to the first, we were careful to point out in the results and discussion that changing alcohol patterns were not consistent with the changing COD patterns observed in Central Europe, and included a number of references from studies which had looked at other determinants such as improving medical care and changing </w:t>
      </w:r>
      <w:r w:rsidR="00D76CE6" w:rsidRPr="00D76CE6">
        <w:rPr>
          <w:rFonts w:ascii="Times New Roman" w:hAnsi="Times New Roman"/>
          <w:sz w:val="24"/>
          <w:lang w:val="en-US"/>
        </w:rPr>
        <w:t>dietary</w:t>
      </w:r>
      <w:r w:rsidRPr="00D76CE6">
        <w:rPr>
          <w:rFonts w:ascii="Times New Roman" w:hAnsi="Times New Roman"/>
          <w:sz w:val="24"/>
          <w:lang w:val="en-US"/>
        </w:rPr>
        <w:t xml:space="preserve"> habits</w:t>
      </w:r>
      <w:r w:rsidR="00BD2346" w:rsidRPr="00D76CE6">
        <w:rPr>
          <w:rFonts w:ascii="Times New Roman" w:hAnsi="Times New Roman"/>
          <w:sz w:val="24"/>
          <w:lang w:val="en-US"/>
        </w:rPr>
        <w:t xml:space="preserve"> (</w:t>
      </w:r>
      <w:r w:rsidR="003F1760" w:rsidRPr="00D76CE6">
        <w:rPr>
          <w:rFonts w:ascii="Times New Roman" w:hAnsi="Times New Roman"/>
          <w:sz w:val="24"/>
          <w:lang w:val="en-US"/>
        </w:rPr>
        <w:t xml:space="preserve">Cífková 2010, Cooper 1984, </w:t>
      </w:r>
      <w:r w:rsidR="00530F2C" w:rsidRPr="003F3399">
        <w:rPr>
          <w:rFonts w:ascii="Times New Roman" w:hAnsi="Times New Roman"/>
          <w:sz w:val="24"/>
          <w:lang w:val="en-US"/>
        </w:rPr>
        <w:t>Fihel and Pechholdova 2017</w:t>
      </w:r>
      <w:r w:rsidR="00530F2C" w:rsidRPr="00530F2C">
        <w:rPr>
          <w:rFonts w:ascii="Times New Roman" w:hAnsi="Times New Roman"/>
          <w:i/>
          <w:sz w:val="24"/>
          <w:lang w:val="en-US"/>
        </w:rPr>
        <w:t>,</w:t>
      </w:r>
      <w:r w:rsidR="00530F2C">
        <w:rPr>
          <w:rFonts w:ascii="Times New Roman" w:hAnsi="Times New Roman"/>
          <w:i/>
          <w:sz w:val="24"/>
          <w:lang w:val="en-US"/>
        </w:rPr>
        <w:t xml:space="preserve"> </w:t>
      </w:r>
      <w:r w:rsidR="00BD2346" w:rsidRPr="00D76CE6">
        <w:rPr>
          <w:rFonts w:ascii="Times New Roman" w:hAnsi="Times New Roman"/>
          <w:sz w:val="24"/>
          <w:lang w:val="en-US"/>
        </w:rPr>
        <w:t>Zatonski 1998</w:t>
      </w:r>
      <w:r w:rsidR="00222245" w:rsidRPr="00D76CE6">
        <w:rPr>
          <w:rFonts w:ascii="Times New Roman" w:hAnsi="Times New Roman"/>
          <w:sz w:val="24"/>
          <w:lang w:val="en-US"/>
        </w:rPr>
        <w:t>, Pająk and Kozela 2011</w:t>
      </w:r>
      <w:r w:rsidR="003F1760" w:rsidRPr="00D76CE6">
        <w:rPr>
          <w:rFonts w:ascii="Times New Roman" w:hAnsi="Times New Roman"/>
          <w:sz w:val="24"/>
          <w:lang w:val="en-US"/>
        </w:rPr>
        <w:t>, Nolte 2000a, 2000b, Rychtarikova 2004)</w:t>
      </w:r>
    </w:p>
    <w:p w14:paraId="166CDCAE" w14:textId="119AC683" w:rsidR="008648C5" w:rsidRPr="003539EE" w:rsidRDefault="008648C5" w:rsidP="0053754D">
      <w:pPr>
        <w:jc w:val="both"/>
        <w:rPr>
          <w:b/>
        </w:rPr>
      </w:pPr>
    </w:p>
    <w:p w14:paraId="300D3A46" w14:textId="0A6D448E" w:rsidR="008648C5" w:rsidRPr="003539EE" w:rsidRDefault="008648C5" w:rsidP="0053754D">
      <w:pPr>
        <w:jc w:val="both"/>
        <w:rPr>
          <w:b/>
          <w:lang w:val="es-ES"/>
        </w:rPr>
      </w:pPr>
      <w:r w:rsidRPr="003539EE">
        <w:rPr>
          <w:b/>
          <w:lang w:val="es-ES"/>
        </w:rPr>
        <w:t>References</w:t>
      </w:r>
    </w:p>
    <w:p w14:paraId="59BAFCA4" w14:textId="77777777" w:rsidR="002A25CF" w:rsidRPr="008C6146" w:rsidRDefault="002A25CF" w:rsidP="0053754D">
      <w:pPr>
        <w:jc w:val="both"/>
        <w:rPr>
          <w:lang w:val="es-ES"/>
        </w:rPr>
      </w:pPr>
    </w:p>
    <w:p w14:paraId="5564BBA7" w14:textId="5E13975E" w:rsidR="00101B2C" w:rsidRPr="00D76CE6" w:rsidRDefault="00101B2C" w:rsidP="0053754D">
      <w:pPr>
        <w:jc w:val="both"/>
      </w:pPr>
      <w:r w:rsidRPr="008C6146">
        <w:rPr>
          <w:lang w:val="es-ES"/>
        </w:rPr>
        <w:t xml:space="preserve">Cífková, Renata, et al. </w:t>
      </w:r>
      <w:r w:rsidRPr="00D76CE6">
        <w:t>"Longitudinal trends in major cardiovascular risk factors in the Czech population between 1985 and 2007/8. Czech MONICA and Czech post-MONICA." Atherosclerosis 211.2 (2010): 676-681.</w:t>
      </w:r>
    </w:p>
    <w:p w14:paraId="212BDB5A" w14:textId="77777777" w:rsidR="00C2458F" w:rsidRPr="00D934AB" w:rsidRDefault="00C2458F" w:rsidP="0053754D">
      <w:pPr>
        <w:jc w:val="both"/>
      </w:pPr>
    </w:p>
    <w:p w14:paraId="232413A9" w14:textId="1F3C6E76" w:rsidR="002514AC" w:rsidRDefault="002514AC" w:rsidP="0053754D">
      <w:pPr>
        <w:jc w:val="both"/>
      </w:pPr>
      <w:r w:rsidRPr="00D934AB">
        <w:t>Cooper, R., Schatzkin, A., &amp; Sempos, C. (1984). Rising death rates among Polish men. International Journal of Health Services, 14(2), 289-302.</w:t>
      </w:r>
    </w:p>
    <w:p w14:paraId="6C66612F" w14:textId="5A914FE9" w:rsidR="004E3D11" w:rsidRDefault="004E3D11" w:rsidP="0053754D">
      <w:pPr>
        <w:jc w:val="both"/>
      </w:pPr>
    </w:p>
    <w:p w14:paraId="72043248" w14:textId="77777777" w:rsidR="00530F2C" w:rsidRPr="00530F2C" w:rsidRDefault="00530F2C" w:rsidP="00530F2C">
      <w:pPr>
        <w:jc w:val="both"/>
      </w:pPr>
      <w:r w:rsidRPr="00530F2C">
        <w:t xml:space="preserve">Fihel, A., &amp; Pechholdová, M. (2017). Between ‘Pioneers’ of the Cardiovascular Revolution and Its ‘Late Followers’: Mortality Changes in the Czech Republic and Poland Since 1968. </w:t>
      </w:r>
      <w:r w:rsidRPr="00530F2C">
        <w:rPr>
          <w:i/>
          <w:iCs/>
        </w:rPr>
        <w:t>European Journal of Population</w:t>
      </w:r>
      <w:r w:rsidRPr="00530F2C">
        <w:t xml:space="preserve">, </w:t>
      </w:r>
      <w:r w:rsidRPr="00530F2C">
        <w:rPr>
          <w:i/>
          <w:iCs/>
        </w:rPr>
        <w:t>33</w:t>
      </w:r>
      <w:r w:rsidRPr="00530F2C">
        <w:t>(5), 651-678.</w:t>
      </w:r>
    </w:p>
    <w:p w14:paraId="2CF1396A" w14:textId="6A57B5B6" w:rsidR="006D2F44" w:rsidRPr="00D934AB" w:rsidRDefault="006D2F44" w:rsidP="0053754D">
      <w:pPr>
        <w:jc w:val="both"/>
      </w:pPr>
      <w:r w:rsidRPr="00D934AB">
        <w:t>Nolte, Ellen, Vladimir Shkolnikov, and Martin McKee. "Changing mortality patterns in East and West Germany and Poland. I: Long term trends (1960–1997)." Journal of Epidemiology &amp; Community Health 54.12 (2000a): 890-898.</w:t>
      </w:r>
    </w:p>
    <w:p w14:paraId="52B8429E" w14:textId="77777777" w:rsidR="006D2F44" w:rsidRPr="00D934AB" w:rsidRDefault="006D2F44" w:rsidP="0053754D">
      <w:pPr>
        <w:jc w:val="both"/>
      </w:pPr>
    </w:p>
    <w:p w14:paraId="4D2295C5" w14:textId="6726E811" w:rsidR="006D2F44" w:rsidRDefault="006D2F44" w:rsidP="0053754D">
      <w:pPr>
        <w:jc w:val="both"/>
      </w:pPr>
      <w:r w:rsidRPr="00D934AB">
        <w:t>Nolte, Ellen, Vladimir Shkolnikov, and Martin McKee. "Changing mortality patterns in East and West Germany and Poland. II: Short-term trends during transition and in the 1990s." Journal of Epidemiology &amp; Community Health 54.12 (2000b): 899-906.</w:t>
      </w:r>
    </w:p>
    <w:p w14:paraId="5AA1CEAF" w14:textId="674CD770" w:rsidR="002A6470" w:rsidRDefault="002A6470" w:rsidP="0053754D">
      <w:pPr>
        <w:jc w:val="both"/>
      </w:pPr>
    </w:p>
    <w:p w14:paraId="09F1D9DA" w14:textId="4BB529C2" w:rsidR="002A6470" w:rsidRDefault="002A6470" w:rsidP="0053754D">
      <w:pPr>
        <w:jc w:val="both"/>
      </w:pPr>
      <w:r w:rsidRPr="006C3BE9">
        <w:t>Pająk, A., &amp; Kozela, M. (2011). Cardiovascular disease in Central and East Europe. Public Health Reviews, 33(2), 416.</w:t>
      </w:r>
    </w:p>
    <w:p w14:paraId="000FDD02" w14:textId="77777777" w:rsidR="00101B2C" w:rsidRPr="00D934AB" w:rsidRDefault="00101B2C" w:rsidP="0053754D">
      <w:pPr>
        <w:jc w:val="both"/>
      </w:pPr>
    </w:p>
    <w:p w14:paraId="3867C439" w14:textId="3165F517" w:rsidR="008648C5" w:rsidRPr="00101B2C" w:rsidRDefault="00101B2C" w:rsidP="0053754D">
      <w:pPr>
        <w:jc w:val="both"/>
      </w:pPr>
      <w:r w:rsidRPr="00101B2C">
        <w:t>Rychtarikova, J. (2004). The case of the Czech Republic: Determinants of the recent favourable turnover in mortality. Demographic Research, 2, 105-138.</w:t>
      </w:r>
    </w:p>
    <w:p w14:paraId="2F78342B" w14:textId="77777777" w:rsidR="00101B2C" w:rsidRDefault="00101B2C" w:rsidP="0053754D">
      <w:pPr>
        <w:jc w:val="both"/>
      </w:pPr>
    </w:p>
    <w:p w14:paraId="1B03066F" w14:textId="0A67521F" w:rsidR="00DB239E" w:rsidRDefault="00DB239E" w:rsidP="0053754D">
      <w:pPr>
        <w:jc w:val="both"/>
      </w:pPr>
      <w:r w:rsidRPr="00DB239E">
        <w:t>Unicef. (2003). Social monitor, 2003.</w:t>
      </w:r>
    </w:p>
    <w:p w14:paraId="38C63745" w14:textId="77777777" w:rsidR="00DB239E" w:rsidRPr="00D934AB" w:rsidRDefault="00DB239E" w:rsidP="0053754D">
      <w:pPr>
        <w:jc w:val="both"/>
      </w:pPr>
    </w:p>
    <w:p w14:paraId="17796BC2" w14:textId="44C324EC" w:rsidR="008648C5" w:rsidRDefault="008648C5" w:rsidP="008648C5">
      <w:pPr>
        <w:jc w:val="both"/>
      </w:pPr>
      <w:r w:rsidRPr="00D934AB">
        <w:t xml:space="preserve">Van Raalte, A. A., &amp; Caswell, H. (2013). </w:t>
      </w:r>
      <w:r w:rsidRPr="007E13B7">
        <w:t>Perturbation analysis of indices of lifespan variability. Demography, 50(5), 1615-1640.</w:t>
      </w:r>
    </w:p>
    <w:p w14:paraId="0D6C57B7" w14:textId="174D62EC" w:rsidR="005943A1" w:rsidRDefault="005943A1" w:rsidP="008648C5">
      <w:pPr>
        <w:jc w:val="both"/>
      </w:pPr>
    </w:p>
    <w:p w14:paraId="0ED8BB53" w14:textId="4C35864E" w:rsidR="005943A1" w:rsidRPr="007E13B7" w:rsidRDefault="005943A1" w:rsidP="008648C5">
      <w:pPr>
        <w:jc w:val="both"/>
      </w:pPr>
      <w:r w:rsidRPr="005943A1">
        <w:t>Zatonski, W. A., McMichael, A. J., &amp; Powles, J. W. (1998). Ecological study of reasons for sharp decline in mortality from ischaemic heart disease in Poland since 1991. Bmj, 316(7137), 1047.</w:t>
      </w:r>
    </w:p>
    <w:p w14:paraId="360D0F5D" w14:textId="77777777" w:rsidR="008648C5" w:rsidRPr="00CA23F5" w:rsidRDefault="008648C5" w:rsidP="0053754D">
      <w:pPr>
        <w:jc w:val="both"/>
      </w:pPr>
    </w:p>
    <w:p w14:paraId="49AD7A00" w14:textId="0F54C82C" w:rsidR="002010C1" w:rsidRDefault="002010C1" w:rsidP="0053754D">
      <w:pPr>
        <w:jc w:val="both"/>
        <w:rPr>
          <w:b/>
        </w:rPr>
      </w:pPr>
      <w:r w:rsidRPr="005943A1">
        <w:cr/>
      </w:r>
      <w:r w:rsidR="00981CA2" w:rsidRPr="00981CA2">
        <w:rPr>
          <w:b/>
        </w:rPr>
        <w:t xml:space="preserve"> </w:t>
      </w:r>
      <w:r w:rsidR="00981CA2" w:rsidRPr="002010C1">
        <w:rPr>
          <w:b/>
        </w:rPr>
        <w:t xml:space="preserve">It is also quite problematic to separate the rest of circulatory diseases from IHD and stroke, as it is known, that many Eastern countries code a </w:t>
      </w:r>
      <w:r w:rsidR="003F3399">
        <w:rPr>
          <w:b/>
        </w:rPr>
        <w:t>large part of IHD or stroke as “atherosclerosis”</w:t>
      </w:r>
      <w:r w:rsidR="00981CA2" w:rsidRPr="002010C1">
        <w:rPr>
          <w:b/>
        </w:rPr>
        <w:t>.</w:t>
      </w:r>
    </w:p>
    <w:p w14:paraId="03E6B006" w14:textId="4D9C2C67" w:rsidR="00981CA2" w:rsidRDefault="00981CA2" w:rsidP="0053754D">
      <w:pPr>
        <w:jc w:val="both"/>
        <w:rPr>
          <w:b/>
        </w:rPr>
      </w:pPr>
    </w:p>
    <w:p w14:paraId="4703954F" w14:textId="07E5ACE6" w:rsidR="00E363A2" w:rsidRDefault="00E363A2" w:rsidP="0053754D">
      <w:pPr>
        <w:jc w:val="both"/>
      </w:pPr>
      <w:r>
        <w:t>After carefully reviewing the previous version</w:t>
      </w:r>
      <w:r w:rsidR="006B10D2">
        <w:t>, we decided that the added value of keeping IHD separate from other circulatory diseases was low for the purposes of this study, and changing coding practices were visible for some countries in trends between these causes. Thus i</w:t>
      </w:r>
      <w:r>
        <w:t>n the new version of the manuscript we opted to combine all circulatory disease mortality together for th</w:t>
      </w:r>
      <w:r w:rsidR="006B10D2">
        <w:t>e reasons you describe above. We added the following to the limitations section:</w:t>
      </w:r>
    </w:p>
    <w:p w14:paraId="21442FE2" w14:textId="77777777" w:rsidR="00E363A2" w:rsidRDefault="00E363A2" w:rsidP="0053754D">
      <w:pPr>
        <w:jc w:val="both"/>
      </w:pPr>
    </w:p>
    <w:p w14:paraId="030AE4E7" w14:textId="51C49850" w:rsidR="00E363A2" w:rsidRPr="00F230AC" w:rsidRDefault="006B10D2" w:rsidP="0053754D">
      <w:pPr>
        <w:jc w:val="both"/>
        <w:rPr>
          <w:i/>
        </w:rPr>
      </w:pPr>
      <w:r w:rsidRPr="00F230AC">
        <w:rPr>
          <w:i/>
        </w:rPr>
        <w:t xml:space="preserve">“…in the Soviet era ill-defined cardiovascular diseases were often classified as 'atherosclerotic cardiosclerosis', which is a subset of ischemic heart diseases (Jasilionis et al. 2011, Shkolnikov 2012). Different countries abandoned this practice at different rates, which had the effect of misclassifying deaths between the IHD, stroke and other circulatory disease categories. While some degree of misclassification within circulatory disease is corrected for by the HCD team (Pechholdova </w:t>
      </w:r>
      <w:r w:rsidR="001C6BD4">
        <w:rPr>
          <w:i/>
        </w:rPr>
        <w:t xml:space="preserve">et al. </w:t>
      </w:r>
      <w:r w:rsidRPr="00F230AC">
        <w:rPr>
          <w:i/>
        </w:rPr>
        <w:t>2017), for comparative purposes we felt it safer to combine all circulatory disease categories.”</w:t>
      </w:r>
    </w:p>
    <w:p w14:paraId="6E941E79" w14:textId="77777777" w:rsidR="006B10D2" w:rsidRDefault="006B10D2" w:rsidP="0053754D">
      <w:pPr>
        <w:jc w:val="both"/>
      </w:pPr>
    </w:p>
    <w:p w14:paraId="2511B650" w14:textId="2CA9586B" w:rsidR="00981CA2" w:rsidRPr="008C6146" w:rsidRDefault="00981CA2" w:rsidP="0053754D">
      <w:pPr>
        <w:jc w:val="both"/>
      </w:pPr>
    </w:p>
    <w:p w14:paraId="28E69E1A" w14:textId="6D4BF9BA" w:rsidR="00367546" w:rsidRPr="003539EE" w:rsidRDefault="00256790" w:rsidP="0053754D">
      <w:pPr>
        <w:jc w:val="both"/>
        <w:rPr>
          <w:b/>
        </w:rPr>
      </w:pPr>
      <w:r w:rsidRPr="003539EE">
        <w:rPr>
          <w:b/>
        </w:rPr>
        <w:t>References:</w:t>
      </w:r>
    </w:p>
    <w:p w14:paraId="74145E7D" w14:textId="77777777" w:rsidR="00256790" w:rsidRPr="008C6146" w:rsidRDefault="00256790" w:rsidP="0053754D">
      <w:pPr>
        <w:jc w:val="both"/>
        <w:rPr>
          <w:rFonts w:ascii="Arial" w:hAnsi="Arial" w:cs="Arial"/>
          <w:color w:val="222222"/>
          <w:sz w:val="20"/>
          <w:szCs w:val="20"/>
          <w:shd w:val="clear" w:color="auto" w:fill="FFFFFF"/>
        </w:rPr>
      </w:pPr>
    </w:p>
    <w:p w14:paraId="385C2E02" w14:textId="4021E2D9" w:rsidR="006B10D2" w:rsidRPr="00D76CE6" w:rsidRDefault="006B10D2" w:rsidP="00D76CE6">
      <w:pPr>
        <w:rPr>
          <w:lang w:val="fr-FR"/>
        </w:rPr>
      </w:pPr>
      <w:r w:rsidRPr="008C6146">
        <w:t xml:space="preserve">Jasilionis, D.; Meslé, F.; Shkolnikov, V. M. &amp; Vallin, J. (2011). </w:t>
      </w:r>
      <w:r w:rsidRPr="00D76CE6">
        <w:rPr>
          <w:lang w:val="fr-FR"/>
        </w:rPr>
        <w:t>Recent Life Expectancy Divergence in Baltic Countries</w:t>
      </w:r>
      <w:r>
        <w:rPr>
          <w:lang w:val="fr-FR"/>
        </w:rPr>
        <w:t xml:space="preserve">. </w:t>
      </w:r>
      <w:r w:rsidRPr="00D76CE6">
        <w:rPr>
          <w:i/>
          <w:iCs/>
          <w:lang w:val="fr-FR"/>
        </w:rPr>
        <w:t>European Journal of Population / Revue européenne de Démographie, 27</w:t>
      </w:r>
      <w:r w:rsidRPr="00D76CE6">
        <w:rPr>
          <w:lang w:val="fr-FR"/>
        </w:rPr>
        <w:t>, 403</w:t>
      </w:r>
    </w:p>
    <w:p w14:paraId="1EFB91D3" w14:textId="77777777" w:rsidR="006B10D2" w:rsidRDefault="006B10D2" w:rsidP="006B10D2">
      <w:pPr>
        <w:jc w:val="both"/>
        <w:rPr>
          <w:lang w:val="fr-FR"/>
        </w:rPr>
      </w:pPr>
      <w:r w:rsidRPr="00D76CE6">
        <w:rPr>
          <w:lang w:val="fr-FR"/>
        </w:rPr>
        <w:t xml:space="preserve"> </w:t>
      </w:r>
    </w:p>
    <w:p w14:paraId="4CAE0978" w14:textId="77777777" w:rsidR="006B10D2" w:rsidRDefault="00256790" w:rsidP="006B10D2">
      <w:pPr>
        <w:jc w:val="both"/>
        <w:rPr>
          <w:rFonts w:eastAsia="Times New Roman" w:cs="Times New Roman"/>
          <w:color w:val="222222"/>
          <w:szCs w:val="24"/>
        </w:rPr>
      </w:pPr>
      <w:r w:rsidRPr="008C6146">
        <w:lastRenderedPageBreak/>
        <w:t xml:space="preserve">Pechholdová, M., Camarda, C. G., Meslé, F., &amp; Vallin, J. (2017). </w:t>
      </w:r>
      <w:r w:rsidRPr="00256790">
        <w:t>Reconstructing Long-Term Coherent Cause-of-Death Series, a Necessary Step for Analyzing Trends. European Journal of Population, 1-22.</w:t>
      </w:r>
      <w:r w:rsidR="006B10D2" w:rsidRPr="006B10D2">
        <w:rPr>
          <w:rFonts w:eastAsia="Times New Roman" w:cs="Times New Roman"/>
          <w:color w:val="222222"/>
          <w:szCs w:val="24"/>
        </w:rPr>
        <w:t xml:space="preserve"> </w:t>
      </w:r>
    </w:p>
    <w:p w14:paraId="2FB4C540" w14:textId="77777777" w:rsidR="006B10D2" w:rsidRDefault="006B10D2" w:rsidP="006B10D2">
      <w:pPr>
        <w:jc w:val="both"/>
        <w:rPr>
          <w:rFonts w:eastAsia="Times New Roman" w:cs="Times New Roman"/>
          <w:color w:val="222222"/>
          <w:szCs w:val="24"/>
        </w:rPr>
      </w:pPr>
    </w:p>
    <w:p w14:paraId="717EA1F7" w14:textId="4BAE3016" w:rsidR="006B10D2" w:rsidRPr="006B10D2" w:rsidRDefault="006B10D2" w:rsidP="006B10D2">
      <w:pPr>
        <w:jc w:val="both"/>
      </w:pPr>
      <w:r w:rsidRPr="008C6146">
        <w:t xml:space="preserve">Shkolnikov, V., Meslé, F., &amp; Vallin, J. (2012). </w:t>
      </w:r>
      <w:r w:rsidRPr="006B10D2">
        <w:t xml:space="preserve">Data Collection, Data Quality and the History of Cause-of-Death Classification. In </w:t>
      </w:r>
      <w:r w:rsidRPr="006B10D2">
        <w:rPr>
          <w:i/>
          <w:iCs/>
        </w:rPr>
        <w:t>Mortality and Causes of Death in 20th-Century Ukraine</w:t>
      </w:r>
      <w:r w:rsidRPr="006B10D2">
        <w:t xml:space="preserve"> (pp. 121-130). Springer, Dordrecht.</w:t>
      </w:r>
    </w:p>
    <w:p w14:paraId="1F2E331C" w14:textId="4FF120B3" w:rsidR="002010C1" w:rsidRDefault="002010C1" w:rsidP="0053754D">
      <w:pPr>
        <w:jc w:val="both"/>
        <w:rPr>
          <w:b/>
        </w:rPr>
      </w:pPr>
      <w:r w:rsidRPr="002010C1">
        <w:rPr>
          <w:b/>
        </w:rPr>
        <w:cr/>
        <w:t>In the decomposition analyses (by age), it is likely that positive contributions of the elderly to the mortality compression can be linked to poor data quality in the ex-USSR and Bulgaria in the 1960s (underestimation of old-age mortality leading to artificial worsening afterwards). This should be mentioned in the discussion/limitations.</w:t>
      </w:r>
    </w:p>
    <w:p w14:paraId="3D5E8273" w14:textId="03ADB4F7" w:rsidR="006557A5" w:rsidRDefault="006557A5" w:rsidP="0053754D">
      <w:pPr>
        <w:jc w:val="both"/>
        <w:rPr>
          <w:b/>
        </w:rPr>
      </w:pPr>
    </w:p>
    <w:p w14:paraId="4B062D3F" w14:textId="601E741D" w:rsidR="00D55B0E" w:rsidRDefault="00AC6114" w:rsidP="0053754D">
      <w:pPr>
        <w:jc w:val="both"/>
      </w:pPr>
      <w:r>
        <w:t xml:space="preserve">Thank you for the suggestion. </w:t>
      </w:r>
      <w:r w:rsidR="001B349A">
        <w:t xml:space="preserve">While this might explain some of the between-country differences in levels of mortality increase, the overall trends of mortality increase was also a feature in central European countries, thought to have better quality old age data during the 1960s. To our knowledge a comprehensive assessment of the magnitude of bias this might have caused throughout the region has not been undertaken. For this reason we did not do any robustness checks on old age data, but instead </w:t>
      </w:r>
      <w:r w:rsidR="00D55B0E">
        <w:t>added the following paragraph to the limitations:</w:t>
      </w:r>
    </w:p>
    <w:p w14:paraId="0C76373F" w14:textId="77777777" w:rsidR="00AC6114" w:rsidRDefault="00AC6114" w:rsidP="0053754D">
      <w:pPr>
        <w:jc w:val="both"/>
      </w:pPr>
    </w:p>
    <w:p w14:paraId="01765540" w14:textId="6065F21C" w:rsidR="00D55B0E" w:rsidRPr="00D76CE6" w:rsidRDefault="009A55F0" w:rsidP="0053754D">
      <w:pPr>
        <w:jc w:val="both"/>
        <w:rPr>
          <w:i/>
        </w:rPr>
      </w:pPr>
      <w:r>
        <w:rPr>
          <w:i/>
        </w:rPr>
        <w:t>Second, t</w:t>
      </w:r>
      <w:r w:rsidR="00D55B0E" w:rsidRPr="00D76CE6">
        <w:rPr>
          <w:i/>
        </w:rPr>
        <w:t xml:space="preserve">he HMD data used in this project is the highest quality and most comparable data available for the region. However, the data quality differs between countries, age groups and periods, and is well documented in the database. The main data quality concerns which have been flagged in the region include: age heaping and likely age exaggeration in many FSU countries and Bulgaria in the 1960s (Grigoriev 2017, Jasilionis 2017a, Jdanov &amp; Shkolnikov 2017, Pyrozhkov et al. 2017, Philipov and Jasilionis 2017); lower quality data above age 80 in Belarus in the 1970s (Grigoriev 2017) and Russia after the mid-1990s (Jdanov &amp; Shkolnikov 2017); and consistency problems in population estimates in Lithuania for the 1960s and 1970s (Jasilionis &amp; Stankukiene), in Estonia during the 1990s (Jasilionis 2017b) and in Slovenia (Jasilionis 2017c). Age heaping is less of a problem for life table </w:t>
      </w:r>
      <w:r w:rsidR="00AC6114" w:rsidRPr="00D76CE6">
        <w:rPr>
          <w:i/>
        </w:rPr>
        <w:t>summary measures</w:t>
      </w:r>
      <w:r w:rsidR="00D55B0E" w:rsidRPr="00D76CE6">
        <w:rPr>
          <w:i/>
        </w:rPr>
        <w:t xml:space="preserve">, but age exaggeration is difficult to correct for and could have led to artificially worsening mortality at older ages as data quality improved. While a degree of caution should be applied in interpreting mortality differences and trends for these periods, age groups and countries, even if we were to exclude all instances of these flagged problems, the broader patterns of mortality development that we document here still hold.   </w:t>
      </w:r>
    </w:p>
    <w:p w14:paraId="7E8A9F5B" w14:textId="77777777" w:rsidR="00D55B0E" w:rsidRPr="00D76CE6" w:rsidRDefault="00D55B0E" w:rsidP="0053754D">
      <w:pPr>
        <w:jc w:val="both"/>
        <w:rPr>
          <w:b/>
          <w:i/>
        </w:rPr>
      </w:pPr>
    </w:p>
    <w:p w14:paraId="5F6F8FCA" w14:textId="70EB52CE" w:rsidR="001B349A" w:rsidRDefault="001B349A" w:rsidP="00D76CE6">
      <w:pPr>
        <w:ind w:left="720" w:hanging="720"/>
        <w:jc w:val="both"/>
        <w:rPr>
          <w:b/>
        </w:rPr>
      </w:pPr>
      <w:r w:rsidRPr="003539EE">
        <w:rPr>
          <w:b/>
        </w:rPr>
        <w:t>References:</w:t>
      </w:r>
    </w:p>
    <w:p w14:paraId="0ED49FAD" w14:textId="77777777" w:rsidR="003539EE" w:rsidRPr="003539EE" w:rsidRDefault="003539EE" w:rsidP="00D76CE6">
      <w:pPr>
        <w:ind w:left="720" w:hanging="720"/>
        <w:jc w:val="both"/>
        <w:rPr>
          <w:b/>
        </w:rPr>
      </w:pPr>
    </w:p>
    <w:p w14:paraId="55EC12D2" w14:textId="77777777" w:rsidR="001B349A" w:rsidRPr="001B349A" w:rsidRDefault="001B349A" w:rsidP="00D76CE6">
      <w:pPr>
        <w:ind w:left="720" w:hanging="720"/>
        <w:jc w:val="both"/>
        <w:rPr>
          <w:i/>
          <w:iCs/>
        </w:rPr>
      </w:pPr>
      <w:r w:rsidRPr="001B349A">
        <w:t xml:space="preserve">Grigoriev, P. (2017). About mortality data for Belarus. Human Mortality Database: Background and Documentation. </w:t>
      </w:r>
      <w:r w:rsidRPr="001B349A">
        <w:rPr>
          <w:i/>
          <w:iCs/>
        </w:rPr>
        <w:t xml:space="preserve">University of California, Berkeley and Max Planck Institute for Demographic Research, available at: </w:t>
      </w:r>
      <w:hyperlink r:id="rId17" w:history="1">
        <w:r w:rsidRPr="001B349A">
          <w:rPr>
            <w:rStyle w:val="Hyperlink"/>
            <w:i/>
            <w:iCs/>
          </w:rPr>
          <w:t>http://www.mortality.org/</w:t>
        </w:r>
      </w:hyperlink>
    </w:p>
    <w:p w14:paraId="5C9AE558" w14:textId="77777777" w:rsidR="001B349A" w:rsidRPr="001B349A" w:rsidRDefault="001B349A" w:rsidP="00D76CE6">
      <w:pPr>
        <w:ind w:left="720" w:hanging="720"/>
        <w:jc w:val="both"/>
      </w:pPr>
      <w:r w:rsidRPr="001B349A">
        <w:t xml:space="preserve">Jasilionis, D. (2017a). About mortality data for Latvia. Human Mortality Database: Background and Documentation. </w:t>
      </w:r>
      <w:r w:rsidRPr="001B349A">
        <w:rPr>
          <w:i/>
          <w:iCs/>
        </w:rPr>
        <w:t xml:space="preserve">University of California, Berkeley and Max Planck Institute for Demographic Research, available at: </w:t>
      </w:r>
      <w:hyperlink r:id="rId18" w:history="1">
        <w:r w:rsidRPr="001B349A">
          <w:rPr>
            <w:rStyle w:val="Hyperlink"/>
            <w:i/>
            <w:iCs/>
          </w:rPr>
          <w:t>http://www.mortality.org/</w:t>
        </w:r>
      </w:hyperlink>
    </w:p>
    <w:p w14:paraId="3D5D3FC1" w14:textId="77777777" w:rsidR="001B349A" w:rsidRPr="001B349A" w:rsidRDefault="001B349A" w:rsidP="00D76CE6">
      <w:pPr>
        <w:ind w:left="720" w:hanging="720"/>
        <w:jc w:val="both"/>
        <w:rPr>
          <w:i/>
          <w:iCs/>
        </w:rPr>
      </w:pPr>
      <w:r w:rsidRPr="001B349A">
        <w:lastRenderedPageBreak/>
        <w:t xml:space="preserve">Jasilionis, D. (2017b). About mortality data for Estonia. Human Mortality Database: Background and Documentation. </w:t>
      </w:r>
      <w:r w:rsidRPr="001B349A">
        <w:rPr>
          <w:i/>
          <w:iCs/>
        </w:rPr>
        <w:t xml:space="preserve">University of California, Berkeley and Max Planck Institute for Demographic Research, available at: </w:t>
      </w:r>
      <w:hyperlink r:id="rId19" w:history="1">
        <w:r w:rsidRPr="001B349A">
          <w:rPr>
            <w:rStyle w:val="Hyperlink"/>
            <w:i/>
            <w:iCs/>
          </w:rPr>
          <w:t>http://www.mortality.org/</w:t>
        </w:r>
      </w:hyperlink>
    </w:p>
    <w:p w14:paraId="3D63A056" w14:textId="77777777" w:rsidR="001B349A" w:rsidRPr="001B349A" w:rsidRDefault="001B349A" w:rsidP="00D76CE6">
      <w:pPr>
        <w:ind w:left="720" w:hanging="720"/>
        <w:jc w:val="both"/>
        <w:rPr>
          <w:i/>
          <w:iCs/>
        </w:rPr>
      </w:pPr>
      <w:r w:rsidRPr="001B349A">
        <w:t xml:space="preserve">Jasilionis, D. (2017c). About mortality data for Slovenia. Human Mortality Database: Background and Documentation. </w:t>
      </w:r>
      <w:r w:rsidRPr="001B349A">
        <w:rPr>
          <w:i/>
          <w:iCs/>
        </w:rPr>
        <w:t xml:space="preserve">University of California, Berkeley and Max Planck Institute for Demographic Research, available at: </w:t>
      </w:r>
      <w:hyperlink r:id="rId20" w:history="1">
        <w:r w:rsidRPr="001B349A">
          <w:rPr>
            <w:rStyle w:val="Hyperlink"/>
            <w:i/>
            <w:iCs/>
          </w:rPr>
          <w:t>http://www.mortality.org/</w:t>
        </w:r>
      </w:hyperlink>
    </w:p>
    <w:p w14:paraId="320AD930" w14:textId="77777777" w:rsidR="001B349A" w:rsidRPr="001B349A" w:rsidRDefault="001B349A" w:rsidP="00D76CE6">
      <w:pPr>
        <w:ind w:left="720" w:hanging="720"/>
        <w:jc w:val="both"/>
        <w:rPr>
          <w:i/>
          <w:iCs/>
        </w:rPr>
      </w:pPr>
      <w:r w:rsidRPr="001B349A">
        <w:t xml:space="preserve">Jasilionis, D. , &amp; Stankuniene, V. (2017). About mortality data for Lithuania. Human Mortality Database: Background and Documentation. </w:t>
      </w:r>
      <w:r w:rsidRPr="001B349A">
        <w:rPr>
          <w:i/>
          <w:iCs/>
        </w:rPr>
        <w:t xml:space="preserve">University of California, Berkeley and Max Planck Institute for Demographic Research, available at: </w:t>
      </w:r>
      <w:hyperlink r:id="rId21" w:history="1">
        <w:r w:rsidRPr="001B349A">
          <w:rPr>
            <w:rStyle w:val="Hyperlink"/>
            <w:i/>
            <w:iCs/>
          </w:rPr>
          <w:t>http://www.mortality.org/</w:t>
        </w:r>
      </w:hyperlink>
    </w:p>
    <w:p w14:paraId="653AC706" w14:textId="77777777" w:rsidR="001B349A" w:rsidRPr="001B349A" w:rsidRDefault="001B349A" w:rsidP="00D76CE6">
      <w:pPr>
        <w:ind w:left="720" w:hanging="720"/>
        <w:jc w:val="both"/>
        <w:rPr>
          <w:i/>
          <w:iCs/>
        </w:rPr>
      </w:pPr>
      <w:r w:rsidRPr="001B349A">
        <w:t xml:space="preserve">Jdanov, D.A. and Shkolnikov, V.M. (2017) About mortality data for Russia. Human Mortality Database: Background and Documentation. </w:t>
      </w:r>
      <w:r w:rsidRPr="001B349A">
        <w:rPr>
          <w:i/>
          <w:iCs/>
        </w:rPr>
        <w:t xml:space="preserve">University of California, Berkeley and Max Planck Institute for Demographic Research, available at: </w:t>
      </w:r>
      <w:hyperlink r:id="rId22" w:history="1">
        <w:r w:rsidRPr="001B349A">
          <w:rPr>
            <w:rStyle w:val="Hyperlink"/>
            <w:i/>
            <w:iCs/>
          </w:rPr>
          <w:t>http://www.mortality.org/</w:t>
        </w:r>
      </w:hyperlink>
    </w:p>
    <w:p w14:paraId="2C9D5E68" w14:textId="2B0337FD" w:rsidR="0092417F" w:rsidRPr="0092417F" w:rsidRDefault="0092417F" w:rsidP="0092417F">
      <w:pPr>
        <w:ind w:left="720" w:hanging="720"/>
        <w:jc w:val="both"/>
        <w:rPr>
          <w:i/>
          <w:iCs/>
        </w:rPr>
      </w:pPr>
      <w:r>
        <w:t>Philipov</w:t>
      </w:r>
      <w:r w:rsidRPr="0092417F">
        <w:t xml:space="preserve">, D and Jasilionis, D (2017) About mortality data for </w:t>
      </w:r>
      <w:r>
        <w:t>Bulgaria</w:t>
      </w:r>
      <w:r w:rsidRPr="0092417F">
        <w:t xml:space="preserve">. Human Mortality Database: Background and Documentation. </w:t>
      </w:r>
      <w:r w:rsidRPr="0092417F">
        <w:rPr>
          <w:i/>
          <w:iCs/>
        </w:rPr>
        <w:t xml:space="preserve">University of California, Berkeley and Max Planck Institute for Demographic Research, available at: </w:t>
      </w:r>
      <w:hyperlink r:id="rId23" w:history="1">
        <w:r w:rsidRPr="0092417F">
          <w:rPr>
            <w:rStyle w:val="Hyperlink"/>
            <w:i/>
            <w:iCs/>
          </w:rPr>
          <w:t>http://www.mortality.org/</w:t>
        </w:r>
      </w:hyperlink>
    </w:p>
    <w:p w14:paraId="1AF2210D" w14:textId="61018CDF" w:rsidR="001B349A" w:rsidRPr="001B349A" w:rsidRDefault="001B349A" w:rsidP="00D76CE6">
      <w:pPr>
        <w:ind w:left="720" w:hanging="720"/>
        <w:jc w:val="both"/>
      </w:pPr>
      <w:r w:rsidRPr="001B349A">
        <w:t>Pyrozhkov, S., Foygt, N., &amp; Jdanov, D. (2017). About mortality data for Ukraine. The Human Mortality Database: Background and documentation.</w:t>
      </w:r>
      <w:r w:rsidRPr="001B349A">
        <w:rPr>
          <w:i/>
          <w:iCs/>
        </w:rPr>
        <w:t xml:space="preserve"> University of California, Berkeley and Max Planck Institute for Demographic Research, available at: </w:t>
      </w:r>
      <w:hyperlink r:id="rId24" w:history="1">
        <w:r w:rsidRPr="001B349A">
          <w:rPr>
            <w:rStyle w:val="Hyperlink"/>
            <w:i/>
            <w:iCs/>
          </w:rPr>
          <w:t>http://www.mortality.org/</w:t>
        </w:r>
      </w:hyperlink>
      <w:r w:rsidRPr="001B349A">
        <w:t>.</w:t>
      </w:r>
    </w:p>
    <w:p w14:paraId="601219A7" w14:textId="13AB5B68" w:rsidR="001B349A" w:rsidRDefault="001B349A" w:rsidP="0053754D">
      <w:pPr>
        <w:jc w:val="both"/>
        <w:rPr>
          <w:b/>
        </w:rPr>
      </w:pPr>
    </w:p>
    <w:p w14:paraId="0533B07E" w14:textId="77777777" w:rsidR="001B349A" w:rsidRDefault="001B349A" w:rsidP="0053754D">
      <w:pPr>
        <w:jc w:val="both"/>
        <w:rPr>
          <w:b/>
        </w:rPr>
      </w:pPr>
    </w:p>
    <w:p w14:paraId="4A6B7C3B" w14:textId="4470008F" w:rsidR="002010C1" w:rsidRDefault="002010C1" w:rsidP="0053754D">
      <w:pPr>
        <w:jc w:val="both"/>
        <w:rPr>
          <w:b/>
        </w:rPr>
      </w:pPr>
      <w:r w:rsidRPr="002010C1">
        <w:rPr>
          <w:b/>
        </w:rPr>
        <w:t>In the Limitations section, the author discusses several approaches to the measurement of alcohol mortality effects. This limitation could be avoided if authors gave less importance to the alcohol as the main (and only) factor for past and recent mortality changes in Central and Eastern Europe.</w:t>
      </w:r>
    </w:p>
    <w:p w14:paraId="0ACF9A05" w14:textId="60C7648E" w:rsidR="00931BDE" w:rsidRDefault="00931BDE" w:rsidP="0053754D">
      <w:pPr>
        <w:jc w:val="both"/>
        <w:rPr>
          <w:b/>
        </w:rPr>
      </w:pPr>
    </w:p>
    <w:p w14:paraId="78960CF3" w14:textId="70BAFEA5" w:rsidR="00681D8C" w:rsidRDefault="00931BDE" w:rsidP="0053754D">
      <w:pPr>
        <w:jc w:val="both"/>
      </w:pPr>
      <w:r w:rsidRPr="00931BDE">
        <w:t>We thank the reviewer for her/his suggestion</w:t>
      </w:r>
      <w:r>
        <w:t xml:space="preserve">. </w:t>
      </w:r>
      <w:r w:rsidR="00F74AC4">
        <w:t xml:space="preserve">Given the perceived importance of changing hazardous alcohol consumption patterns in many countries of the region, we still felt that it was necessary to discuss the difficulties in attributing mortality to alcohol in the limitations section However, </w:t>
      </w:r>
      <w:r w:rsidR="00F74AC4" w:rsidRPr="009A55F0">
        <w:t xml:space="preserve">we also broadened </w:t>
      </w:r>
      <w:r w:rsidR="00AB53BD" w:rsidRPr="009A55F0">
        <w:t>t</w:t>
      </w:r>
      <w:r w:rsidRPr="009A55F0">
        <w:t>he manuscript to explicitly add other explanations to past and recent mortality changes in Central and Eastern Europe</w:t>
      </w:r>
      <w:r w:rsidR="00F74AC4" w:rsidRPr="009A55F0">
        <w:t>.</w:t>
      </w:r>
      <w:r w:rsidRPr="009A55F0">
        <w:t xml:space="preserve"> The</w:t>
      </w:r>
      <w:r>
        <w:t xml:space="preserve"> changes were as follows:</w:t>
      </w:r>
    </w:p>
    <w:p w14:paraId="2DF32B46" w14:textId="3857013E" w:rsidR="00931BDE" w:rsidRDefault="00931BDE" w:rsidP="0053754D">
      <w:pPr>
        <w:jc w:val="both"/>
        <w:rPr>
          <w:i/>
          <w:color w:val="000000"/>
        </w:rPr>
      </w:pPr>
    </w:p>
    <w:p w14:paraId="556D3127" w14:textId="6CBEEC42" w:rsidR="007936C9" w:rsidRDefault="00931BDE" w:rsidP="00C86997">
      <w:pPr>
        <w:jc w:val="both"/>
        <w:rPr>
          <w:color w:val="000000"/>
        </w:rPr>
      </w:pPr>
      <w:r w:rsidRPr="00931BDE">
        <w:rPr>
          <w:color w:val="000000"/>
        </w:rPr>
        <w:t>Cause-of-death subsection in discussion:</w:t>
      </w:r>
      <w:r>
        <w:rPr>
          <w:i/>
          <w:color w:val="000000"/>
        </w:rPr>
        <w:t xml:space="preserve"> </w:t>
      </w:r>
    </w:p>
    <w:p w14:paraId="1B30F0DA" w14:textId="68A6AA48" w:rsidR="00C86997" w:rsidRDefault="00C86997" w:rsidP="00C86997">
      <w:pPr>
        <w:jc w:val="both"/>
        <w:rPr>
          <w:i/>
        </w:rPr>
      </w:pPr>
      <w:r>
        <w:rPr>
          <w:i/>
        </w:rPr>
        <w:t>“</w:t>
      </w:r>
      <w:r w:rsidRPr="00C86997">
        <w:rPr>
          <w:i/>
        </w:rPr>
        <w:t>Fluctuating alcohol-related mortality was an important component of the moving life disparity trends in</w:t>
      </w:r>
      <w:r>
        <w:rPr>
          <w:i/>
        </w:rPr>
        <w:t xml:space="preserve"> </w:t>
      </w:r>
      <w:r w:rsidRPr="00C86997">
        <w:rPr>
          <w:i/>
        </w:rPr>
        <w:t>the countries of the former Soviet Un</w:t>
      </w:r>
      <w:r>
        <w:rPr>
          <w:i/>
        </w:rPr>
        <w:t>ion, although it occurred to diff</w:t>
      </w:r>
      <w:r w:rsidRPr="00C86997">
        <w:rPr>
          <w:i/>
        </w:rPr>
        <w:t>erent degrees</w:t>
      </w:r>
      <w:r>
        <w:rPr>
          <w:i/>
        </w:rPr>
        <w:t xml:space="preserve"> in each region, and manifested itself in diff</w:t>
      </w:r>
      <w:r w:rsidRPr="00C86997">
        <w:rPr>
          <w:i/>
        </w:rPr>
        <w:t xml:space="preserve">erent causes. Over young ages, a large role was found for </w:t>
      </w:r>
      <w:r>
        <w:rPr>
          <w:i/>
        </w:rPr>
        <w:t xml:space="preserve">the reduction of external cause </w:t>
      </w:r>
      <w:r w:rsidRPr="00C86997">
        <w:rPr>
          <w:i/>
        </w:rPr>
        <w:t>mortalit</w:t>
      </w:r>
      <w:r>
        <w:rPr>
          <w:i/>
        </w:rPr>
        <w:t>y including traffi</w:t>
      </w:r>
      <w:r w:rsidRPr="00C86997">
        <w:rPr>
          <w:i/>
        </w:rPr>
        <w:t>c accidents in the Baltic countries throughout the</w:t>
      </w:r>
      <w:r>
        <w:rPr>
          <w:i/>
        </w:rPr>
        <w:t xml:space="preserve"> period, and in Russia, Belarus </w:t>
      </w:r>
      <w:r w:rsidRPr="00C86997">
        <w:rPr>
          <w:i/>
        </w:rPr>
        <w:t>and Ukraine from 2000 onwards. Since these causes often co-moved with mor</w:t>
      </w:r>
      <w:r>
        <w:rPr>
          <w:i/>
        </w:rPr>
        <w:t xml:space="preserve">tality directly attributable to </w:t>
      </w:r>
      <w:r w:rsidRPr="00C86997">
        <w:rPr>
          <w:i/>
        </w:rPr>
        <w:t>alcohol over these ages it is suggestive that healthier patterns of alcohol c</w:t>
      </w:r>
      <w:r>
        <w:rPr>
          <w:i/>
        </w:rPr>
        <w:t xml:space="preserve">onsumption were contributing to </w:t>
      </w:r>
      <w:r w:rsidRPr="00C86997">
        <w:rPr>
          <w:i/>
        </w:rPr>
        <w:t>these reductions in life disparity. At</w:t>
      </w:r>
      <w:r>
        <w:rPr>
          <w:i/>
        </w:rPr>
        <w:t xml:space="preserve"> older ages, between-country diff</w:t>
      </w:r>
      <w:r w:rsidRPr="00C86997">
        <w:rPr>
          <w:i/>
        </w:rPr>
        <w:t>erence</w:t>
      </w:r>
      <w:r>
        <w:rPr>
          <w:i/>
        </w:rPr>
        <w:t xml:space="preserve">s in mortality reduction seemed </w:t>
      </w:r>
      <w:r w:rsidRPr="00C86997">
        <w:rPr>
          <w:i/>
        </w:rPr>
        <w:t>to be driven by the extent of mortality reduction from circulatory diseases. In addition, al</w:t>
      </w:r>
      <w:r>
        <w:rPr>
          <w:i/>
        </w:rPr>
        <w:t xml:space="preserve">cohol </w:t>
      </w:r>
      <w:r w:rsidRPr="00C86997">
        <w:rPr>
          <w:i/>
        </w:rPr>
        <w:t>consumption</w:t>
      </w:r>
      <w:r>
        <w:rPr>
          <w:i/>
        </w:rPr>
        <w:t xml:space="preserve"> </w:t>
      </w:r>
      <w:r w:rsidRPr="00C86997">
        <w:rPr>
          <w:i/>
        </w:rPr>
        <w:t xml:space="preserve">is not the only factor that explains mortality trajectories in the region, or </w:t>
      </w:r>
      <w:r>
        <w:rPr>
          <w:i/>
        </w:rPr>
        <w:t xml:space="preserve">the sole </w:t>
      </w:r>
      <w:r w:rsidRPr="00C86997">
        <w:rPr>
          <w:i/>
        </w:rPr>
        <w:t xml:space="preserve">explanation for </w:t>
      </w:r>
      <w:r>
        <w:rPr>
          <w:i/>
        </w:rPr>
        <w:t xml:space="preserve">difference </w:t>
      </w:r>
      <w:r w:rsidRPr="00C86997">
        <w:rPr>
          <w:i/>
        </w:rPr>
        <w:t>between life expectancy and lifespa</w:t>
      </w:r>
      <w:r>
        <w:rPr>
          <w:i/>
        </w:rPr>
        <w:t xml:space="preserve">n variation levels with western </w:t>
      </w:r>
      <w:r w:rsidRPr="00C86997">
        <w:rPr>
          <w:i/>
        </w:rPr>
        <w:t>European</w:t>
      </w:r>
      <w:r>
        <w:rPr>
          <w:i/>
        </w:rPr>
        <w:t xml:space="preserve"> countries. Other factors, such </w:t>
      </w:r>
      <w:r w:rsidRPr="00C86997">
        <w:rPr>
          <w:i/>
        </w:rPr>
        <w:t>as environmental p</w:t>
      </w:r>
      <w:r>
        <w:rPr>
          <w:i/>
        </w:rPr>
        <w:t xml:space="preserve">ollution, medical care, smoking </w:t>
      </w:r>
      <w:r w:rsidRPr="00C86997">
        <w:rPr>
          <w:i/>
        </w:rPr>
        <w:t xml:space="preserve">behaviors and diet have been </w:t>
      </w:r>
      <w:r>
        <w:rPr>
          <w:i/>
        </w:rPr>
        <w:t xml:space="preserve">important determinants of </w:t>
      </w:r>
      <w:r w:rsidRPr="00C86997">
        <w:rPr>
          <w:i/>
        </w:rPr>
        <w:t xml:space="preserve">health outcomes in this region since at </w:t>
      </w:r>
      <w:r w:rsidRPr="00C86997">
        <w:rPr>
          <w:i/>
        </w:rPr>
        <w:lastRenderedPageBreak/>
        <w:t xml:space="preserve">least 1970 (Bobak and Marmot 1996). </w:t>
      </w:r>
      <w:r>
        <w:rPr>
          <w:i/>
        </w:rPr>
        <w:t xml:space="preserve">Indeed, the strong declines in circulatory disease </w:t>
      </w:r>
      <w:r w:rsidRPr="00C86997">
        <w:rPr>
          <w:i/>
        </w:rPr>
        <w:t>mortality in the Baltic countries (Jasilionis et al. 2011</w:t>
      </w:r>
      <w:r>
        <w:rPr>
          <w:i/>
        </w:rPr>
        <w:t xml:space="preserve">), and more recently Russia </w:t>
      </w:r>
      <w:r w:rsidRPr="00C86997">
        <w:rPr>
          <w:i/>
        </w:rPr>
        <w:t xml:space="preserve">(Grigoriev et al. 2014) have been seen as hopeful signs that these countries </w:t>
      </w:r>
      <w:r>
        <w:rPr>
          <w:i/>
        </w:rPr>
        <w:t xml:space="preserve">are finally on a path toward the </w:t>
      </w:r>
      <w:r w:rsidRPr="00C86997">
        <w:rPr>
          <w:i/>
        </w:rPr>
        <w:t xml:space="preserve">lower levels of cardiovascular mortality that </w:t>
      </w:r>
      <w:r>
        <w:rPr>
          <w:i/>
        </w:rPr>
        <w:t xml:space="preserve">have been achieved in the west. </w:t>
      </w:r>
    </w:p>
    <w:p w14:paraId="4A33A9A6" w14:textId="77777777" w:rsidR="00C86997" w:rsidRDefault="00C86997" w:rsidP="00C86997">
      <w:pPr>
        <w:jc w:val="both"/>
        <w:rPr>
          <w:i/>
        </w:rPr>
      </w:pPr>
    </w:p>
    <w:p w14:paraId="737A843A" w14:textId="14EB6C72" w:rsidR="00C86997" w:rsidRPr="00C86997" w:rsidRDefault="00C86997" w:rsidP="00C86997">
      <w:pPr>
        <w:jc w:val="both"/>
        <w:rPr>
          <w:i/>
        </w:rPr>
      </w:pPr>
      <w:r w:rsidRPr="00C86997">
        <w:rPr>
          <w:i/>
        </w:rPr>
        <w:t xml:space="preserve">In contrast to the Baltic and other FSU countries, the smoother trends in </w:t>
      </w:r>
      <w:r>
        <w:rPr>
          <w:i/>
        </w:rPr>
        <w:t xml:space="preserve">life disparity found in Central </w:t>
      </w:r>
      <w:r w:rsidRPr="00C86997">
        <w:rPr>
          <w:i/>
        </w:rPr>
        <w:t>Europe were driven by sustained declines in circulatory disease an</w:t>
      </w:r>
      <w:r>
        <w:rPr>
          <w:i/>
        </w:rPr>
        <w:t xml:space="preserve">d cancers, with external causes playing a </w:t>
      </w:r>
      <w:r w:rsidRPr="00C86997">
        <w:rPr>
          <w:i/>
        </w:rPr>
        <w:t>much smaller role, and no change in mortality directly attributable to alcohol</w:t>
      </w:r>
      <w:r>
        <w:rPr>
          <w:i/>
        </w:rPr>
        <w:t xml:space="preserve">. This is consistent with others </w:t>
      </w:r>
      <w:r w:rsidRPr="00C86997">
        <w:rPr>
          <w:i/>
        </w:rPr>
        <w:t>who have argued that the steady post-19</w:t>
      </w:r>
      <w:r>
        <w:rPr>
          <w:i/>
        </w:rPr>
        <w:t xml:space="preserve">90 improvements in mortality in </w:t>
      </w:r>
      <w:r w:rsidRPr="00C86997">
        <w:rPr>
          <w:i/>
        </w:rPr>
        <w:t>th</w:t>
      </w:r>
      <w:r>
        <w:rPr>
          <w:i/>
        </w:rPr>
        <w:t xml:space="preserve">e region were attributable to a </w:t>
      </w:r>
      <w:r w:rsidRPr="00C86997">
        <w:rPr>
          <w:i/>
        </w:rPr>
        <w:t>combination of improvements in medicine, a reorg</w:t>
      </w:r>
      <w:r>
        <w:rPr>
          <w:i/>
        </w:rPr>
        <w:t xml:space="preserve">anization of </w:t>
      </w:r>
      <w:r w:rsidRPr="00C86997">
        <w:rPr>
          <w:i/>
        </w:rPr>
        <w:t>the health care system, and general shifts</w:t>
      </w:r>
      <w:r>
        <w:rPr>
          <w:i/>
        </w:rPr>
        <w:t xml:space="preserve"> toward </w:t>
      </w:r>
      <w:r w:rsidRPr="00C86997">
        <w:rPr>
          <w:i/>
        </w:rPr>
        <w:t>healthier beh</w:t>
      </w:r>
      <w:r>
        <w:rPr>
          <w:i/>
        </w:rPr>
        <w:t xml:space="preserve">avior including improving diets </w:t>
      </w:r>
      <w:r w:rsidRPr="00C86997">
        <w:rPr>
          <w:i/>
        </w:rPr>
        <w:t xml:space="preserve">and reductions in smoking (Pajak and Kozela 2011, </w:t>
      </w:r>
      <w:r>
        <w:rPr>
          <w:i/>
        </w:rPr>
        <w:t xml:space="preserve">Zatonski </w:t>
      </w:r>
      <w:r w:rsidRPr="00C86997">
        <w:rPr>
          <w:i/>
        </w:rPr>
        <w:t xml:space="preserve">et al. 1998, </w:t>
      </w:r>
      <w:r>
        <w:rPr>
          <w:i/>
        </w:rPr>
        <w:t xml:space="preserve">Fihel and </w:t>
      </w:r>
      <w:r w:rsidRPr="00C86997">
        <w:rPr>
          <w:i/>
        </w:rPr>
        <w:t xml:space="preserve">Pechholdov_a 2017, </w:t>
      </w:r>
      <w:r w:rsidR="00C9481C">
        <w:rPr>
          <w:i/>
        </w:rPr>
        <w:t>Cifkov</w:t>
      </w:r>
      <w:r w:rsidRPr="00C86997">
        <w:rPr>
          <w:i/>
        </w:rPr>
        <w:t xml:space="preserve">a et al. 2010, Cooper et al. 1984, Rychtarikova 2004, </w:t>
      </w:r>
      <w:r>
        <w:rPr>
          <w:i/>
        </w:rPr>
        <w:t xml:space="preserve">Nolte </w:t>
      </w:r>
      <w:r w:rsidRPr="00C86997">
        <w:rPr>
          <w:i/>
        </w:rPr>
        <w:t>et al. 2000a;b).</w:t>
      </w:r>
      <w:r>
        <w:rPr>
          <w:i/>
        </w:rPr>
        <w:t>”</w:t>
      </w:r>
    </w:p>
    <w:p w14:paraId="3B837473" w14:textId="2D5DE23D" w:rsidR="00494FFF" w:rsidRDefault="00494FFF" w:rsidP="00C86997">
      <w:pPr>
        <w:jc w:val="both"/>
        <w:rPr>
          <w:i/>
          <w:color w:val="000000"/>
        </w:rPr>
      </w:pPr>
    </w:p>
    <w:p w14:paraId="05BCFDA1" w14:textId="325F8E49" w:rsidR="00494FFF" w:rsidRDefault="00494FFF" w:rsidP="0053754D">
      <w:pPr>
        <w:jc w:val="both"/>
        <w:rPr>
          <w:color w:val="000000"/>
        </w:rPr>
      </w:pPr>
      <w:r w:rsidRPr="00262D78">
        <w:rPr>
          <w:color w:val="000000"/>
        </w:rPr>
        <w:t>Discussion.</w:t>
      </w:r>
      <w:r>
        <w:rPr>
          <w:color w:val="000000"/>
        </w:rPr>
        <w:t xml:space="preserve"> In order to downplay the examination exclusively of alcohol-attributable mortality, we replaced the sentences: “</w:t>
      </w:r>
      <w:r w:rsidRPr="009A55F0">
        <w:rPr>
          <w:i/>
          <w:color w:val="000000"/>
        </w:rPr>
        <w:t>we used high quality comparably reconstructed cause of death data to analyze the role of alcohol-related mortality on changing lifespan variation based on a reflective classification</w:t>
      </w:r>
      <w:r>
        <w:rPr>
          <w:color w:val="000000"/>
        </w:rPr>
        <w:t>” with:</w:t>
      </w:r>
    </w:p>
    <w:p w14:paraId="16E244CA" w14:textId="49DFE859" w:rsidR="00494FFF" w:rsidRPr="00262D78" w:rsidRDefault="00494FFF" w:rsidP="0053754D">
      <w:pPr>
        <w:jc w:val="both"/>
        <w:rPr>
          <w:color w:val="000000"/>
        </w:rPr>
      </w:pPr>
      <w:r>
        <w:rPr>
          <w:color w:val="000000"/>
        </w:rPr>
        <w:t>“</w:t>
      </w:r>
      <w:r w:rsidRPr="009A55F0">
        <w:rPr>
          <w:i/>
        </w:rPr>
        <w:t>we looked into the causes of death that were responsible for the major changes in lifespan variation in the region</w:t>
      </w:r>
      <w:r>
        <w:t>.”</w:t>
      </w:r>
    </w:p>
    <w:p w14:paraId="37DD71AF" w14:textId="517A5108" w:rsidR="00931BDE" w:rsidRPr="00931BDE" w:rsidRDefault="00931BDE" w:rsidP="0053754D">
      <w:pPr>
        <w:jc w:val="both"/>
      </w:pPr>
    </w:p>
    <w:p w14:paraId="40CBE530" w14:textId="266E0067" w:rsidR="008C1A6D" w:rsidRPr="00933E94" w:rsidRDefault="002010C1" w:rsidP="0053754D">
      <w:pPr>
        <w:jc w:val="both"/>
        <w:rPr>
          <w:color w:val="000000"/>
        </w:rPr>
      </w:pPr>
      <w:r w:rsidRPr="002010C1">
        <w:rPr>
          <w:b/>
        </w:rPr>
        <w:cr/>
      </w:r>
      <w:r w:rsidR="008C1A6D" w:rsidRPr="00933E94">
        <w:rPr>
          <w:color w:val="000000"/>
        </w:rPr>
        <w:t>References added</w:t>
      </w:r>
    </w:p>
    <w:p w14:paraId="37B9B287" w14:textId="77777777" w:rsidR="00FE3BE5" w:rsidRPr="00933E94" w:rsidRDefault="00FE3BE5" w:rsidP="00FE3BE5">
      <w:pPr>
        <w:jc w:val="both"/>
        <w:rPr>
          <w:color w:val="000000"/>
        </w:rPr>
      </w:pPr>
    </w:p>
    <w:p w14:paraId="6A02B2D1" w14:textId="77777777" w:rsidR="00FE3BE5" w:rsidRPr="00933E94" w:rsidRDefault="00FE3BE5" w:rsidP="00FE3BE5">
      <w:pPr>
        <w:jc w:val="both"/>
        <w:rPr>
          <w:color w:val="000000"/>
        </w:rPr>
      </w:pPr>
      <w:r w:rsidRPr="00933E94">
        <w:rPr>
          <w:color w:val="000000"/>
        </w:rPr>
        <w:t>Bobak, M., &amp; Marmot, M. (1996). East-West mortality divide and its potential explanations: proposed research agenda. BMJ: British Medical Journal, 312(7028), 421.</w:t>
      </w:r>
    </w:p>
    <w:p w14:paraId="65123A1F" w14:textId="016B6566" w:rsidR="006254AA" w:rsidRDefault="006254AA" w:rsidP="0053754D">
      <w:pPr>
        <w:jc w:val="both"/>
        <w:rPr>
          <w:color w:val="000000"/>
        </w:rPr>
      </w:pPr>
    </w:p>
    <w:p w14:paraId="2997416A" w14:textId="77777777" w:rsidR="00FE3BE5" w:rsidRPr="00D76CE6" w:rsidRDefault="00FE3BE5" w:rsidP="00FE3BE5">
      <w:pPr>
        <w:jc w:val="both"/>
      </w:pPr>
      <w:r w:rsidRPr="00D76CE6">
        <w:t>Cífková, Renata, et al. "Longitudinal trends in major cardiovascular risk factors in the Czech population between 1985 and 2007/8. Czech MONICA and Czech post-MONICA." Atherosclerosis 211.2 (2010): 676-681.</w:t>
      </w:r>
    </w:p>
    <w:p w14:paraId="2AB542CC" w14:textId="77777777" w:rsidR="00FE3BE5" w:rsidRPr="00D934AB" w:rsidRDefault="00FE3BE5" w:rsidP="00FE3BE5">
      <w:pPr>
        <w:jc w:val="both"/>
      </w:pPr>
    </w:p>
    <w:p w14:paraId="06D043EF" w14:textId="77777777" w:rsidR="00FE3BE5" w:rsidRDefault="00FE3BE5" w:rsidP="00FE3BE5">
      <w:pPr>
        <w:jc w:val="both"/>
      </w:pPr>
      <w:r w:rsidRPr="00D934AB">
        <w:t>Cooper, R., Schatzkin, A., &amp; Sempos, C. (1984). Rising death rates among Polish men. International Journal of Health Services, 14(2), 289-302.</w:t>
      </w:r>
    </w:p>
    <w:p w14:paraId="7ECAE7A9" w14:textId="77777777" w:rsidR="00FE3BE5" w:rsidRDefault="00FE3BE5" w:rsidP="00FE3BE5">
      <w:pPr>
        <w:jc w:val="both"/>
      </w:pPr>
    </w:p>
    <w:p w14:paraId="645D7518" w14:textId="77777777" w:rsidR="00530F2C" w:rsidRPr="00530F2C" w:rsidRDefault="00530F2C" w:rsidP="00530F2C">
      <w:pPr>
        <w:jc w:val="both"/>
      </w:pPr>
      <w:r w:rsidRPr="00530F2C">
        <w:t xml:space="preserve">Fihel, A., &amp; Pechholdová, M. (2017). Between ‘Pioneers’ of the Cardiovascular Revolution and Its ‘Late Followers’: Mortality Changes in the Czech Republic and Poland Since 1968. </w:t>
      </w:r>
      <w:r w:rsidRPr="00530F2C">
        <w:rPr>
          <w:i/>
          <w:iCs/>
        </w:rPr>
        <w:t>European Journal of Population</w:t>
      </w:r>
      <w:r w:rsidRPr="00530F2C">
        <w:t xml:space="preserve">, </w:t>
      </w:r>
      <w:r w:rsidRPr="00530F2C">
        <w:rPr>
          <w:i/>
          <w:iCs/>
        </w:rPr>
        <w:t>33</w:t>
      </w:r>
      <w:r w:rsidRPr="00530F2C">
        <w:t>(5), 651-678.</w:t>
      </w:r>
    </w:p>
    <w:p w14:paraId="4BD6363A" w14:textId="77777777" w:rsidR="00FD693E" w:rsidRDefault="00FD693E" w:rsidP="00FE3BE5">
      <w:pPr>
        <w:jc w:val="both"/>
      </w:pPr>
    </w:p>
    <w:p w14:paraId="4926354E" w14:textId="77777777" w:rsidR="00FE3BE5" w:rsidRPr="00D934AB" w:rsidRDefault="00FE3BE5" w:rsidP="00FE3BE5">
      <w:pPr>
        <w:jc w:val="both"/>
      </w:pPr>
      <w:r w:rsidRPr="00D934AB">
        <w:t>Nolte, Ellen, Vladimir Shkolnikov, and Martin McKee. "Changing mortality patterns in East and West Germany and Poland. I: Long term trends (1960–1997)." Journal of Epidemiology &amp; Community Health 54.12 (2000a): 890-898.</w:t>
      </w:r>
    </w:p>
    <w:p w14:paraId="59D7D55D" w14:textId="77777777" w:rsidR="00FE3BE5" w:rsidRPr="00D934AB" w:rsidRDefault="00FE3BE5" w:rsidP="00FE3BE5">
      <w:pPr>
        <w:jc w:val="both"/>
      </w:pPr>
    </w:p>
    <w:p w14:paraId="48213D6E" w14:textId="77777777" w:rsidR="00FE3BE5" w:rsidRDefault="00FE3BE5" w:rsidP="00FE3BE5">
      <w:pPr>
        <w:jc w:val="both"/>
      </w:pPr>
      <w:r w:rsidRPr="00D934AB">
        <w:t>Nolte, Ellen, Vladimir Shkolnikov, and Martin McKee. "Changing mortality patterns in East and West Germany and Poland. II: Short-term trends during transition and in the 1990s." Journal of Epidemiology &amp; Community Health 54.12 (2000b): 899-906.</w:t>
      </w:r>
    </w:p>
    <w:p w14:paraId="3E3E8D56" w14:textId="77777777" w:rsidR="00FE3BE5" w:rsidRDefault="00FE3BE5" w:rsidP="00FE3BE5">
      <w:pPr>
        <w:jc w:val="both"/>
      </w:pPr>
    </w:p>
    <w:p w14:paraId="00C0F70F" w14:textId="77777777" w:rsidR="00FE3BE5" w:rsidRDefault="00FE3BE5" w:rsidP="00FE3BE5">
      <w:pPr>
        <w:jc w:val="both"/>
      </w:pPr>
      <w:r w:rsidRPr="006C3BE9">
        <w:t>Pająk, A., &amp; Kozela, M. (2011). Cardiovascular disease in Central and East Europe. Public Health Reviews, 33(2), 416.</w:t>
      </w:r>
    </w:p>
    <w:p w14:paraId="05D2B3A0" w14:textId="77777777" w:rsidR="00FE3BE5" w:rsidRPr="00D934AB" w:rsidRDefault="00FE3BE5" w:rsidP="00FE3BE5">
      <w:pPr>
        <w:jc w:val="both"/>
      </w:pPr>
    </w:p>
    <w:p w14:paraId="7F41A4F0" w14:textId="77777777" w:rsidR="00FE3BE5" w:rsidRPr="00101B2C" w:rsidRDefault="00FE3BE5" w:rsidP="00FE3BE5">
      <w:pPr>
        <w:jc w:val="both"/>
      </w:pPr>
      <w:r w:rsidRPr="00101B2C">
        <w:t>Rychtarikova, J. (2004). The case of the Czech Republic: Determinants of the recent favourable turnover in mortality. Demographic Research, 2, 105-138.</w:t>
      </w:r>
    </w:p>
    <w:p w14:paraId="02619ED2" w14:textId="77777777" w:rsidR="00FE3BE5" w:rsidRDefault="00FE3BE5" w:rsidP="00FE3BE5">
      <w:pPr>
        <w:jc w:val="both"/>
      </w:pPr>
    </w:p>
    <w:p w14:paraId="76169369" w14:textId="77777777" w:rsidR="00FE3BE5" w:rsidRPr="007E13B7" w:rsidRDefault="00FE3BE5" w:rsidP="00FE3BE5">
      <w:pPr>
        <w:jc w:val="both"/>
      </w:pPr>
      <w:r w:rsidRPr="005943A1">
        <w:t>Zatonski, W. A., McMichael, A. J., &amp; Powles, J. W. (1998). Ecological study of reasons for sharp decline in mortality from ischaemic heart disease in Poland since 1991. Bmj, 316(7137), 1047.</w:t>
      </w:r>
    </w:p>
    <w:p w14:paraId="5B221B08" w14:textId="20D92176" w:rsidR="00FE3BE5" w:rsidRDefault="00FE3BE5" w:rsidP="00FE3BE5">
      <w:pPr>
        <w:jc w:val="both"/>
      </w:pPr>
    </w:p>
    <w:p w14:paraId="2094690C" w14:textId="682C3D9D" w:rsidR="00957D97" w:rsidRDefault="00957D97" w:rsidP="00957D97">
      <w:pPr>
        <w:rPr>
          <w:lang w:val="fr-FR"/>
        </w:rPr>
      </w:pPr>
      <w:r w:rsidRPr="008C6146">
        <w:t xml:space="preserve">Jasilionis, D.; Meslé, F.; Shkolnikov, V. M. &amp; Vallin, J. (2011). </w:t>
      </w:r>
      <w:r w:rsidRPr="00D76CE6">
        <w:rPr>
          <w:lang w:val="fr-FR"/>
        </w:rPr>
        <w:t>Recent Life Expectancy Divergence in Baltic Countries</w:t>
      </w:r>
      <w:r>
        <w:rPr>
          <w:lang w:val="fr-FR"/>
        </w:rPr>
        <w:t xml:space="preserve">. </w:t>
      </w:r>
      <w:r w:rsidRPr="00D76CE6">
        <w:rPr>
          <w:i/>
          <w:iCs/>
          <w:lang w:val="fr-FR"/>
        </w:rPr>
        <w:t>European Journal of Population / Revue européenne de Démographie, 27</w:t>
      </w:r>
      <w:r w:rsidRPr="00D76CE6">
        <w:rPr>
          <w:lang w:val="fr-FR"/>
        </w:rPr>
        <w:t>, 403</w:t>
      </w:r>
    </w:p>
    <w:p w14:paraId="0444A0F5" w14:textId="330391D2" w:rsidR="00957D97" w:rsidRDefault="00957D97" w:rsidP="00957D97">
      <w:pPr>
        <w:rPr>
          <w:lang w:val="fr-FR"/>
        </w:rPr>
      </w:pPr>
    </w:p>
    <w:p w14:paraId="2AFE0460" w14:textId="24DF8952" w:rsidR="00957D97" w:rsidRPr="008C6146" w:rsidRDefault="00957D97" w:rsidP="00957D97">
      <w:r w:rsidRPr="008C6146">
        <w:rPr>
          <w:lang w:val="fr-FR"/>
        </w:rPr>
        <w:t xml:space="preserve">Grigoriev, P., Meslé, F., Shkolnikov, V. M., Andreev, E., Fihel, A., Pechholdova, M., &amp; Vallin, J. (2014). </w:t>
      </w:r>
      <w:r w:rsidRPr="008C6146">
        <w:t>The recent mortality decline in Russia: Beginning of the cardiovascular revolution?. Population and Development review, 40(1), 107-129.</w:t>
      </w:r>
    </w:p>
    <w:p w14:paraId="44E56350" w14:textId="77777777" w:rsidR="00957D97" w:rsidRPr="008C6146" w:rsidRDefault="00957D97" w:rsidP="00FE3BE5">
      <w:pPr>
        <w:jc w:val="both"/>
      </w:pPr>
    </w:p>
    <w:p w14:paraId="7F6FF6EB" w14:textId="77777777" w:rsidR="008C1A6D" w:rsidRDefault="008C1A6D" w:rsidP="0053754D">
      <w:pPr>
        <w:jc w:val="both"/>
        <w:rPr>
          <w:b/>
        </w:rPr>
      </w:pPr>
    </w:p>
    <w:p w14:paraId="1EAC7869" w14:textId="77777777" w:rsidR="008C1A6D" w:rsidRDefault="008C1A6D" w:rsidP="0053754D">
      <w:pPr>
        <w:jc w:val="both"/>
        <w:rPr>
          <w:b/>
        </w:rPr>
      </w:pPr>
    </w:p>
    <w:p w14:paraId="1889D314" w14:textId="0DF36B58" w:rsidR="00E5567B" w:rsidRDefault="002010C1" w:rsidP="0053754D">
      <w:pPr>
        <w:jc w:val="both"/>
        <w:rPr>
          <w:b/>
        </w:rPr>
      </w:pPr>
      <w:r w:rsidRPr="002010C1">
        <w:rPr>
          <w:b/>
        </w:rPr>
        <w:t xml:space="preserve">I would like to see a bigger discussion on the added value of the lifespan dispersion indicators. It seems that if lifespan inequality is measured across the entire age range, its value depends on two processes: premature and old-age mortality, and mortality compresses or expands when these two processes move in opposite directions (and how they balance in the summary measure). The allegedly unexpected results for Central and Eastern Europe are thus rather witnesses of different sensitivity of e0 and e-dagger to mortality age-patterns. </w:t>
      </w:r>
    </w:p>
    <w:p w14:paraId="4E69B748" w14:textId="27A5FFD5" w:rsidR="00ED20E2" w:rsidRDefault="00ED20E2" w:rsidP="0053754D">
      <w:pPr>
        <w:jc w:val="both"/>
        <w:rPr>
          <w:b/>
        </w:rPr>
      </w:pPr>
    </w:p>
    <w:p w14:paraId="26546778" w14:textId="4189D451" w:rsidR="00ED20E2" w:rsidRDefault="00ED20E2" w:rsidP="000352B2">
      <w:pPr>
        <w:jc w:val="both"/>
      </w:pPr>
      <w:r w:rsidRPr="000352B2">
        <w:t xml:space="preserve">In page </w:t>
      </w:r>
      <w:r w:rsidR="00A75D4E">
        <w:t>15</w:t>
      </w:r>
      <w:r w:rsidR="000352B2" w:rsidRPr="000352B2">
        <w:t xml:space="preserve">, we </w:t>
      </w:r>
      <w:r w:rsidR="000352B2">
        <w:t>complemented</w:t>
      </w:r>
      <w:r w:rsidR="000352B2" w:rsidRPr="000352B2">
        <w:t xml:space="preserve"> the paragraph preceding th</w:t>
      </w:r>
      <w:r w:rsidR="000352B2">
        <w:t>e age-specific contributions to stress the added value of lifespan variation as an indicator in population health studies. It now reads:</w:t>
      </w:r>
    </w:p>
    <w:p w14:paraId="0D1DD654" w14:textId="77777777" w:rsidR="004712B6" w:rsidRDefault="004712B6" w:rsidP="000352B2">
      <w:pPr>
        <w:jc w:val="both"/>
      </w:pPr>
    </w:p>
    <w:p w14:paraId="2D79AE73" w14:textId="5366503F" w:rsidR="000352B2" w:rsidRDefault="000352B2"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r w:rsidRPr="000352B2">
        <w:rPr>
          <w:i/>
        </w:rPr>
        <w:t>“From a public health perspective, these results are important because they disclose inequalities underlying population health that could not be identified by looking at life expectancy alone. As previously noted, the full distribution of deaths is characterized not only by the mean (life expectancy), but also by how disperse ages at death are (Edwards and Tuljapurkar 2005). Therefore, increasing lifespan variability underscores the rise in within-group heterogeneity and the uncertainty that people face regarding their age at death.”</w:t>
      </w:r>
    </w:p>
    <w:p w14:paraId="172158C8" w14:textId="692F7E22" w:rsidR="00B575D7"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5E06C97F" w14:textId="0E4FFB28" w:rsidR="00B575D7" w:rsidRPr="00225E5A"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225E5A">
        <w:t>We complemented the concluding paragraph and now the first two sentences read:</w:t>
      </w:r>
    </w:p>
    <w:p w14:paraId="2D62EB0D" w14:textId="65253D98" w:rsidR="00B575D7"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60B8CC3B" w14:textId="6B66A6BA" w:rsidR="00B575D7" w:rsidRDefault="00225E5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000000"/>
        </w:rPr>
      </w:pPr>
      <w:r>
        <w:rPr>
          <w:color w:val="000000"/>
        </w:rPr>
        <w:t>“</w:t>
      </w:r>
      <w:r w:rsidR="00B575D7" w:rsidRPr="00225E5A">
        <w:rPr>
          <w:i/>
          <w:color w:val="000000"/>
        </w:rPr>
        <w:t xml:space="preserve">Lifespan variation, in this case </w:t>
      </w:r>
      <m:oMath>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sup>
        </m:sSup>
      </m:oMath>
      <w:r w:rsidRPr="00107161">
        <w:rPr>
          <w:i/>
          <w:color w:val="000000"/>
        </w:rPr>
        <w:t>,</w:t>
      </w:r>
      <w:r w:rsidR="00B575D7" w:rsidRPr="00225E5A">
        <w:rPr>
          <w:i/>
          <w:color w:val="000000"/>
        </w:rPr>
        <w:t xml:space="preserve"> </w:t>
      </w:r>
      <w:r w:rsidR="00107161" w:rsidRPr="00107161">
        <w:rPr>
          <w:i/>
          <w:color w:val="000000"/>
        </w:rPr>
        <w:t>is a measure of aggregate health inequality that reveals fundamental differences in levels and trends across the countries that we studied</w:t>
      </w:r>
      <w:r w:rsidR="00107161">
        <w:rPr>
          <w:i/>
          <w:color w:val="000000"/>
        </w:rPr>
        <w:t>.</w:t>
      </w:r>
      <w:r w:rsidR="00B575D7" w:rsidRPr="00225E5A">
        <w:rPr>
          <w:i/>
          <w:color w:val="000000"/>
        </w:rPr>
        <w:t xml:space="preserve"> Therefore, analyzing lifespan dispersion together with life expectancy contributes to a deeper understanding of the impact of changing mortality trends on population health</w:t>
      </w:r>
      <w:r w:rsidRPr="00107161">
        <w:rPr>
          <w:i/>
          <w:color w:val="000000"/>
        </w:rPr>
        <w:t>…”</w:t>
      </w:r>
    </w:p>
    <w:p w14:paraId="5C172275" w14:textId="6CAD763F" w:rsidR="00B40C0A" w:rsidRDefault="00B40C0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559E3E74" w14:textId="786CFE5D" w:rsidR="00B40C0A" w:rsidRDefault="00B40C0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rPr>
      </w:pPr>
      <w:r w:rsidRPr="005F6A12">
        <w:lastRenderedPageBreak/>
        <w:t xml:space="preserve">We also include a subsection </w:t>
      </w:r>
      <w:r w:rsidR="005F6A12" w:rsidRPr="005F6A12">
        <w:t xml:space="preserve">in the discussion named “Age-specific contributions to changes in </w:t>
      </w:r>
      <m:oMath>
        <m:sSup>
          <m:sSupPr>
            <m:ctrlPr>
              <w:rPr>
                <w:rFonts w:ascii="Cambria Math" w:hAnsi="Cambria Math"/>
                <w:color w:val="000000"/>
              </w:rPr>
            </m:ctrlPr>
          </m:sSupPr>
          <m:e>
            <m:r>
              <m:rPr>
                <m:sty m:val="p"/>
              </m:rPr>
              <w:rPr>
                <w:rFonts w:ascii="Cambria Math" w:hAnsi="Cambria Math"/>
                <w:color w:val="000000"/>
              </w:rPr>
              <m:t>e</m:t>
            </m:r>
          </m:e>
          <m:sup>
            <m:r>
              <m:rPr>
                <m:sty m:val="p"/>
              </m:rPr>
              <w:rPr>
                <w:rFonts w:ascii="Cambria Math" w:hAnsi="Cambria Math"/>
                <w:color w:val="000000"/>
              </w:rPr>
              <m:t>†</m:t>
            </m:r>
          </m:sup>
        </m:sSup>
      </m:oMath>
      <w:r w:rsidR="005F6A12" w:rsidRPr="005F6A12">
        <w:rPr>
          <w:rFonts w:eastAsiaTheme="minorEastAsia"/>
        </w:rPr>
        <w:t>"</w:t>
      </w:r>
      <w:r w:rsidR="005F6A12">
        <w:rPr>
          <w:rFonts w:eastAsiaTheme="minorEastAsia"/>
        </w:rPr>
        <w:t>, in this subsection we included the next sentence:</w:t>
      </w:r>
    </w:p>
    <w:p w14:paraId="08671DF0" w14:textId="67309CB8" w:rsidR="005F6A12" w:rsidRDefault="005F6A12"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rPr>
      </w:pPr>
    </w:p>
    <w:p w14:paraId="4EF937B4" w14:textId="4132E779" w:rsidR="005F6A12" w:rsidRPr="008B74CF" w:rsidRDefault="00E2428D" w:rsidP="008B7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t>“</w:t>
      </w:r>
      <w:r w:rsidR="005F6A12" w:rsidRPr="005506CB">
        <w:rPr>
          <w:i/>
          <w:color w:val="000000"/>
        </w:rPr>
        <w:t>Life expectancy increases with mortality improvements at all ages. However, lifespan variation increases or decreases depending on the balance of saving lives at ``younger ages'', which compresses mortality into a smaller age interval and at ``older ages'' where saving lives leads to greater variability</w:t>
      </w:r>
      <w:r w:rsidRPr="005506CB">
        <w:rPr>
          <w:i/>
          <w:color w:val="000000"/>
        </w:rPr>
        <w:t xml:space="preserve"> (Zhang and Vaupel 2009, Gillespie et al. 2014)</w:t>
      </w:r>
      <w:r w:rsidR="005F6A12" w:rsidRPr="005506CB">
        <w:rPr>
          <w:i/>
          <w:color w:val="000000"/>
        </w:rPr>
        <w:t>. These properties indicate that life expectancy and lifespan variation have different sensitivities to mortality changes over the age-span</w:t>
      </w:r>
      <w:r w:rsidRPr="005506CB">
        <w:rPr>
          <w:i/>
          <w:color w:val="000000"/>
        </w:rPr>
        <w:t xml:space="preserve"> (van Raalte and Caswell 2013)</w:t>
      </w:r>
      <w:r w:rsidR="005F6A12" w:rsidRPr="005506CB">
        <w:rPr>
          <w:i/>
          <w:color w:val="000000"/>
        </w:rPr>
        <w:t>.</w:t>
      </w:r>
      <w:r w:rsidR="006C429B" w:rsidRPr="005506CB">
        <w:rPr>
          <w:i/>
          <w:color w:val="000000"/>
        </w:rPr>
        <w:t xml:space="preserve"> </w:t>
      </w:r>
      <w:r w:rsidR="005506CB" w:rsidRPr="005506CB">
        <w:rPr>
          <w:i/>
          <w:color w:val="000000"/>
        </w:rPr>
        <w:t xml:space="preserve">Thus, </w:t>
      </w:r>
      <w:r w:rsidR="006C429B" w:rsidRPr="005506CB">
        <w:rPr>
          <w:i/>
          <w:color w:val="000000"/>
        </w:rPr>
        <w:t xml:space="preserve">lifespan </w:t>
      </w:r>
      <w:r w:rsidR="005506CB" w:rsidRPr="005506CB">
        <w:rPr>
          <w:i/>
          <w:color w:val="000000"/>
        </w:rPr>
        <w:t>variation, when m</w:t>
      </w:r>
      <w:r w:rsidR="006C429B" w:rsidRPr="005506CB">
        <w:rPr>
          <w:i/>
          <w:color w:val="000000"/>
        </w:rPr>
        <w:t>easured across the entire age range, depends on two processes: premature and old-age mortality</w:t>
      </w:r>
      <w:r w:rsidR="005506CB" w:rsidRPr="005506CB">
        <w:rPr>
          <w:i/>
          <w:color w:val="000000"/>
        </w:rPr>
        <w:t>. M</w:t>
      </w:r>
      <w:r w:rsidR="006C429B" w:rsidRPr="005506CB">
        <w:rPr>
          <w:i/>
          <w:color w:val="000000"/>
        </w:rPr>
        <w:t>ortality compresses or expands</w:t>
      </w:r>
      <w:r w:rsidR="005506CB" w:rsidRPr="005506CB">
        <w:rPr>
          <w:i/>
          <w:color w:val="000000"/>
        </w:rPr>
        <w:t xml:space="preserve">, depending on the balance between </w:t>
      </w:r>
      <w:r w:rsidR="006C429B" w:rsidRPr="005506CB">
        <w:rPr>
          <w:i/>
          <w:color w:val="000000"/>
        </w:rPr>
        <w:t>these two processes</w:t>
      </w:r>
      <w:r w:rsidR="005506CB" w:rsidRPr="005506CB">
        <w:rPr>
          <w:i/>
          <w:color w:val="000000"/>
        </w:rPr>
        <w:t xml:space="preserve">. Our results for Central and Eastern Europe, which run counter the western narrative, are a product of </w:t>
      </w:r>
      <w:r w:rsidR="006C429B" w:rsidRPr="005506CB">
        <w:rPr>
          <w:i/>
          <w:color w:val="000000"/>
        </w:rPr>
        <w:t xml:space="preserve">different sensitivity of </w:t>
      </w:r>
      <w:r w:rsidR="005506CB" w:rsidRPr="005506CB">
        <w:rPr>
          <w:i/>
          <w:color w:val="000000"/>
        </w:rPr>
        <w:t xml:space="preserve">life expectancy and lifespan variation </w:t>
      </w:r>
      <w:r w:rsidR="006C429B" w:rsidRPr="005506CB">
        <w:rPr>
          <w:i/>
          <w:color w:val="000000"/>
        </w:rPr>
        <w:t>to mortality age-patterns.</w:t>
      </w:r>
      <w:r w:rsidR="006C429B" w:rsidRPr="006C429B">
        <w:rPr>
          <w:color w:val="000000"/>
        </w:rPr>
        <w:t xml:space="preserve"> </w:t>
      </w:r>
      <w:r>
        <w:rPr>
          <w:color w:val="000000"/>
        </w:rPr>
        <w:t>”</w:t>
      </w:r>
    </w:p>
    <w:p w14:paraId="7551E705" w14:textId="17440CE0" w:rsidR="00D97A60"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716835E0" w14:textId="43099DC7"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62F6B402" w14:textId="0B8289BF" w:rsidR="00D97A60" w:rsidRPr="003539EE"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color w:val="000000"/>
        </w:rPr>
      </w:pPr>
      <w:r w:rsidRPr="003539EE">
        <w:rPr>
          <w:b/>
          <w:color w:val="000000"/>
        </w:rPr>
        <w:t>References</w:t>
      </w:r>
    </w:p>
    <w:p w14:paraId="29EB2341" w14:textId="258A9699"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0C0208E" w14:textId="658A83D9"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Edwards, R. D., &amp; Tuljapurkar, S. (2005). Inequality in life spans and a new perspective on mortality convergence across industrialized countries. Population and Development Review, 31(4), 645-674.</w:t>
      </w:r>
    </w:p>
    <w:p w14:paraId="0DF1185E" w14:textId="66A18074" w:rsidR="00DF2FEE" w:rsidRPr="008125EF" w:rsidRDefault="00DF2FEE"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CC9C9FD" w14:textId="54B32DF9" w:rsidR="00DF2FEE" w:rsidRPr="008125EF" w:rsidRDefault="00DF2FEE"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Tuljapurkar, S. (2010). The final inequality: variance in age at death. In Demography and the Economy (pp. 209-221). University of Chicago Press.</w:t>
      </w:r>
    </w:p>
    <w:p w14:paraId="78F78192" w14:textId="1E01AFA5"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41BC10AD" w14:textId="20D91B94"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6C6B99">
        <w:rPr>
          <w:color w:val="000000"/>
        </w:rPr>
        <w:t xml:space="preserve">Zhang, Z., &amp; Vaupel, J. W. (2009). </w:t>
      </w:r>
      <w:r w:rsidRPr="008125EF">
        <w:rPr>
          <w:color w:val="000000"/>
        </w:rPr>
        <w:t>The age separating early deaths from late deaths. Demographic Research, 20, 721-730.</w:t>
      </w:r>
    </w:p>
    <w:p w14:paraId="4403B244" w14:textId="4F2A955B"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2FB0AF35" w14:textId="087A9689"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Gillespie, D. O., Trotter, M. V., &amp; Tuljapurkar, S. D. (2014). Divergence in age patterns of mortality change drives international divergence in lifespan inequality. Demography, 51(3), 1003-1017.</w:t>
      </w:r>
    </w:p>
    <w:p w14:paraId="61EDB533" w14:textId="048A9C82"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4A2C74C" w14:textId="699ACF6E"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Van Raalte, A. A., &amp; Caswell, H. (2013). Perturbation analysis of indices of lifespan variability. Demography, 50(5), 1615-1640.</w:t>
      </w:r>
    </w:p>
    <w:p w14:paraId="087B60F2" w14:textId="5A5CC609" w:rsidR="000352B2" w:rsidRDefault="000352B2" w:rsidP="000352B2">
      <w:pPr>
        <w:jc w:val="both"/>
      </w:pPr>
    </w:p>
    <w:p w14:paraId="34262754" w14:textId="77777777" w:rsidR="000352B2" w:rsidRPr="000352B2" w:rsidRDefault="000352B2" w:rsidP="0053754D">
      <w:pPr>
        <w:jc w:val="both"/>
      </w:pPr>
    </w:p>
    <w:p w14:paraId="1F7360BA" w14:textId="77777777" w:rsidR="00E5567B" w:rsidRDefault="00E5567B" w:rsidP="0053754D">
      <w:pPr>
        <w:jc w:val="both"/>
        <w:rPr>
          <w:b/>
        </w:rPr>
      </w:pPr>
      <w:r>
        <w:rPr>
          <w:b/>
        </w:rPr>
        <w:br w:type="page"/>
      </w:r>
    </w:p>
    <w:p w14:paraId="55A80A4F" w14:textId="77777777" w:rsidR="0004327F" w:rsidRPr="00012759" w:rsidRDefault="0004327F" w:rsidP="0004327F">
      <w:pPr>
        <w:jc w:val="both"/>
        <w:rPr>
          <w:b/>
        </w:rPr>
      </w:pPr>
      <w:r w:rsidRPr="00012759">
        <w:rPr>
          <w:b/>
        </w:rPr>
        <w:lastRenderedPageBreak/>
        <w:t>Reply to reviewers</w:t>
      </w:r>
    </w:p>
    <w:p w14:paraId="2AA0657F" w14:textId="77777777" w:rsidR="0004327F" w:rsidRPr="004C1231" w:rsidRDefault="0004327F" w:rsidP="0004327F">
      <w:pPr>
        <w:autoSpaceDE w:val="0"/>
        <w:autoSpaceDN w:val="0"/>
        <w:adjustRightInd w:val="0"/>
        <w:jc w:val="both"/>
        <w:rPr>
          <w:rFonts w:cs="Times New Roman"/>
          <w:szCs w:val="24"/>
        </w:rPr>
      </w:pPr>
      <w:r w:rsidRPr="00F27036">
        <w:rPr>
          <w:rFonts w:cs="Times New Roman"/>
          <w:szCs w:val="24"/>
        </w:rPr>
        <w:t>We appreciate the reviewers' comments; their det</w:t>
      </w:r>
      <w:r>
        <w:rPr>
          <w:rFonts w:cs="Times New Roman"/>
          <w:szCs w:val="24"/>
        </w:rPr>
        <w:t xml:space="preserve">ailed reading of the manuscript </w:t>
      </w:r>
      <w:r w:rsidRPr="00F27036">
        <w:rPr>
          <w:rFonts w:cs="Times New Roman"/>
          <w:szCs w:val="24"/>
        </w:rPr>
        <w:t xml:space="preserve">and many suggestions that have greatly improved the article. </w:t>
      </w:r>
      <w:r w:rsidRPr="004C1231">
        <w:rPr>
          <w:rFonts w:cs="Times New Roman"/>
          <w:szCs w:val="24"/>
        </w:rPr>
        <w:t xml:space="preserve">Our responses to the reviewers’ comments are outlined below </w:t>
      </w:r>
      <w:r>
        <w:rPr>
          <w:rFonts w:cs="Times New Roman"/>
          <w:szCs w:val="24"/>
        </w:rPr>
        <w:t xml:space="preserve">in regular font with reviewer’s comments </w:t>
      </w:r>
      <w:r w:rsidRPr="004C1231">
        <w:rPr>
          <w:rFonts w:cs="Times New Roman"/>
          <w:szCs w:val="24"/>
        </w:rPr>
        <w:t>in bold font.</w:t>
      </w:r>
    </w:p>
    <w:p w14:paraId="55952E3C" w14:textId="77777777" w:rsidR="0004327F" w:rsidRDefault="0004327F" w:rsidP="007E573E">
      <w:pPr>
        <w:jc w:val="both"/>
        <w:rPr>
          <w:b/>
        </w:rPr>
      </w:pPr>
    </w:p>
    <w:p w14:paraId="17B807A3" w14:textId="03725E38" w:rsidR="007E573E" w:rsidRDefault="007E573E" w:rsidP="007E573E">
      <w:pPr>
        <w:jc w:val="both"/>
        <w:rPr>
          <w:b/>
        </w:rPr>
      </w:pPr>
      <w:r w:rsidRPr="00111E2D">
        <w:rPr>
          <w:b/>
        </w:rPr>
        <w:t>R</w:t>
      </w:r>
      <w:r>
        <w:rPr>
          <w:b/>
        </w:rPr>
        <w:t>eviewer 2</w:t>
      </w:r>
    </w:p>
    <w:p w14:paraId="610E5F92" w14:textId="77777777" w:rsidR="0004327F" w:rsidRDefault="0004327F" w:rsidP="007E573E">
      <w:pPr>
        <w:jc w:val="both"/>
        <w:rPr>
          <w:b/>
        </w:rPr>
      </w:pPr>
    </w:p>
    <w:p w14:paraId="61391F2F" w14:textId="77777777" w:rsidR="00E5567B" w:rsidRPr="00E5567B" w:rsidRDefault="00E5567B" w:rsidP="0053754D">
      <w:pPr>
        <w:jc w:val="both"/>
        <w:rPr>
          <w:b/>
        </w:rPr>
      </w:pPr>
      <w:r w:rsidRPr="00E5567B">
        <w:rPr>
          <w:b/>
        </w:rPr>
        <w:t>The analysis is quite comprehensive, and done carefully. The methods and technical details of the analysis seem appropriate.</w:t>
      </w:r>
    </w:p>
    <w:p w14:paraId="08F54290" w14:textId="3609F7A1" w:rsidR="00E5567B" w:rsidRPr="00E5567B" w:rsidRDefault="00E5567B" w:rsidP="0053754D">
      <w:pPr>
        <w:jc w:val="both"/>
        <w:rPr>
          <w:b/>
        </w:rPr>
      </w:pPr>
      <w:r w:rsidRPr="00E5567B">
        <w:rPr>
          <w:b/>
        </w:rPr>
        <w:cr/>
        <w:t xml:space="preserve">But I don't think some interesting and important results are properly highlighted or summarized. The abstract states: "Our results showed that life disparity was high and strongly </w:t>
      </w:r>
      <w:r w:rsidR="00AD293F" w:rsidRPr="00E5567B">
        <w:rPr>
          <w:b/>
        </w:rPr>
        <w:t>fluctuating</w:t>
      </w:r>
      <w:r w:rsidRPr="00E5567B">
        <w:rPr>
          <w:b/>
        </w:rPr>
        <w:t xml:space="preserve"> over the time period. Life expectancy and life disparity moved independently from one another, particularly during periods of life expectancy stagnation." This is a fairly "plain" description of the results, missing some interesting patterns identifiable in the results.</w:t>
      </w:r>
    </w:p>
    <w:p w14:paraId="6403C49B" w14:textId="186CEC86" w:rsidR="00E5567B" w:rsidRPr="00E5567B" w:rsidRDefault="00E5567B" w:rsidP="0053754D">
      <w:pPr>
        <w:jc w:val="both"/>
        <w:rPr>
          <w:b/>
        </w:rPr>
      </w:pPr>
      <w:r w:rsidRPr="00E5567B">
        <w:rPr>
          <w:b/>
        </w:rPr>
        <w:cr/>
        <w:t>In the results, e0 and e† do not look independent, but are negatively associated for 1988-1995 and 1996 onwards. (Since e0 was fairly stationary for 1960-1987, the association could not be strong in that period anyway.) The decomposition analysis indicates that much of the changes in e† are attributable to increases and decreases (recovery form increase) in middle-age (and younger old-age) mortality, particularly for males in the former USSR countries. This is an interesting result, which should be more highlighted. Also this makes a sharp contrast with typical patterns observed in "Western" countries, which went through two stages, increases in lifespan and decreases in dispersion up to around 1970, driven mainly by reduction in young-age mortality, and increases in lifespan and small increases in dispersion after around 1970, driven by the shift of high mortality to older ages. The West versus East differences are mentioned, but should be made clearer and summarized better.</w:t>
      </w:r>
    </w:p>
    <w:p w14:paraId="2E28ABE6" w14:textId="77777777" w:rsidR="00972F0B" w:rsidRDefault="00972F0B" w:rsidP="0053754D">
      <w:pPr>
        <w:jc w:val="both"/>
        <w:rPr>
          <w:b/>
        </w:rPr>
      </w:pPr>
    </w:p>
    <w:p w14:paraId="6A531AEB" w14:textId="506C1A36" w:rsidR="00E81404" w:rsidRPr="00807AB8" w:rsidRDefault="00E81404" w:rsidP="0053754D">
      <w:pPr>
        <w:jc w:val="both"/>
      </w:pPr>
      <w:r w:rsidRPr="0098710D">
        <w:t>O</w:t>
      </w:r>
      <w:r w:rsidR="00972F0B" w:rsidRPr="00807AB8">
        <w:t>ne major reason why lifespan inequality is rarely tracked is because of the high negative correlation with life expectancy. There is of course no reason why that needs to be the case, and we found it striking that for nearly 30 years the two measures moved in the same direction</w:t>
      </w:r>
      <w:r w:rsidR="008D31E8">
        <w:t xml:space="preserve"> (meaning toward a weakening of the longstanding negative correlation)</w:t>
      </w:r>
      <w:r w:rsidR="00972F0B" w:rsidRPr="00807AB8">
        <w:t xml:space="preserve"> more often than in </w:t>
      </w:r>
      <w:r w:rsidR="008D31E8">
        <w:t>opposite</w:t>
      </w:r>
      <w:r w:rsidR="00972F0B" w:rsidRPr="00807AB8">
        <w:t xml:space="preserve"> directions. To our knowledge this has never been shown empirically before, and we consider it a major </w:t>
      </w:r>
      <w:r w:rsidRPr="00807AB8">
        <w:t>finding from this analysis</w:t>
      </w:r>
      <w:r w:rsidR="00972F0B" w:rsidRPr="00807AB8">
        <w:t xml:space="preserve"> worthy of being highlighted. </w:t>
      </w:r>
      <w:r w:rsidRPr="00807AB8">
        <w:t>While it is true that</w:t>
      </w:r>
      <w:r w:rsidR="00972F0B" w:rsidRPr="00807AB8">
        <w:t xml:space="preserve"> the overall trends w</w:t>
      </w:r>
      <w:r w:rsidRPr="00807AB8">
        <w:t>ere</w:t>
      </w:r>
      <w:r w:rsidR="00972F0B" w:rsidRPr="00807AB8">
        <w:t xml:space="preserve"> flat, as you point out, the year-to-year differences</w:t>
      </w:r>
      <w:r w:rsidRPr="00807AB8">
        <w:t xml:space="preserve"> were up to 2% in e0 and up to 5% in e†, so not</w:t>
      </w:r>
      <w:r w:rsidR="00C13ABF" w:rsidRPr="00807AB8">
        <w:t xml:space="preserve"> always</w:t>
      </w:r>
      <w:r w:rsidRPr="00807AB8">
        <w:t xml:space="preserve"> inconsequential</w:t>
      </w:r>
      <w:r w:rsidR="00972F0B" w:rsidRPr="00807AB8">
        <w:t>.</w:t>
      </w:r>
      <w:r w:rsidRPr="00807AB8">
        <w:t xml:space="preserve"> </w:t>
      </w:r>
      <w:r w:rsidR="00622313">
        <w:t>Nevertheless, it i</w:t>
      </w:r>
      <w:r w:rsidR="00C13ABF" w:rsidRPr="00807AB8">
        <w:t>s an important point</w:t>
      </w:r>
      <w:r w:rsidRPr="00807AB8">
        <w:t xml:space="preserve"> that the two </w:t>
      </w:r>
      <w:r w:rsidR="008D31E8">
        <w:t>metrics</w:t>
      </w:r>
      <w:r w:rsidRPr="00807AB8">
        <w:t xml:space="preserve"> were </w:t>
      </w:r>
      <w:r w:rsidR="008D31E8">
        <w:t>more often changing in the direction expected from a negative correlation</w:t>
      </w:r>
      <w:r w:rsidRPr="00807AB8">
        <w:t xml:space="preserve"> after 1988</w:t>
      </w:r>
      <w:r w:rsidR="00C13ABF" w:rsidRPr="00807AB8">
        <w:t xml:space="preserve">, when yearly mortality change was </w:t>
      </w:r>
      <w:r w:rsidR="00FF304E" w:rsidRPr="00807AB8">
        <w:t xml:space="preserve">on average </w:t>
      </w:r>
      <w:r w:rsidR="00C13ABF" w:rsidRPr="00807AB8">
        <w:t>larger</w:t>
      </w:r>
      <w:r w:rsidRPr="00807AB8">
        <w:t xml:space="preserve">. </w:t>
      </w:r>
      <w:r w:rsidR="00C13ABF" w:rsidRPr="00807AB8">
        <w:t xml:space="preserve">So we have to be careful not to </w:t>
      </w:r>
      <w:r w:rsidRPr="00807AB8">
        <w:t xml:space="preserve">oversell the independence argument. </w:t>
      </w:r>
      <w:r w:rsidR="00C13ABF" w:rsidRPr="00807AB8">
        <w:t>As we see it, t</w:t>
      </w:r>
      <w:r w:rsidRPr="00807AB8">
        <w:t xml:space="preserve">he main difference from before and after 1988 was that in the earlier periods age-specific </w:t>
      </w:r>
      <w:r w:rsidR="008D31E8">
        <w:t>mortality itself</w:t>
      </w:r>
      <w:r w:rsidRPr="00807AB8">
        <w:t xml:space="preserve"> w</w:t>
      </w:r>
      <w:r w:rsidR="008D31E8">
        <w:t>as</w:t>
      </w:r>
      <w:r w:rsidRPr="00807AB8">
        <w:t xml:space="preserve"> moving in opposite directions</w:t>
      </w:r>
      <w:r w:rsidR="008D31E8">
        <w:t xml:space="preserve"> for different age groups</w:t>
      </w:r>
      <w:r w:rsidR="00C13ABF" w:rsidRPr="00807AB8">
        <w:t>.</w:t>
      </w:r>
      <w:r w:rsidRPr="00807AB8">
        <w:t xml:space="preserve"> </w:t>
      </w:r>
      <w:r w:rsidR="00C13ABF" w:rsidRPr="00807AB8">
        <w:t>A</w:t>
      </w:r>
      <w:r w:rsidRPr="00807AB8">
        <w:t>fterwards</w:t>
      </w:r>
      <w:r w:rsidR="00C13ABF" w:rsidRPr="00807AB8">
        <w:t>,</w:t>
      </w:r>
      <w:r w:rsidRPr="00807AB8">
        <w:t xml:space="preserve"> through </w:t>
      </w:r>
      <w:r w:rsidR="00C13ABF" w:rsidRPr="00807AB8">
        <w:t xml:space="preserve">both </w:t>
      </w:r>
      <w:r w:rsidRPr="00807AB8">
        <w:t>periods of crises and recovery, age-specific trends tended to move in the same direction</w:t>
      </w:r>
      <w:r w:rsidR="00C13ABF" w:rsidRPr="00807AB8">
        <w:t xml:space="preserve"> at all ages (with younger ages being the strongest drivers</w:t>
      </w:r>
      <w:r w:rsidR="008D31E8">
        <w:t xml:space="preserve"> of both mortality increase and decrease</w:t>
      </w:r>
      <w:r w:rsidR="00C13ABF" w:rsidRPr="00807AB8">
        <w:t>)</w:t>
      </w:r>
      <w:r w:rsidRPr="00807AB8">
        <w:t xml:space="preserve">, which explains why the e† and e0 relationship resumed being negatively correlated. </w:t>
      </w:r>
    </w:p>
    <w:p w14:paraId="0ED2AD88" w14:textId="77777777" w:rsidR="00E81404" w:rsidRPr="00807AB8" w:rsidRDefault="00E81404" w:rsidP="0053754D">
      <w:pPr>
        <w:jc w:val="both"/>
      </w:pPr>
    </w:p>
    <w:p w14:paraId="4357F4A0" w14:textId="6B307856" w:rsidR="00E81404" w:rsidRPr="00807AB8" w:rsidRDefault="00E81404" w:rsidP="0053754D">
      <w:pPr>
        <w:jc w:val="both"/>
      </w:pPr>
      <w:r w:rsidRPr="00807AB8">
        <w:t xml:space="preserve">To make the above clear, we reframed all of this within the context of typical ‘Western’ patterns versus </w:t>
      </w:r>
      <w:r w:rsidR="00C13ABF" w:rsidRPr="00807AB8">
        <w:t xml:space="preserve">the </w:t>
      </w:r>
      <w:r w:rsidR="009214E8" w:rsidRPr="00807AB8">
        <w:t>anomalous</w:t>
      </w:r>
      <w:r w:rsidRPr="00807AB8">
        <w:t xml:space="preserve"> </w:t>
      </w:r>
      <w:r w:rsidR="00C13ABF" w:rsidRPr="00807AB8">
        <w:t xml:space="preserve">Eastern age-specific </w:t>
      </w:r>
      <w:r w:rsidRPr="00807AB8">
        <w:t>mortality change</w:t>
      </w:r>
      <w:r w:rsidR="00C13ABF" w:rsidRPr="00807AB8">
        <w:t>, highlighting the different age-specific mortality trajectories</w:t>
      </w:r>
      <w:r w:rsidRPr="00807AB8">
        <w:t xml:space="preserve"> as you suggested above. </w:t>
      </w:r>
      <w:r w:rsidR="001B23C3" w:rsidRPr="00807AB8">
        <w:t>We made the following changes:</w:t>
      </w:r>
    </w:p>
    <w:p w14:paraId="4616FF1F" w14:textId="77777777" w:rsidR="001B23C3" w:rsidRPr="00807AB8" w:rsidRDefault="001B23C3" w:rsidP="0053754D">
      <w:pPr>
        <w:jc w:val="both"/>
      </w:pPr>
    </w:p>
    <w:p w14:paraId="729CDE98" w14:textId="77777777" w:rsidR="00E81404" w:rsidRPr="00807AB8" w:rsidRDefault="00E81404" w:rsidP="0053754D">
      <w:pPr>
        <w:jc w:val="both"/>
      </w:pPr>
    </w:p>
    <w:p w14:paraId="07145573" w14:textId="61532DF2" w:rsidR="00E81404" w:rsidRPr="00807AB8" w:rsidRDefault="00FE686E" w:rsidP="0053754D">
      <w:pPr>
        <w:jc w:val="both"/>
      </w:pPr>
      <w:r w:rsidRPr="00807AB8">
        <w:t>Changes to the Abstract:</w:t>
      </w:r>
    </w:p>
    <w:p w14:paraId="0184B8EE" w14:textId="75FF61AD" w:rsidR="00FE686E" w:rsidRPr="009214E8" w:rsidRDefault="00FE686E" w:rsidP="0053754D">
      <w:pPr>
        <w:jc w:val="both"/>
        <w:rPr>
          <w:i/>
        </w:rPr>
      </w:pPr>
      <w:r w:rsidRPr="00807AB8">
        <w:t>…</w:t>
      </w:r>
      <w:r w:rsidRPr="009214E8">
        <w:rPr>
          <w:i/>
        </w:rPr>
        <w:t xml:space="preserve">Generally life disparity was high and strongly fluctuating over the period. For nearly 30 of these years, life expectancy and life disparity moved independently from one another, largely because mortality trends ran in opposite directions over different ages. …Mortality patterns in CEE countries were heterogeneous and run counter to the common patterns observed in most developed countries. </w:t>
      </w:r>
    </w:p>
    <w:p w14:paraId="575C929C" w14:textId="77777777" w:rsidR="00FE686E" w:rsidRPr="00807AB8" w:rsidRDefault="00FE686E" w:rsidP="0053754D">
      <w:pPr>
        <w:jc w:val="both"/>
      </w:pPr>
    </w:p>
    <w:p w14:paraId="4F167FBE" w14:textId="1424EA4B" w:rsidR="00FE686E" w:rsidRPr="00807AB8" w:rsidRDefault="00FE686E" w:rsidP="0053754D">
      <w:pPr>
        <w:jc w:val="both"/>
      </w:pPr>
      <w:r w:rsidRPr="00807AB8">
        <w:t>Changes to the Discussion</w:t>
      </w:r>
    </w:p>
    <w:p w14:paraId="0B87928E" w14:textId="4706766D" w:rsidR="001B23C3" w:rsidRDefault="00A278D0" w:rsidP="001B23C3">
      <w:pPr>
        <w:jc w:val="both"/>
      </w:pPr>
      <w:r>
        <w:t xml:space="preserve">The second paragraph refers to the negative correlation </w:t>
      </w:r>
      <w:r w:rsidR="009B4E26">
        <w:t>found</w:t>
      </w:r>
      <w:r>
        <w:t xml:space="preserve"> in Western countries. In the third </w:t>
      </w:r>
      <w:r w:rsidR="009B4E26">
        <w:t>paragraph,</w:t>
      </w:r>
      <w:r>
        <w:t xml:space="preserve"> we reframe</w:t>
      </w:r>
      <w:r w:rsidR="009B4E26">
        <w:t>d</w:t>
      </w:r>
      <w:r>
        <w:t xml:space="preserve"> our results in perspective with the Western pattern:</w:t>
      </w:r>
    </w:p>
    <w:p w14:paraId="5DFA0724" w14:textId="77777777" w:rsidR="00180597" w:rsidRDefault="00180597" w:rsidP="001B23C3">
      <w:pPr>
        <w:jc w:val="both"/>
      </w:pPr>
    </w:p>
    <w:p w14:paraId="7F23F049" w14:textId="1FE38070" w:rsidR="009B4E26" w:rsidRDefault="009B4E26" w:rsidP="009B4E26">
      <w:pPr>
        <w:autoSpaceDE w:val="0"/>
        <w:autoSpaceDN w:val="0"/>
        <w:adjustRightInd w:val="0"/>
        <w:jc w:val="both"/>
        <w:rPr>
          <w:i/>
        </w:rPr>
      </w:pPr>
      <w:r w:rsidRPr="009B4E26">
        <w:rPr>
          <w:i/>
        </w:rPr>
        <w:t>“Central and Eastern European countries run counter to this narrative. Although they too experienced the sharp declines in infectious disease mortality up to the mid-twentieth Century, mortality at mid-life stalled or even increased for most of the last half of the twentieth Century (McKee and Shkolnikov 2001),with no appreciable declines in cardiovascular mortality until very recently (Caselli et al. 20</w:t>
      </w:r>
      <w:r w:rsidR="00FD693E">
        <w:rPr>
          <w:i/>
        </w:rPr>
        <w:t>02, Grigoriev et al. 2014, Mesl</w:t>
      </w:r>
      <w:r w:rsidRPr="009B4E26">
        <w:rPr>
          <w:i/>
        </w:rPr>
        <w:t>e 2004, Timonin et al. 2017). As our results made clear, mortality change at different ages was far from even, with the result that changes in lifespan variation did not correspond in intensity or even direction with changes observed in life expectancy.”</w:t>
      </w:r>
    </w:p>
    <w:p w14:paraId="774A0596" w14:textId="5BFDC88E" w:rsidR="00180597" w:rsidRDefault="00180597" w:rsidP="009B4E26">
      <w:pPr>
        <w:autoSpaceDE w:val="0"/>
        <w:autoSpaceDN w:val="0"/>
        <w:adjustRightInd w:val="0"/>
        <w:jc w:val="both"/>
        <w:rPr>
          <w:i/>
        </w:rPr>
      </w:pPr>
    </w:p>
    <w:p w14:paraId="3203CAC6" w14:textId="31EEAC89" w:rsidR="00180597" w:rsidRDefault="00180597" w:rsidP="009B4E26">
      <w:pPr>
        <w:autoSpaceDE w:val="0"/>
        <w:autoSpaceDN w:val="0"/>
        <w:adjustRightInd w:val="0"/>
        <w:jc w:val="both"/>
      </w:pPr>
      <w:r w:rsidRPr="00180597">
        <w:t>In the Age-specific contributions section in the discussion</w:t>
      </w:r>
      <w:r>
        <w:t xml:space="preserve"> we added</w:t>
      </w:r>
      <w:r w:rsidRPr="00180597">
        <w:t>:</w:t>
      </w:r>
    </w:p>
    <w:p w14:paraId="2C5DD73E" w14:textId="52D214BD" w:rsidR="00180597" w:rsidRDefault="00180597" w:rsidP="009B4E26">
      <w:pPr>
        <w:autoSpaceDE w:val="0"/>
        <w:autoSpaceDN w:val="0"/>
        <w:adjustRightInd w:val="0"/>
        <w:jc w:val="both"/>
      </w:pPr>
    </w:p>
    <w:p w14:paraId="607276B7" w14:textId="21E3FFA2" w:rsidR="00180597" w:rsidRDefault="00180597" w:rsidP="009B4E26">
      <w:pPr>
        <w:autoSpaceDE w:val="0"/>
        <w:autoSpaceDN w:val="0"/>
        <w:adjustRightInd w:val="0"/>
        <w:jc w:val="both"/>
        <w:rPr>
          <w:i/>
          <w:color w:val="000000"/>
        </w:rPr>
      </w:pPr>
      <w:r>
        <w:rPr>
          <w:i/>
          <w:color w:val="000000"/>
        </w:rPr>
        <w:t xml:space="preserve">“… </w:t>
      </w:r>
      <w:r w:rsidRPr="00180597">
        <w:rPr>
          <w:i/>
          <w:color w:val="000000"/>
        </w:rPr>
        <w:t>Mortality compresses or expands, depending on the balance between these two processes. Our results for Central and Eastern Europe, which run counter the western narrative, are a product of different sensitivity of life expectancy and lifespan variation to mortality age-patterns.  Typically, trends in lifespan variation are thought to be driven by changes in the ``younger age'' component of lifespan variation, with variation from the ``older age'' mortality component holding steady</w:t>
      </w:r>
      <w:r>
        <w:rPr>
          <w:i/>
          <w:color w:val="000000"/>
        </w:rPr>
        <w:t>…”</w:t>
      </w:r>
    </w:p>
    <w:p w14:paraId="42D2B561" w14:textId="3A292564" w:rsidR="008E075C" w:rsidRDefault="008E075C" w:rsidP="009B4E26">
      <w:pPr>
        <w:autoSpaceDE w:val="0"/>
        <w:autoSpaceDN w:val="0"/>
        <w:adjustRightInd w:val="0"/>
        <w:jc w:val="both"/>
        <w:rPr>
          <w:i/>
          <w:color w:val="000000"/>
        </w:rPr>
      </w:pPr>
    </w:p>
    <w:p w14:paraId="578C50D6" w14:textId="19869708" w:rsidR="008E075C" w:rsidRPr="008E075C" w:rsidRDefault="008E075C" w:rsidP="009B4E26">
      <w:pPr>
        <w:autoSpaceDE w:val="0"/>
        <w:autoSpaceDN w:val="0"/>
        <w:adjustRightInd w:val="0"/>
        <w:jc w:val="both"/>
        <w:rPr>
          <w:color w:val="000000"/>
        </w:rPr>
      </w:pPr>
      <w:r w:rsidRPr="008E075C">
        <w:rPr>
          <w:color w:val="000000"/>
        </w:rPr>
        <w:t>In the Cause-of-death section in the discussion we added:</w:t>
      </w:r>
    </w:p>
    <w:p w14:paraId="5B5CCFEB" w14:textId="51E27137" w:rsidR="008E075C" w:rsidRDefault="008E075C" w:rsidP="009B4E26">
      <w:pPr>
        <w:autoSpaceDE w:val="0"/>
        <w:autoSpaceDN w:val="0"/>
        <w:adjustRightInd w:val="0"/>
        <w:jc w:val="both"/>
        <w:rPr>
          <w:i/>
          <w:color w:val="000000"/>
        </w:rPr>
      </w:pPr>
    </w:p>
    <w:p w14:paraId="771E3560" w14:textId="5547A040" w:rsidR="008E075C" w:rsidRPr="008E075C" w:rsidRDefault="008E075C" w:rsidP="008E075C">
      <w:pPr>
        <w:autoSpaceDE w:val="0"/>
        <w:autoSpaceDN w:val="0"/>
        <w:adjustRightInd w:val="0"/>
        <w:jc w:val="both"/>
        <w:rPr>
          <w:i/>
          <w:color w:val="000000"/>
        </w:rPr>
      </w:pPr>
      <w:r>
        <w:rPr>
          <w:i/>
          <w:color w:val="000000"/>
        </w:rPr>
        <w:t>“</w:t>
      </w:r>
      <w:r w:rsidRPr="008E075C">
        <w:rPr>
          <w:i/>
          <w:color w:val="000000"/>
        </w:rPr>
        <w:t xml:space="preserve">Fluctuating alcohol-related mortality was an important component of the </w:t>
      </w:r>
      <w:r>
        <w:rPr>
          <w:i/>
          <w:color w:val="000000"/>
        </w:rPr>
        <w:t xml:space="preserve">moving life disparity trends in </w:t>
      </w:r>
      <w:r w:rsidRPr="008E075C">
        <w:rPr>
          <w:i/>
          <w:color w:val="000000"/>
        </w:rPr>
        <w:t>the countries of the former Soviet Un</w:t>
      </w:r>
      <w:r>
        <w:rPr>
          <w:i/>
          <w:color w:val="000000"/>
        </w:rPr>
        <w:t>ion, although it occurred to diff</w:t>
      </w:r>
      <w:r w:rsidRPr="008E075C">
        <w:rPr>
          <w:i/>
          <w:color w:val="000000"/>
        </w:rPr>
        <w:t>erent degrees</w:t>
      </w:r>
      <w:r>
        <w:rPr>
          <w:i/>
          <w:color w:val="000000"/>
        </w:rPr>
        <w:t xml:space="preserve"> in each region, and manifested itself in diff</w:t>
      </w:r>
      <w:r w:rsidRPr="008E075C">
        <w:rPr>
          <w:i/>
          <w:color w:val="000000"/>
        </w:rPr>
        <w:t xml:space="preserve">erent causes. Over young ages, a large role was found for </w:t>
      </w:r>
      <w:r>
        <w:rPr>
          <w:i/>
          <w:color w:val="000000"/>
        </w:rPr>
        <w:t>the reduction of external cause mortality including traffi</w:t>
      </w:r>
      <w:r w:rsidRPr="008E075C">
        <w:rPr>
          <w:i/>
          <w:color w:val="000000"/>
        </w:rPr>
        <w:t>c accidents in the Baltic countries throughout the</w:t>
      </w:r>
      <w:r>
        <w:rPr>
          <w:i/>
          <w:color w:val="000000"/>
        </w:rPr>
        <w:t xml:space="preserve"> period, and in Russia, Belarus </w:t>
      </w:r>
      <w:r w:rsidRPr="008E075C">
        <w:rPr>
          <w:i/>
          <w:color w:val="000000"/>
        </w:rPr>
        <w:t>and Ukraine from 2000 onwards. Since these causes often co-moved with mortality d</w:t>
      </w:r>
      <w:r>
        <w:rPr>
          <w:i/>
          <w:color w:val="000000"/>
        </w:rPr>
        <w:t xml:space="preserve">irectly attributable to </w:t>
      </w:r>
      <w:r w:rsidRPr="008E075C">
        <w:rPr>
          <w:i/>
          <w:color w:val="000000"/>
        </w:rPr>
        <w:t>alcohol over these ages it is suggestive that healthier patterns of alcohol c</w:t>
      </w:r>
      <w:r>
        <w:rPr>
          <w:i/>
          <w:color w:val="000000"/>
        </w:rPr>
        <w:t xml:space="preserve">onsumption were contributing to </w:t>
      </w:r>
      <w:r w:rsidRPr="008E075C">
        <w:rPr>
          <w:i/>
          <w:color w:val="000000"/>
        </w:rPr>
        <w:t>these reductions in life disparity. At</w:t>
      </w:r>
      <w:r>
        <w:rPr>
          <w:i/>
          <w:color w:val="000000"/>
        </w:rPr>
        <w:t xml:space="preserve"> older ages, between-country diff</w:t>
      </w:r>
      <w:r w:rsidRPr="008E075C">
        <w:rPr>
          <w:i/>
          <w:color w:val="000000"/>
        </w:rPr>
        <w:t>erence</w:t>
      </w:r>
      <w:r>
        <w:rPr>
          <w:i/>
          <w:color w:val="000000"/>
        </w:rPr>
        <w:t xml:space="preserve">s in mortality reduction seemed </w:t>
      </w:r>
      <w:r w:rsidRPr="008E075C">
        <w:rPr>
          <w:i/>
          <w:color w:val="000000"/>
        </w:rPr>
        <w:t>to be driven by the extent of mortality reduction from circulatory</w:t>
      </w:r>
      <w:r>
        <w:rPr>
          <w:i/>
          <w:color w:val="000000"/>
        </w:rPr>
        <w:t xml:space="preserve"> diseases. In addition, alcohol </w:t>
      </w:r>
      <w:r>
        <w:rPr>
          <w:i/>
          <w:color w:val="000000"/>
        </w:rPr>
        <w:lastRenderedPageBreak/>
        <w:t xml:space="preserve">consumption </w:t>
      </w:r>
      <w:r w:rsidRPr="008E075C">
        <w:rPr>
          <w:i/>
          <w:color w:val="000000"/>
        </w:rPr>
        <w:t xml:space="preserve">is not the only factor that explains mortality trajectories in the region, or </w:t>
      </w:r>
      <w:r>
        <w:rPr>
          <w:i/>
          <w:color w:val="000000"/>
        </w:rPr>
        <w:t xml:space="preserve">the sole </w:t>
      </w:r>
      <w:r w:rsidRPr="008E075C">
        <w:rPr>
          <w:i/>
          <w:color w:val="000000"/>
        </w:rPr>
        <w:t xml:space="preserve">explanation for </w:t>
      </w:r>
      <w:r>
        <w:rPr>
          <w:i/>
          <w:color w:val="000000"/>
        </w:rPr>
        <w:t xml:space="preserve">difference </w:t>
      </w:r>
      <w:r w:rsidRPr="008E075C">
        <w:rPr>
          <w:i/>
          <w:color w:val="000000"/>
        </w:rPr>
        <w:t>between life expectancy and lifespan variation levels with western European</w:t>
      </w:r>
      <w:r>
        <w:rPr>
          <w:i/>
          <w:color w:val="000000"/>
        </w:rPr>
        <w:t xml:space="preserve"> countries. Other factors, such </w:t>
      </w:r>
      <w:r w:rsidRPr="008E075C">
        <w:rPr>
          <w:i/>
          <w:color w:val="000000"/>
        </w:rPr>
        <w:t xml:space="preserve">as environmental pollution, medical care, smoking behaviors and diet have been </w:t>
      </w:r>
      <w:r>
        <w:rPr>
          <w:i/>
          <w:color w:val="000000"/>
        </w:rPr>
        <w:t xml:space="preserve">important determinants of </w:t>
      </w:r>
      <w:r w:rsidRPr="008E075C">
        <w:rPr>
          <w:i/>
          <w:color w:val="000000"/>
        </w:rPr>
        <w:t>health outcomes in this region since at least 1970 (Bobak and Marmot 1996). Indeed, the strong declines</w:t>
      </w:r>
      <w:r>
        <w:rPr>
          <w:i/>
          <w:color w:val="000000"/>
        </w:rPr>
        <w:t xml:space="preserve"> </w:t>
      </w:r>
      <w:r w:rsidRPr="008E075C">
        <w:rPr>
          <w:i/>
          <w:color w:val="000000"/>
        </w:rPr>
        <w:t>in circulatory disease mortality in the Baltic countries (Jasilionis et al. 2011), and more recently Russia</w:t>
      </w:r>
      <w:r>
        <w:rPr>
          <w:i/>
          <w:color w:val="000000"/>
        </w:rPr>
        <w:t xml:space="preserve"> </w:t>
      </w:r>
      <w:r w:rsidRPr="008E075C">
        <w:rPr>
          <w:i/>
          <w:color w:val="000000"/>
        </w:rPr>
        <w:t xml:space="preserve">(Grigoriev et al. 2014) have been seen as hopeful </w:t>
      </w:r>
      <w:r w:rsidR="009728EE">
        <w:rPr>
          <w:i/>
          <w:color w:val="000000"/>
        </w:rPr>
        <w:t>signs that these countries are fi</w:t>
      </w:r>
      <w:r w:rsidRPr="008E075C">
        <w:rPr>
          <w:i/>
          <w:color w:val="000000"/>
        </w:rPr>
        <w:t>nally on a path toward the</w:t>
      </w:r>
      <w:r>
        <w:rPr>
          <w:i/>
          <w:color w:val="000000"/>
        </w:rPr>
        <w:t xml:space="preserve"> </w:t>
      </w:r>
      <w:r w:rsidRPr="008E075C">
        <w:rPr>
          <w:i/>
          <w:color w:val="000000"/>
        </w:rPr>
        <w:t>lower levels of cardiovascular mortality that have been achieved in the west.</w:t>
      </w:r>
      <w:r>
        <w:rPr>
          <w:i/>
          <w:color w:val="000000"/>
        </w:rPr>
        <w:t>”</w:t>
      </w:r>
    </w:p>
    <w:p w14:paraId="1329CC99" w14:textId="50B03FD1" w:rsidR="009B4E26" w:rsidRDefault="009B4E26" w:rsidP="009B4E26">
      <w:pPr>
        <w:autoSpaceDE w:val="0"/>
        <w:autoSpaceDN w:val="0"/>
        <w:adjustRightInd w:val="0"/>
        <w:jc w:val="both"/>
        <w:rPr>
          <w:i/>
        </w:rPr>
      </w:pPr>
    </w:p>
    <w:p w14:paraId="367D9A54" w14:textId="38A8A7E1" w:rsidR="00FE686E" w:rsidRPr="00E5567B" w:rsidRDefault="00FE686E" w:rsidP="0053754D">
      <w:pPr>
        <w:jc w:val="both"/>
        <w:rPr>
          <w:b/>
        </w:rPr>
      </w:pPr>
    </w:p>
    <w:p w14:paraId="610D3A97" w14:textId="77777777" w:rsidR="00E5567B" w:rsidRPr="00E5567B" w:rsidRDefault="00E5567B" w:rsidP="0053754D">
      <w:pPr>
        <w:jc w:val="both"/>
        <w:rPr>
          <w:b/>
        </w:rPr>
      </w:pPr>
      <w:r w:rsidRPr="00E5567B">
        <w:rPr>
          <w:b/>
        </w:rPr>
        <w:cr/>
        <w:t>Also, it will help readers if the 12 countries are distinctly split into two or three subgroups based on their differential patterns of time trend in e0 and e† and if the grouping is used consistency throughout the paper.</w:t>
      </w:r>
    </w:p>
    <w:p w14:paraId="0D0FC104" w14:textId="1470A942" w:rsidR="00262D78" w:rsidRPr="00807AB8" w:rsidRDefault="00E5567B" w:rsidP="0053754D">
      <w:pPr>
        <w:jc w:val="both"/>
      </w:pPr>
      <w:r w:rsidRPr="00E5567B">
        <w:rPr>
          <w:b/>
        </w:rPr>
        <w:cr/>
      </w:r>
      <w:r w:rsidR="00C13ABF" w:rsidRPr="00807AB8">
        <w:t>As reviewer 3 also suggested, as far as possible we grouped our discussion around three main groupings</w:t>
      </w:r>
      <w:r w:rsidR="00FE686E" w:rsidRPr="00807AB8">
        <w:t xml:space="preserve"> that experienced more similar trends</w:t>
      </w:r>
      <w:r w:rsidR="00C13ABF" w:rsidRPr="00807AB8">
        <w:t>: Central Europe</w:t>
      </w:r>
      <w:r w:rsidR="001B23C3" w:rsidRPr="00807AB8">
        <w:t xml:space="preserve"> + Bulgaria</w:t>
      </w:r>
      <w:r w:rsidR="00C13ABF" w:rsidRPr="00807AB8">
        <w:t xml:space="preserve">, the Baltic Countries, and other </w:t>
      </w:r>
      <w:r w:rsidR="000378EE">
        <w:t xml:space="preserve">former Soviet Union </w:t>
      </w:r>
      <w:r w:rsidR="00C13ABF" w:rsidRPr="00807AB8">
        <w:t>countries</w:t>
      </w:r>
      <w:r w:rsidR="000378EE">
        <w:t xml:space="preserve"> (</w:t>
      </w:r>
      <w:r w:rsidR="000378EE" w:rsidRPr="00807AB8">
        <w:t>FSU</w:t>
      </w:r>
      <w:r w:rsidR="000378EE">
        <w:t>)</w:t>
      </w:r>
      <w:r w:rsidR="00C13ABF" w:rsidRPr="00807AB8">
        <w:t xml:space="preserve">. </w:t>
      </w:r>
      <w:r w:rsidR="00FE686E" w:rsidRPr="00807AB8">
        <w:t>We hope that</w:t>
      </w:r>
      <w:r w:rsidR="00C13ABF" w:rsidRPr="00807AB8">
        <w:t xml:space="preserve"> this patterning help</w:t>
      </w:r>
      <w:r w:rsidR="00FE686E" w:rsidRPr="00807AB8">
        <w:t>s t</w:t>
      </w:r>
      <w:r w:rsidR="00C13ABF" w:rsidRPr="00807AB8">
        <w:t xml:space="preserve">o anchor the trajectories geographically and has livened up </w:t>
      </w:r>
      <w:r w:rsidR="00FE686E" w:rsidRPr="00807AB8">
        <w:t xml:space="preserve">some of the </w:t>
      </w:r>
      <w:r w:rsidR="009214E8" w:rsidRPr="00807AB8">
        <w:t>denser</w:t>
      </w:r>
      <w:r w:rsidR="00FE686E" w:rsidRPr="00807AB8">
        <w:t xml:space="preserve"> </w:t>
      </w:r>
      <w:r w:rsidR="00C13ABF" w:rsidRPr="00807AB8">
        <w:t>sections of the paper.</w:t>
      </w:r>
      <w:r w:rsidR="009214E8">
        <w:t xml:space="preserve"> </w:t>
      </w:r>
      <w:r w:rsidR="00262D78">
        <w:t xml:space="preserve">In </w:t>
      </w:r>
      <w:r w:rsidR="009214E8">
        <w:t>addition,</w:t>
      </w:r>
      <w:r w:rsidR="00262D78">
        <w:t xml:space="preserve"> we recreated all decomposition figures in concordance with the grouping by adding a specific label and background color in each country. </w:t>
      </w:r>
    </w:p>
    <w:p w14:paraId="4C569603" w14:textId="0E258C52" w:rsidR="00C13ABF" w:rsidRPr="00E5567B" w:rsidRDefault="00C13ABF" w:rsidP="0053754D">
      <w:pPr>
        <w:jc w:val="both"/>
        <w:rPr>
          <w:b/>
        </w:rPr>
      </w:pPr>
    </w:p>
    <w:p w14:paraId="7A8EC0FC" w14:textId="5D3B3FFA" w:rsidR="00847CAD" w:rsidRDefault="00E5567B" w:rsidP="0053754D">
      <w:pPr>
        <w:jc w:val="both"/>
        <w:rPr>
          <w:b/>
        </w:rPr>
      </w:pPr>
      <w:r w:rsidRPr="00E5567B">
        <w:rPr>
          <w:b/>
        </w:rPr>
        <w:cr/>
        <w:t xml:space="preserve">A minor comment.  I felt that the term "fluctuation" was overused in this paper. For example, changes in e0 and e† due to the anti-alcohol campaigns and those around the USSR dissolution are systematic changes due to identifiable, solid reasons. They seem too strong and too clear to be called "fluctuations". </w:t>
      </w:r>
    </w:p>
    <w:p w14:paraId="6DD04FEF" w14:textId="77777777" w:rsidR="00FF304E" w:rsidRDefault="00FF304E" w:rsidP="0053754D">
      <w:pPr>
        <w:jc w:val="both"/>
        <w:rPr>
          <w:b/>
        </w:rPr>
      </w:pPr>
    </w:p>
    <w:p w14:paraId="7D83633D" w14:textId="7BB23C8C" w:rsidR="00FF304E" w:rsidRPr="00674EC3" w:rsidRDefault="00FF304E" w:rsidP="0053754D">
      <w:pPr>
        <w:jc w:val="both"/>
      </w:pPr>
      <w:r w:rsidRPr="00674EC3">
        <w:t>That’s true. We tried as much as possible to avoid strong normative wording, but these morta</w:t>
      </w:r>
      <w:r w:rsidR="008D31E8">
        <w:t>l</w:t>
      </w:r>
      <w:r w:rsidRPr="00674EC3">
        <w:t>i</w:t>
      </w:r>
      <w:r w:rsidR="00674EC3">
        <w:t>t</w:t>
      </w:r>
      <w:r w:rsidRPr="00674EC3">
        <w:t>y changes were objectively massive by any definition. To better convey this, we:</w:t>
      </w:r>
    </w:p>
    <w:p w14:paraId="2467546A" w14:textId="1CF1A43A" w:rsidR="00FF304E" w:rsidRPr="00674EC3" w:rsidRDefault="00FF304E" w:rsidP="0053754D">
      <w:pPr>
        <w:jc w:val="both"/>
      </w:pPr>
    </w:p>
    <w:p w14:paraId="7D360069" w14:textId="705E85D7" w:rsidR="00C83017" w:rsidRDefault="00C83017" w:rsidP="0053754D">
      <w:pPr>
        <w:jc w:val="both"/>
      </w:pPr>
      <w:r w:rsidRPr="00674EC3">
        <w:t>Introduction: “</w:t>
      </w:r>
      <w:r w:rsidRPr="00622313">
        <w:rPr>
          <w:i/>
        </w:rPr>
        <w:t>Since the ‘sharpest fluctuation’ in age-specific mortality occurred over working ages…</w:t>
      </w:r>
      <w:r w:rsidRPr="00674EC3">
        <w:t>” changed to “</w:t>
      </w:r>
      <w:r w:rsidRPr="00622313">
        <w:rPr>
          <w:i/>
        </w:rPr>
        <w:t>Since the ‘largest deviations’ in age-specific mortality occurred over working ages</w:t>
      </w:r>
      <w:r w:rsidRPr="00674EC3">
        <w:t>”</w:t>
      </w:r>
    </w:p>
    <w:p w14:paraId="754178E5" w14:textId="6BC7E9B1" w:rsidR="00397B9A" w:rsidRDefault="00397B9A" w:rsidP="0053754D">
      <w:pPr>
        <w:jc w:val="both"/>
      </w:pPr>
    </w:p>
    <w:p w14:paraId="6F5D18EB" w14:textId="0EE164F2" w:rsidR="00397B9A" w:rsidRPr="00674EC3" w:rsidRDefault="00397B9A" w:rsidP="0053754D">
      <w:pPr>
        <w:jc w:val="both"/>
      </w:pPr>
      <w:r>
        <w:t>“</w:t>
      </w:r>
      <w:r w:rsidRPr="00622313">
        <w:rPr>
          <w:i/>
          <w:color w:val="000000"/>
        </w:rPr>
        <w:t>We complement the existing literature by focusing on the Central and Eastern European case, which shows atypical periods of mortality upheaval and substantial life expectancy fluctuation</w:t>
      </w:r>
      <w:r>
        <w:rPr>
          <w:color w:val="000000"/>
        </w:rPr>
        <w:t>” changed to “</w:t>
      </w:r>
      <w:r w:rsidRPr="00622313">
        <w:rPr>
          <w:i/>
          <w:color w:val="000000"/>
        </w:rPr>
        <w:t>We complement the existing literature by focusing on the Central and Eastern European case, which shows atypical periods of mortality upheaval and substantial life expectancy changes</w:t>
      </w:r>
      <w:r>
        <w:rPr>
          <w:color w:val="000000"/>
        </w:rPr>
        <w:t>”</w:t>
      </w:r>
    </w:p>
    <w:p w14:paraId="4DF323C2" w14:textId="77777777" w:rsidR="00FF304E" w:rsidRPr="00674EC3" w:rsidRDefault="00FF304E" w:rsidP="0053754D">
      <w:pPr>
        <w:jc w:val="both"/>
      </w:pPr>
      <w:r w:rsidRPr="00674EC3">
        <w:t>-</w:t>
      </w:r>
    </w:p>
    <w:p w14:paraId="2B5937B8" w14:textId="206A35BE" w:rsidR="00B20B9D" w:rsidRPr="00674EC3" w:rsidRDefault="00B20B9D" w:rsidP="0053754D">
      <w:pPr>
        <w:jc w:val="both"/>
      </w:pPr>
      <w:r w:rsidRPr="00674EC3">
        <w:t>Data and Methods: “</w:t>
      </w:r>
      <w:r w:rsidRPr="00622313">
        <w:rPr>
          <w:i/>
        </w:rPr>
        <w:t>Mortality fluctuated more strongly among men</w:t>
      </w:r>
      <w:r w:rsidRPr="00674EC3">
        <w:t>” changed to “</w:t>
      </w:r>
      <w:r w:rsidRPr="00622313">
        <w:rPr>
          <w:i/>
        </w:rPr>
        <w:t>Mortality change was larger and more abrupt among men</w:t>
      </w:r>
      <w:r w:rsidRPr="00674EC3">
        <w:t>”</w:t>
      </w:r>
    </w:p>
    <w:p w14:paraId="0225029B" w14:textId="212ACDF8" w:rsidR="00FF304E" w:rsidRDefault="00FF304E" w:rsidP="0053754D">
      <w:pPr>
        <w:jc w:val="both"/>
        <w:rPr>
          <w:b/>
        </w:rPr>
      </w:pPr>
      <w:r>
        <w:rPr>
          <w:b/>
        </w:rPr>
        <w:t>-</w:t>
      </w:r>
    </w:p>
    <w:p w14:paraId="022C5BE5" w14:textId="177B1F88" w:rsidR="004A7EA8" w:rsidRDefault="00B82DF6" w:rsidP="0053754D">
      <w:pPr>
        <w:jc w:val="both"/>
      </w:pPr>
      <w:r>
        <w:t>Discussion</w:t>
      </w:r>
    </w:p>
    <w:p w14:paraId="697558B4" w14:textId="1CCF10E3" w:rsidR="00B82DF6" w:rsidRDefault="00B82DF6" w:rsidP="0053754D">
      <w:pPr>
        <w:jc w:val="both"/>
        <w:rPr>
          <w:color w:val="000000"/>
        </w:rPr>
      </w:pPr>
      <w:r>
        <w:rPr>
          <w:color w:val="000000"/>
        </w:rPr>
        <w:lastRenderedPageBreak/>
        <w:t>“</w:t>
      </w:r>
      <w:r w:rsidRPr="00622313">
        <w:rPr>
          <w:i/>
          <w:color w:val="000000"/>
        </w:rPr>
        <w:t>Changes in life disparity were, to a large extent, caused by fluctuation in mid-life mortality, with different net effects depending on the country and time period</w:t>
      </w:r>
      <w:r>
        <w:rPr>
          <w:color w:val="000000"/>
        </w:rPr>
        <w:t>” changed to “</w:t>
      </w:r>
      <w:r w:rsidRPr="00622313">
        <w:rPr>
          <w:i/>
          <w:color w:val="000000"/>
        </w:rPr>
        <w:t>Changes in life disparity were, to a large extent, caused by changes in mid-life mortality, with different net effects depending on the country and time period.</w:t>
      </w:r>
      <w:r>
        <w:rPr>
          <w:color w:val="000000"/>
        </w:rPr>
        <w:t>”</w:t>
      </w:r>
    </w:p>
    <w:p w14:paraId="4EC78FBC" w14:textId="2E96065E" w:rsidR="00AA5C09" w:rsidRDefault="00AA5C09" w:rsidP="0053754D">
      <w:pPr>
        <w:jc w:val="both"/>
        <w:rPr>
          <w:color w:val="000000"/>
        </w:rPr>
      </w:pPr>
    </w:p>
    <w:p w14:paraId="4D93940D" w14:textId="7457C0AC" w:rsidR="00320978" w:rsidRDefault="00AA5C09" w:rsidP="0053754D">
      <w:pPr>
        <w:jc w:val="both"/>
        <w:rPr>
          <w:color w:val="000000"/>
        </w:rPr>
      </w:pPr>
      <w:r>
        <w:rPr>
          <w:color w:val="000000"/>
        </w:rPr>
        <w:t xml:space="preserve"> “</w:t>
      </w:r>
      <w:r w:rsidRPr="00C00CA1">
        <w:rPr>
          <w:i/>
          <w:color w:val="000000"/>
        </w:rPr>
        <w:t>Gillespie et al (2014) showed that fluctuation in lifespan variation in Canada, Japan and the United States was almost entirely driven by younger ages.</w:t>
      </w:r>
      <w:r>
        <w:rPr>
          <w:color w:val="000000"/>
        </w:rPr>
        <w:t>” Changed to “</w:t>
      </w:r>
      <w:r w:rsidRPr="00C00CA1">
        <w:rPr>
          <w:i/>
          <w:color w:val="000000"/>
        </w:rPr>
        <w:t>Gillespie et al (2014) showed that changes in lifespan variation in Canada, Japan and the United States was almost entirely driven by younger ages.</w:t>
      </w:r>
      <w:r>
        <w:rPr>
          <w:color w:val="000000"/>
        </w:rPr>
        <w:t>”</w:t>
      </w:r>
    </w:p>
    <w:p w14:paraId="440E4CA3" w14:textId="18F38D4B" w:rsidR="00320978" w:rsidRDefault="00320978" w:rsidP="0053754D">
      <w:pPr>
        <w:jc w:val="both"/>
        <w:rPr>
          <w:color w:val="000000"/>
        </w:rPr>
      </w:pPr>
    </w:p>
    <w:p w14:paraId="52802932" w14:textId="551B927B" w:rsidR="00320978" w:rsidRDefault="00320978" w:rsidP="0053754D">
      <w:pPr>
        <w:jc w:val="both"/>
        <w:rPr>
          <w:color w:val="000000"/>
        </w:rPr>
      </w:pPr>
      <w:r>
        <w:rPr>
          <w:color w:val="000000"/>
        </w:rPr>
        <w:t>“</w:t>
      </w:r>
      <w:r w:rsidRPr="004030FD">
        <w:rPr>
          <w:i/>
          <w:color w:val="000000"/>
        </w:rPr>
        <w:t>By contrast, in this study, we found highly fluctuating lifespan variation owed to fluctuation in both the younger and older age components.</w:t>
      </w:r>
      <w:r>
        <w:rPr>
          <w:color w:val="000000"/>
        </w:rPr>
        <w:t>” Changed to “</w:t>
      </w:r>
      <w:r w:rsidRPr="004030FD">
        <w:rPr>
          <w:i/>
          <w:color w:val="000000"/>
        </w:rPr>
        <w:t>By contrast, in this study, we found high irregularity in lifespan variation owed to changes in both the younger and older age components.</w:t>
      </w:r>
      <w:r>
        <w:rPr>
          <w:color w:val="000000"/>
        </w:rPr>
        <w:t>”</w:t>
      </w:r>
    </w:p>
    <w:p w14:paraId="1DCF5958" w14:textId="5ABFBF3D" w:rsidR="00320978" w:rsidRDefault="00320978" w:rsidP="0053754D">
      <w:pPr>
        <w:jc w:val="both"/>
        <w:rPr>
          <w:color w:val="000000"/>
        </w:rPr>
      </w:pPr>
    </w:p>
    <w:p w14:paraId="09186340" w14:textId="47DE0C85" w:rsidR="00320978" w:rsidRDefault="00320978" w:rsidP="0053754D">
      <w:pPr>
        <w:jc w:val="both"/>
        <w:rPr>
          <w:color w:val="000000"/>
        </w:rPr>
      </w:pPr>
      <w:r>
        <w:rPr>
          <w:color w:val="000000"/>
        </w:rPr>
        <w:t>“</w:t>
      </w:r>
      <w:r w:rsidRPr="00C312E0">
        <w:rPr>
          <w:i/>
          <w:color w:val="000000"/>
        </w:rPr>
        <w:t>As a result, the combination of mortality fluctuation over younger ages with growing mortality differentials at older adult ages can lead to widening between-country inequalities in life expectancy, alongside stable life disparity differences.</w:t>
      </w:r>
      <w:r>
        <w:rPr>
          <w:color w:val="000000"/>
        </w:rPr>
        <w:t>” Changed to “</w:t>
      </w:r>
      <w:r w:rsidRPr="00C312E0">
        <w:rPr>
          <w:i/>
          <w:color w:val="000000"/>
        </w:rPr>
        <w:t>As a result, the combination of mortality changes over younger ages with growing mortality differentials at older adult ages can lead to widening between-country inequalities in life expectancy, alongside stable life disparity differences.</w:t>
      </w:r>
      <w:r>
        <w:rPr>
          <w:color w:val="000000"/>
        </w:rPr>
        <w:t>”</w:t>
      </w:r>
    </w:p>
    <w:p w14:paraId="2C931E50" w14:textId="150C9A85" w:rsidR="00320978" w:rsidRDefault="00320978" w:rsidP="0053754D">
      <w:pPr>
        <w:jc w:val="both"/>
        <w:rPr>
          <w:color w:val="000000"/>
        </w:rPr>
      </w:pPr>
    </w:p>
    <w:p w14:paraId="1F908A81" w14:textId="0DDB84A0" w:rsidR="00320978" w:rsidRPr="00AA5C09" w:rsidRDefault="00320978" w:rsidP="0053754D">
      <w:pPr>
        <w:jc w:val="both"/>
        <w:rPr>
          <w:color w:val="000000"/>
        </w:rPr>
      </w:pPr>
      <w:r>
        <w:rPr>
          <w:color w:val="000000"/>
        </w:rPr>
        <w:t>“</w:t>
      </w:r>
      <w:r w:rsidRPr="00C312E0">
        <w:rPr>
          <w:i/>
          <w:color w:val="000000"/>
        </w:rPr>
        <w:t>Mortality associated to the most hazardous forms of alcohol consumption, such as alcohol liver disease or poisoning by exposure to alcohol, did not play a central role in the lifespan variation fluctuation.</w:t>
      </w:r>
      <w:r>
        <w:rPr>
          <w:color w:val="000000"/>
        </w:rPr>
        <w:t>” Changed to “</w:t>
      </w:r>
      <w:r w:rsidRPr="00C312E0">
        <w:rPr>
          <w:i/>
          <w:color w:val="000000"/>
        </w:rPr>
        <w:t xml:space="preserve">Mortality associated to the most hazardous forms of alcohol consumption, such as alcohol liver disease or poisoning by exposure to alcohol, did not play a central role </w:t>
      </w:r>
      <w:r w:rsidRPr="00C312E0">
        <w:rPr>
          <w:i/>
        </w:rPr>
        <w:t>in lifespan variation</w:t>
      </w:r>
      <w:r w:rsidR="001E5F1D" w:rsidRPr="00C312E0">
        <w:rPr>
          <w:i/>
        </w:rPr>
        <w:t xml:space="preserve"> levels or trends</w:t>
      </w:r>
      <w:r w:rsidRPr="00C312E0">
        <w:rPr>
          <w:i/>
        </w:rPr>
        <w:t>.</w:t>
      </w:r>
      <w:r w:rsidRPr="00C312E0">
        <w:t>”</w:t>
      </w:r>
    </w:p>
    <w:p w14:paraId="4512359C" w14:textId="5BF7232F" w:rsidR="0004327F" w:rsidRDefault="0004327F">
      <w:pPr>
        <w:rPr>
          <w:color w:val="000000"/>
        </w:rPr>
      </w:pPr>
      <w:r>
        <w:rPr>
          <w:color w:val="000000"/>
        </w:rPr>
        <w:br w:type="page"/>
      </w:r>
    </w:p>
    <w:p w14:paraId="3C771C6E" w14:textId="77777777" w:rsidR="0004327F" w:rsidRPr="00012759" w:rsidRDefault="0004327F" w:rsidP="0004327F">
      <w:pPr>
        <w:jc w:val="both"/>
        <w:rPr>
          <w:b/>
        </w:rPr>
      </w:pPr>
      <w:r w:rsidRPr="00012759">
        <w:rPr>
          <w:b/>
        </w:rPr>
        <w:lastRenderedPageBreak/>
        <w:t>Reply to reviewers</w:t>
      </w:r>
    </w:p>
    <w:p w14:paraId="408A724A" w14:textId="77777777" w:rsidR="0004327F" w:rsidRPr="004C1231" w:rsidRDefault="0004327F" w:rsidP="0004327F">
      <w:pPr>
        <w:autoSpaceDE w:val="0"/>
        <w:autoSpaceDN w:val="0"/>
        <w:adjustRightInd w:val="0"/>
        <w:jc w:val="both"/>
        <w:rPr>
          <w:rFonts w:cs="Times New Roman"/>
          <w:szCs w:val="24"/>
        </w:rPr>
      </w:pPr>
      <w:r w:rsidRPr="00F27036">
        <w:rPr>
          <w:rFonts w:cs="Times New Roman"/>
          <w:szCs w:val="24"/>
        </w:rPr>
        <w:t>We appreciate the reviewers' comments; their det</w:t>
      </w:r>
      <w:r>
        <w:rPr>
          <w:rFonts w:cs="Times New Roman"/>
          <w:szCs w:val="24"/>
        </w:rPr>
        <w:t xml:space="preserve">ailed reading of the manuscript </w:t>
      </w:r>
      <w:r w:rsidRPr="00F27036">
        <w:rPr>
          <w:rFonts w:cs="Times New Roman"/>
          <w:szCs w:val="24"/>
        </w:rPr>
        <w:t xml:space="preserve">and many suggestions that have greatly improved the article. </w:t>
      </w:r>
      <w:r w:rsidRPr="004C1231">
        <w:rPr>
          <w:rFonts w:cs="Times New Roman"/>
          <w:szCs w:val="24"/>
        </w:rPr>
        <w:t xml:space="preserve">Our responses to the reviewers’ comments are outlined below </w:t>
      </w:r>
      <w:r>
        <w:rPr>
          <w:rFonts w:cs="Times New Roman"/>
          <w:szCs w:val="24"/>
        </w:rPr>
        <w:t xml:space="preserve">in regular font with reviewer’s comments </w:t>
      </w:r>
      <w:r w:rsidRPr="004C1231">
        <w:rPr>
          <w:rFonts w:cs="Times New Roman"/>
          <w:szCs w:val="24"/>
        </w:rPr>
        <w:t>in bold font.</w:t>
      </w:r>
    </w:p>
    <w:p w14:paraId="330DB192" w14:textId="77777777" w:rsidR="00847CAD" w:rsidRPr="00AA5C09" w:rsidRDefault="00847CAD" w:rsidP="0053754D">
      <w:pPr>
        <w:jc w:val="both"/>
        <w:rPr>
          <w:color w:val="000000"/>
        </w:rPr>
      </w:pPr>
      <w:bookmarkStart w:id="0" w:name="_GoBack"/>
      <w:bookmarkEnd w:id="0"/>
    </w:p>
    <w:p w14:paraId="7BE8FA10" w14:textId="20004FC2" w:rsidR="007E573E" w:rsidRDefault="007E573E" w:rsidP="007E573E">
      <w:pPr>
        <w:jc w:val="both"/>
        <w:rPr>
          <w:b/>
        </w:rPr>
      </w:pPr>
      <w:r w:rsidRPr="00111E2D">
        <w:rPr>
          <w:b/>
        </w:rPr>
        <w:t>R</w:t>
      </w:r>
      <w:r>
        <w:rPr>
          <w:b/>
        </w:rPr>
        <w:t>eviewer 3</w:t>
      </w:r>
    </w:p>
    <w:p w14:paraId="5822CF3B" w14:textId="77777777" w:rsidR="007E573E" w:rsidRDefault="007E573E" w:rsidP="0053754D">
      <w:pPr>
        <w:autoSpaceDE w:val="0"/>
        <w:autoSpaceDN w:val="0"/>
        <w:adjustRightInd w:val="0"/>
        <w:jc w:val="both"/>
        <w:rPr>
          <w:b/>
        </w:rPr>
      </w:pPr>
    </w:p>
    <w:p w14:paraId="6E4A2EB7" w14:textId="00C31C56" w:rsidR="00847CAD" w:rsidRPr="00847CAD" w:rsidRDefault="00847CAD" w:rsidP="0053754D">
      <w:pPr>
        <w:autoSpaceDE w:val="0"/>
        <w:autoSpaceDN w:val="0"/>
        <w:adjustRightInd w:val="0"/>
        <w:jc w:val="both"/>
        <w:rPr>
          <w:b/>
        </w:rPr>
      </w:pPr>
      <w:r w:rsidRPr="00847CAD">
        <w:rPr>
          <w:b/>
        </w:rPr>
        <w:t>This is an important paper focusing on lifespan variation in the Central and Eastern European countries with their abnormal changes in life expectancy in the second half of the 20th – beginning of the 21st centuries. It explores the age- and cause-specific changes in lifespan disparity at different periods of life expectancy change.</w:t>
      </w:r>
    </w:p>
    <w:p w14:paraId="40221A53" w14:textId="77777777" w:rsidR="00847CAD" w:rsidRPr="00847CAD" w:rsidRDefault="00847CAD" w:rsidP="0053754D">
      <w:pPr>
        <w:autoSpaceDE w:val="0"/>
        <w:autoSpaceDN w:val="0"/>
        <w:adjustRightInd w:val="0"/>
        <w:jc w:val="both"/>
        <w:rPr>
          <w:b/>
        </w:rPr>
      </w:pPr>
    </w:p>
    <w:p w14:paraId="3F1D27BF" w14:textId="664CF978" w:rsidR="00847CAD" w:rsidRDefault="00847CAD" w:rsidP="0053754D">
      <w:pPr>
        <w:autoSpaceDE w:val="0"/>
        <w:autoSpaceDN w:val="0"/>
        <w:adjustRightInd w:val="0"/>
        <w:jc w:val="both"/>
        <w:rPr>
          <w:b/>
        </w:rPr>
      </w:pPr>
      <w:r w:rsidRPr="00847CAD">
        <w:rPr>
          <w:b/>
        </w:rPr>
        <w:t xml:space="preserve">Hope that my further comments would be useful in improving the manuscript. </w:t>
      </w:r>
    </w:p>
    <w:p w14:paraId="6FD3BB6B" w14:textId="77777777" w:rsidR="004B0A50" w:rsidRPr="0053754D" w:rsidRDefault="004B0A50" w:rsidP="004B0A50">
      <w:pPr>
        <w:jc w:val="both"/>
      </w:pPr>
      <w:r>
        <w:t>Thanks for the careful reading and suggestions. Below are the changes/responses to the comments.</w:t>
      </w:r>
    </w:p>
    <w:p w14:paraId="320B4F01" w14:textId="77777777" w:rsidR="004B0A50" w:rsidRPr="00847CAD" w:rsidRDefault="004B0A50" w:rsidP="0053754D">
      <w:pPr>
        <w:autoSpaceDE w:val="0"/>
        <w:autoSpaceDN w:val="0"/>
        <w:adjustRightInd w:val="0"/>
        <w:jc w:val="both"/>
        <w:rPr>
          <w:b/>
        </w:rPr>
      </w:pPr>
    </w:p>
    <w:p w14:paraId="2F57B1E4" w14:textId="77777777" w:rsidR="00847CAD" w:rsidRPr="00847CAD" w:rsidRDefault="00847CAD" w:rsidP="0053754D">
      <w:pPr>
        <w:autoSpaceDE w:val="0"/>
        <w:autoSpaceDN w:val="0"/>
        <w:adjustRightInd w:val="0"/>
        <w:jc w:val="both"/>
        <w:rPr>
          <w:b/>
        </w:rPr>
      </w:pPr>
    </w:p>
    <w:p w14:paraId="6012B5A7" w14:textId="7EEA5713" w:rsidR="00847CAD" w:rsidRDefault="00847CAD" w:rsidP="0053754D">
      <w:pPr>
        <w:autoSpaceDE w:val="0"/>
        <w:autoSpaceDN w:val="0"/>
        <w:adjustRightInd w:val="0"/>
        <w:jc w:val="both"/>
        <w:rPr>
          <w:b/>
        </w:rPr>
      </w:pPr>
      <w:r w:rsidRPr="00847CAD">
        <w:rPr>
          <w:b/>
        </w:rPr>
        <w:t>The introduction part is a little bit messy. The description of well-known trends in life</w:t>
      </w:r>
      <w:r>
        <w:rPr>
          <w:b/>
        </w:rPr>
        <w:t xml:space="preserve"> </w:t>
      </w:r>
      <w:r w:rsidRPr="00847CAD">
        <w:rPr>
          <w:b/>
        </w:rPr>
        <w:t>expectancy in CEE is not structured enough. I would recommend r</w:t>
      </w:r>
      <w:r>
        <w:rPr>
          <w:b/>
        </w:rPr>
        <w:t xml:space="preserve">eferring to three groups </w:t>
      </w:r>
      <w:r w:rsidRPr="00847CAD">
        <w:rPr>
          <w:b/>
        </w:rPr>
        <w:t xml:space="preserve">of countries within CEE – Central Europe, Baltic States </w:t>
      </w:r>
      <w:r>
        <w:rPr>
          <w:b/>
        </w:rPr>
        <w:t xml:space="preserve">and Former USSR (something like this). </w:t>
      </w:r>
      <w:r w:rsidRPr="00847CAD">
        <w:rPr>
          <w:b/>
        </w:rPr>
        <w:t>Besides that, it seems strange to paste the key findings at the end of introductory part.</w:t>
      </w:r>
    </w:p>
    <w:p w14:paraId="7F1B6C4F" w14:textId="55E46681" w:rsidR="004B0A50" w:rsidRDefault="004B0A50" w:rsidP="0053754D">
      <w:pPr>
        <w:autoSpaceDE w:val="0"/>
        <w:autoSpaceDN w:val="0"/>
        <w:adjustRightInd w:val="0"/>
        <w:jc w:val="both"/>
        <w:rPr>
          <w:b/>
        </w:rPr>
      </w:pPr>
    </w:p>
    <w:p w14:paraId="7ADEC3E8" w14:textId="385E219F" w:rsidR="004B0A50" w:rsidRDefault="008D31E8" w:rsidP="004B0A50">
      <w:pPr>
        <w:jc w:val="both"/>
      </w:pPr>
      <w:r>
        <w:t>A</w:t>
      </w:r>
      <w:r w:rsidR="004B0A50" w:rsidRPr="00807AB8">
        <w:t>s far as possible we grouped our discussion around three main groupings that experienced more similar trends: Central Europe + Bulgaria, the Baltic Countries, and other</w:t>
      </w:r>
      <w:r w:rsidR="000139CC">
        <w:t xml:space="preserve"> former Soviet Union</w:t>
      </w:r>
      <w:r w:rsidR="004B0A50" w:rsidRPr="00807AB8">
        <w:t xml:space="preserve"> </w:t>
      </w:r>
      <w:r w:rsidR="000139CC">
        <w:t>(</w:t>
      </w:r>
      <w:r w:rsidR="004B0A50" w:rsidRPr="00807AB8">
        <w:t>FSU</w:t>
      </w:r>
      <w:r w:rsidR="000139CC">
        <w:t>)</w:t>
      </w:r>
      <w:r w:rsidR="004B0A50" w:rsidRPr="00807AB8">
        <w:t xml:space="preserve"> countries. We hope that this patterning helps to anchor the trajectories geographically and has livened up some of the more dense sections of the paper.</w:t>
      </w:r>
      <w:r w:rsidR="00901FBE">
        <w:t xml:space="preserve"> </w:t>
      </w:r>
      <w:r w:rsidR="004B0A50">
        <w:t>In addition</w:t>
      </w:r>
      <w:r w:rsidR="00901FBE">
        <w:t>,</w:t>
      </w:r>
      <w:r w:rsidR="004B0A50">
        <w:t xml:space="preserve"> we recreated all decomposition figures in concordance with the grouping by adding a specific label and background color in each country. </w:t>
      </w:r>
    </w:p>
    <w:p w14:paraId="1153C982" w14:textId="30646C5A" w:rsidR="004B0A50" w:rsidRDefault="004B0A50" w:rsidP="004B0A50">
      <w:pPr>
        <w:jc w:val="both"/>
      </w:pPr>
    </w:p>
    <w:p w14:paraId="2F8870C3" w14:textId="77777777" w:rsidR="004B0A50" w:rsidRDefault="004B0A50" w:rsidP="004B0A50">
      <w:pPr>
        <w:jc w:val="both"/>
      </w:pPr>
      <w:r>
        <w:t>The text containing the main findings at the end of the introduction was deleted from this section and merged with the first paragraph of the discussion to highlight the main contribution of the study. It now reads:</w:t>
      </w:r>
    </w:p>
    <w:p w14:paraId="205AAD07" w14:textId="77777777" w:rsidR="004B0A50" w:rsidRDefault="004B0A50" w:rsidP="004B0A50">
      <w:pPr>
        <w:jc w:val="both"/>
      </w:pPr>
    </w:p>
    <w:p w14:paraId="51ACA442" w14:textId="09028C85" w:rsidR="004B0A50" w:rsidRDefault="004B0A50" w:rsidP="004B0A50">
      <w:pPr>
        <w:jc w:val="both"/>
        <w:rPr>
          <w:color w:val="000000"/>
        </w:rPr>
      </w:pPr>
      <w:r>
        <w:t xml:space="preserve">“… </w:t>
      </w:r>
      <w:r w:rsidRPr="00EC5E57">
        <w:rPr>
          <w:i/>
          <w:color w:val="000000"/>
        </w:rPr>
        <w:t xml:space="preserve">Over the study period, the acute mortality crises of the </w:t>
      </w:r>
      <w:r w:rsidRPr="00975961">
        <w:rPr>
          <w:i/>
          <w:color w:val="000000"/>
        </w:rPr>
        <w:t>1990s</w:t>
      </w:r>
      <w:r w:rsidRPr="00EC5E57">
        <w:rPr>
          <w:i/>
          <w:color w:val="000000"/>
        </w:rPr>
        <w:t xml:space="preserve"> caused greater year-to-year fluctuation in lifespan variation than in life expectancy. Life expectancy and life disparity moved independently from one another, particularly during periods of life expectancy stagnation caused by uneven age-specific mortality change. Fluctuations in life disparity were, to a large extent, caused by fluctuation in mid-life mortality that was directly or partially attributable to mortality amenable to alcohol consumption, with different net effects depending on the country and time period.</w:t>
      </w:r>
      <w:r>
        <w:rPr>
          <w:color w:val="000000"/>
        </w:rPr>
        <w:t>”</w:t>
      </w:r>
    </w:p>
    <w:p w14:paraId="363D52CF" w14:textId="7D15976E" w:rsidR="004B0A50" w:rsidRPr="00847CAD" w:rsidRDefault="004B0A50" w:rsidP="0053754D">
      <w:pPr>
        <w:autoSpaceDE w:val="0"/>
        <w:autoSpaceDN w:val="0"/>
        <w:adjustRightInd w:val="0"/>
        <w:jc w:val="both"/>
        <w:rPr>
          <w:b/>
        </w:rPr>
      </w:pPr>
    </w:p>
    <w:p w14:paraId="46AD0123" w14:textId="77777777" w:rsidR="00847CAD" w:rsidRPr="00847CAD" w:rsidRDefault="00847CAD" w:rsidP="0053754D">
      <w:pPr>
        <w:autoSpaceDE w:val="0"/>
        <w:autoSpaceDN w:val="0"/>
        <w:adjustRightInd w:val="0"/>
        <w:jc w:val="both"/>
        <w:rPr>
          <w:b/>
        </w:rPr>
      </w:pPr>
    </w:p>
    <w:p w14:paraId="36DD029B" w14:textId="0E9E2C38" w:rsidR="00847CAD" w:rsidRDefault="00847CAD" w:rsidP="0053754D">
      <w:pPr>
        <w:autoSpaceDE w:val="0"/>
        <w:autoSpaceDN w:val="0"/>
        <w:adjustRightInd w:val="0"/>
        <w:jc w:val="both"/>
        <w:rPr>
          <w:b/>
        </w:rPr>
      </w:pPr>
      <w:r w:rsidRPr="00847CAD">
        <w:rPr>
          <w:b/>
        </w:rPr>
        <w:t>In the methodology part, the authors do explain the</w:t>
      </w:r>
      <w:r>
        <w:rPr>
          <w:b/>
        </w:rPr>
        <w:t xml:space="preserve"> choice of e-dagger measure and provide </w:t>
      </w:r>
      <w:r w:rsidRPr="00847CAD">
        <w:rPr>
          <w:b/>
        </w:rPr>
        <w:t>the sensitivity analysis of other measures of lifespa</w:t>
      </w:r>
      <w:r>
        <w:rPr>
          <w:b/>
        </w:rPr>
        <w:t xml:space="preserve">n inequality. However, it seems that for the </w:t>
      </w:r>
      <w:r w:rsidRPr="00847CAD">
        <w:rPr>
          <w:b/>
        </w:rPr>
        <w:t>reader it would be more useful to have the discre</w:t>
      </w:r>
      <w:r>
        <w:rPr>
          <w:b/>
        </w:rPr>
        <w:t xml:space="preserve">te formulae of e-dagger and its age-and </w:t>
      </w:r>
      <w:r w:rsidRPr="00847CAD">
        <w:rPr>
          <w:b/>
        </w:rPr>
        <w:t>cause-specific decomposition used in this paper.</w:t>
      </w:r>
    </w:p>
    <w:p w14:paraId="65132B0C" w14:textId="773D8C5C" w:rsidR="00BC2C03" w:rsidRDefault="00BC2C03" w:rsidP="0053754D">
      <w:pPr>
        <w:autoSpaceDE w:val="0"/>
        <w:autoSpaceDN w:val="0"/>
        <w:adjustRightInd w:val="0"/>
        <w:jc w:val="both"/>
        <w:rPr>
          <w:b/>
        </w:rPr>
      </w:pPr>
    </w:p>
    <w:p w14:paraId="6AC1E128" w14:textId="4914D1F1" w:rsidR="00BC2C03" w:rsidRDefault="00BC2C03" w:rsidP="00BC2C03">
      <w:pPr>
        <w:jc w:val="both"/>
      </w:pPr>
      <w:r>
        <w:t>Regarding the decomposition, we added a paragraph explaining with more detail the decomposition method and how the age-cause specific effects between two time points are derived following the line integral model (Horiuchi et al 2008). In addition, we added a footnote with ou</w:t>
      </w:r>
      <w:r w:rsidR="00D733E9">
        <w:t>r discrete formula for e-dagger, and in the final version of the paper a link to a repository with the data and R-code to reproduce all results in the paper will be available.</w:t>
      </w:r>
      <w:r>
        <w:t xml:space="preserve"> </w:t>
      </w:r>
    </w:p>
    <w:p w14:paraId="2AE7AF5F" w14:textId="77777777" w:rsidR="00BC2C03" w:rsidRDefault="00BC2C03" w:rsidP="00BC2C03">
      <w:pPr>
        <w:jc w:val="both"/>
      </w:pPr>
    </w:p>
    <w:p w14:paraId="153FA24F" w14:textId="77777777" w:rsidR="00BC2C03" w:rsidRPr="00A369AA" w:rsidRDefault="00BC2C03"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i/>
        </w:rPr>
      </w:pPr>
      <w:r>
        <w:t>“</w:t>
      </w:r>
      <w:r w:rsidRPr="00A369AA">
        <w:rPr>
          <w:i/>
        </w:rPr>
        <w:t xml:space="preserve">The decomposition method used in this paper is based on the line integral model </w:t>
      </w:r>
      <w:r w:rsidRPr="004B50C8">
        <w:rPr>
          <w:i/>
        </w:rPr>
        <w:t>(Horiuchi et al 2008)</w:t>
      </w:r>
      <w:r w:rsidRPr="00A369AA">
        <w:rPr>
          <w:i/>
        </w:rPr>
        <w:t>. Suppose</w:t>
      </w:r>
      <w:r w:rsidRPr="004B50C8">
        <w:rPr>
          <w:i/>
        </w:rPr>
        <w:t xml:space="preserve"> </w:t>
      </w:r>
      <m:oMath>
        <m:r>
          <w:rPr>
            <w:rFonts w:ascii="Cambria Math" w:hAnsi="Cambria Math"/>
          </w:rPr>
          <m:t>f</m:t>
        </m:r>
      </m:oMath>
      <w:r w:rsidRPr="004B50C8">
        <w:rPr>
          <w:i/>
        </w:rPr>
        <w:t xml:space="preserve"> </w:t>
      </w:r>
      <w:r w:rsidRPr="00A369AA">
        <w:rPr>
          <w:i/>
        </w:rPr>
        <w:t>(e.g.</w:t>
      </w:r>
      <w:r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4B50C8">
        <w:rPr>
          <w:rFonts w:eastAsiaTheme="minorEastAsia"/>
          <w:i/>
        </w:rPr>
        <w:t xml:space="preserve"> or life expectancy</w:t>
      </w:r>
      <w:r w:rsidRPr="00A369AA">
        <w:rPr>
          <w:i/>
        </w:rPr>
        <w:t xml:space="preserve">) is a differentiable function of </w:t>
      </w:r>
      <m:oMath>
        <m:r>
          <w:rPr>
            <w:rFonts w:ascii="Cambria Math" w:hAnsi="Cambria Math"/>
          </w:rPr>
          <m:t>n</m:t>
        </m:r>
      </m:oMath>
      <w:r w:rsidRPr="004B50C8">
        <w:rPr>
          <w:rFonts w:eastAsiaTheme="minorEastAsia"/>
          <w:i/>
        </w:rPr>
        <w:t xml:space="preserve"> </w:t>
      </w:r>
      <w:r w:rsidRPr="004B50C8">
        <w:rPr>
          <w:i/>
        </w:rPr>
        <w:t xml:space="preserve">covariates (e.g. each age-cause </w:t>
      </w:r>
      <w:r w:rsidRPr="00A369AA">
        <w:rPr>
          <w:i/>
        </w:rPr>
        <w:t xml:space="preserve">specific mortality rate) denoted by the vector </w:t>
      </w:r>
      <m:oMath>
        <m:r>
          <m:rPr>
            <m:sty m:val="bi"/>
          </m:rP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m:t>
            </m:r>
          </m:e>
          <m:sup>
            <m:r>
              <w:rPr>
                <w:rFonts w:ascii="Cambria Math" w:hAnsi="Cambria Math"/>
              </w:rPr>
              <m:t>T</m:t>
            </m:r>
          </m:sup>
        </m:sSup>
      </m:oMath>
      <w:r w:rsidRPr="00A369AA">
        <w:rPr>
          <w:i/>
        </w:rPr>
        <w:t xml:space="preserve">. Assume that </w:t>
      </w:r>
      <m:oMath>
        <m:r>
          <w:rPr>
            <w:rFonts w:ascii="Cambria Math" w:hAnsi="Cambria Math"/>
          </w:rPr>
          <m:t>f</m:t>
        </m:r>
      </m:oMath>
      <w:r w:rsidRPr="004B50C8">
        <w:rPr>
          <w:i/>
        </w:rPr>
        <w:t xml:space="preserve"> </w:t>
      </w:r>
      <w:r w:rsidRPr="00A369AA">
        <w:rPr>
          <w:i/>
        </w:rPr>
        <w:t xml:space="preserve">and </w:t>
      </w:r>
      <m:oMath>
        <m:r>
          <m:rPr>
            <m:sty m:val="bi"/>
          </m:rPr>
          <w:rPr>
            <w:rFonts w:ascii="Cambria Math" w:hAnsi="Cambria Math"/>
          </w:rPr>
          <m:t>A</m:t>
        </m:r>
      </m:oMath>
      <w:r w:rsidRPr="004B50C8">
        <w:rPr>
          <w:i/>
        </w:rPr>
        <w:t xml:space="preserve"> depend </w:t>
      </w:r>
      <w:r w:rsidRPr="00A369AA">
        <w:rPr>
          <w:i/>
        </w:rPr>
        <w:t xml:space="preserve">on the underlying dimension </w:t>
      </w:r>
      <m:oMath>
        <m:r>
          <w:rPr>
            <w:rFonts w:ascii="Cambria Math" w:hAnsi="Cambria Math"/>
          </w:rPr>
          <m:t>t</m:t>
        </m:r>
      </m:oMath>
      <w:r w:rsidRPr="00A369AA">
        <w:rPr>
          <w:i/>
        </w:rPr>
        <w:t xml:space="preserve">, which is time in this case, </w:t>
      </w:r>
      <w:r w:rsidRPr="004B50C8">
        <w:rPr>
          <w:i/>
        </w:rPr>
        <w:t xml:space="preserve">and that we have observations </w:t>
      </w:r>
      <w:r w:rsidRPr="00A369AA">
        <w:rPr>
          <w:i/>
        </w:rPr>
        <w:t>available in two time points</w:t>
      </w:r>
      <w:r w:rsidRPr="004B50C8">
        <w:rPr>
          <w:i/>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Assuming that </w:t>
      </w:r>
      <m:oMath>
        <m:r>
          <m:rPr>
            <m:sty m:val="bi"/>
          </m:rPr>
          <w:rPr>
            <w:rFonts w:ascii="Cambria Math" w:hAnsi="Cambria Math"/>
          </w:rPr>
          <m:t>A</m:t>
        </m:r>
      </m:oMath>
      <w:r w:rsidRPr="004B50C8">
        <w:rPr>
          <w:i/>
        </w:rPr>
        <w:t xml:space="preserve"> is a differentiable </w:t>
      </w:r>
      <w:r w:rsidRPr="00A369AA">
        <w:rPr>
          <w:i/>
        </w:rPr>
        <w:t xml:space="preserve">function of </w:t>
      </w:r>
      <m:oMath>
        <m:r>
          <w:rPr>
            <w:rFonts w:ascii="Cambria Math" w:hAnsi="Cambria Math"/>
          </w:rPr>
          <m:t>t</m:t>
        </m:r>
      </m:oMath>
      <w:r w:rsidRPr="004B50C8">
        <w:rPr>
          <w:i/>
        </w:rPr>
        <w:t xml:space="preserve"> </w:t>
      </w:r>
      <w:r w:rsidRPr="00A369AA">
        <w:rPr>
          <w:i/>
        </w:rPr>
        <w:t xml:space="preserve">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the difference in </w:t>
      </w:r>
      <m:oMath>
        <m:r>
          <w:rPr>
            <w:rFonts w:ascii="Cambria Math" w:hAnsi="Cambria Math"/>
          </w:rPr>
          <m:t>f</m:t>
        </m:r>
      </m:oMath>
      <w:r w:rsidRPr="00A369AA">
        <w:rPr>
          <w:i/>
        </w:rPr>
        <w:t xml:space="preserve"> 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B50C8">
        <w:rPr>
          <w:i/>
        </w:rPr>
        <w:t xml:space="preserve">can be </w:t>
      </w:r>
      <w:r w:rsidRPr="00A369AA">
        <w:rPr>
          <w:i/>
        </w:rPr>
        <w:t>expressed as follows:</w:t>
      </w:r>
    </w:p>
    <w:p w14:paraId="45427F86" w14:textId="77777777" w:rsidR="00BC2C03" w:rsidRPr="004B50C8" w:rsidRDefault="00967F30"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sub>
                <m: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sup>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e>
              </m:nary>
            </m:e>
          </m:nary>
          <m:r>
            <w:rPr>
              <w:rFonts w:ascii="Cambria Math" w:eastAsiaTheme="minorEastAsia" w:hAnsi="Cambria Math"/>
            </w:rPr>
            <m:t>,                                 (2)</m:t>
          </m:r>
        </m:oMath>
      </m:oMathPara>
    </w:p>
    <w:p w14:paraId="232314D1" w14:textId="77777777" w:rsidR="00BC2C03" w:rsidRPr="00A369AA" w:rsidRDefault="00BC2C03"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r w:rsidRPr="00A369AA">
        <w:rPr>
          <w:i/>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 is the total change in </w:t>
      </w:r>
      <m:oMath>
        <m:r>
          <w:rPr>
            <w:rFonts w:ascii="Cambria Math" w:hAnsi="Cambria Math"/>
          </w:rPr>
          <m:t>f</m:t>
        </m:r>
      </m:oMath>
      <w:r w:rsidRPr="00A369AA">
        <w:rPr>
          <w:i/>
        </w:rPr>
        <w:t xml:space="preserve"> (e.g.</w:t>
      </w:r>
      <w:r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4B50C8">
        <w:rPr>
          <w:rFonts w:eastAsiaTheme="minorEastAsia"/>
          <w:i/>
        </w:rPr>
        <w:t xml:space="preserve"> or life expectancy</w:t>
      </w:r>
      <w:r w:rsidRPr="00A369AA">
        <w:rPr>
          <w:i/>
        </w:rPr>
        <w:t xml:space="preserve">) produced by changes in the </w:t>
      </w:r>
      <m:oMath>
        <m:r>
          <w:rPr>
            <w:rFonts w:ascii="Cambria Math" w:hAnsi="Cambria Math"/>
          </w:rPr>
          <m:t>i</m:t>
        </m:r>
      </m:oMath>
      <w:r w:rsidRPr="00A369AA">
        <w:rPr>
          <w:i/>
        </w:rPr>
        <w:t xml:space="preserve">-th covariate,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369AA">
        <w:rPr>
          <w:i/>
        </w:rPr>
        <w:t xml:space="preserve">. The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's in equation </w:t>
      </w:r>
      <w:r w:rsidRPr="004B50C8">
        <w:rPr>
          <w:i/>
        </w:rPr>
        <w:t>(2)</w:t>
      </w:r>
      <w:r w:rsidRPr="00A369AA">
        <w:rPr>
          <w:i/>
        </w:rPr>
        <w:t xml:space="preserve"> were computed with numerical integration following the algorithm suggested by </w:t>
      </w:r>
      <w:r w:rsidRPr="004B50C8">
        <w:rPr>
          <w:i/>
        </w:rPr>
        <w:t>Horiuchi et al (2008)</w:t>
      </w:r>
      <w:r w:rsidRPr="00A369AA">
        <w:rPr>
          <w:i/>
        </w:rPr>
        <w:t>. This method has the advantage of assuming that covariates change gradually along the time dimension.</w:t>
      </w:r>
    </w:p>
    <w:p w14:paraId="13E2674D" w14:textId="77777777" w:rsidR="00BC2C03" w:rsidRPr="00A369AA" w:rsidRDefault="00BC2C03"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i/>
          <w:sz w:val="20"/>
          <w:szCs w:val="20"/>
        </w:rPr>
      </w:pPr>
    </w:p>
    <w:p w14:paraId="6FA1B27C" w14:textId="77777777" w:rsidR="00BC2C03" w:rsidRPr="004B50C8" w:rsidRDefault="00BC2C03" w:rsidP="00BC2C03">
      <w:pPr>
        <w:jc w:val="both"/>
        <w:rPr>
          <w:i/>
        </w:rPr>
      </w:pPr>
      <w:r w:rsidRPr="004B50C8">
        <w:rPr>
          <w:rFonts w:eastAsia="Times New Roman" w:cs="Times New Roman"/>
          <w:i/>
          <w:color w:val="000000"/>
          <w:szCs w:val="24"/>
        </w:rPr>
        <w:t>We perform such decomposition by single age, period and cause of death..”</w:t>
      </w:r>
    </w:p>
    <w:p w14:paraId="0F3E9DD6" w14:textId="77777777" w:rsidR="00BC2C03" w:rsidRPr="00847CAD" w:rsidRDefault="00BC2C03" w:rsidP="0053754D">
      <w:pPr>
        <w:autoSpaceDE w:val="0"/>
        <w:autoSpaceDN w:val="0"/>
        <w:adjustRightInd w:val="0"/>
        <w:jc w:val="both"/>
        <w:rPr>
          <w:b/>
        </w:rPr>
      </w:pPr>
    </w:p>
    <w:p w14:paraId="63BAA5DB" w14:textId="77777777" w:rsidR="00847CAD" w:rsidRPr="00847CAD" w:rsidRDefault="00847CAD" w:rsidP="0053754D">
      <w:pPr>
        <w:autoSpaceDE w:val="0"/>
        <w:autoSpaceDN w:val="0"/>
        <w:adjustRightInd w:val="0"/>
        <w:jc w:val="both"/>
        <w:rPr>
          <w:b/>
        </w:rPr>
      </w:pPr>
    </w:p>
    <w:p w14:paraId="783C5E48" w14:textId="1AE047B6" w:rsidR="00847CAD" w:rsidRDefault="00847CAD" w:rsidP="0053754D">
      <w:pPr>
        <w:autoSpaceDE w:val="0"/>
        <w:autoSpaceDN w:val="0"/>
        <w:adjustRightInd w:val="0"/>
        <w:jc w:val="both"/>
        <w:rPr>
          <w:b/>
        </w:rPr>
      </w:pPr>
      <w:r w:rsidRPr="00847CAD">
        <w:rPr>
          <w:b/>
        </w:rPr>
        <w:t>I guess that the choice of the periods for analysis (stagnati</w:t>
      </w:r>
      <w:r>
        <w:rPr>
          <w:b/>
        </w:rPr>
        <w:t xml:space="preserve">on, improvement, deterioration, </w:t>
      </w:r>
      <w:r w:rsidRPr="00847CAD">
        <w:rPr>
          <w:b/>
        </w:rPr>
        <w:t>divergence and convergence) should be discussed more an</w:t>
      </w:r>
      <w:r>
        <w:rPr>
          <w:b/>
        </w:rPr>
        <w:t xml:space="preserve">d in the methodology section. I am </w:t>
      </w:r>
      <w:r w:rsidRPr="00847CAD">
        <w:rPr>
          <w:b/>
        </w:rPr>
        <w:t>not sure that the last period of convergence started in 2000. A little bit later?</w:t>
      </w:r>
    </w:p>
    <w:p w14:paraId="292BCE43" w14:textId="31679A4A" w:rsidR="00955DBF" w:rsidRDefault="00955DBF" w:rsidP="0053754D">
      <w:pPr>
        <w:autoSpaceDE w:val="0"/>
        <w:autoSpaceDN w:val="0"/>
        <w:adjustRightInd w:val="0"/>
        <w:jc w:val="both"/>
        <w:rPr>
          <w:b/>
        </w:rPr>
      </w:pPr>
    </w:p>
    <w:p w14:paraId="6E96CA98" w14:textId="415E6B00" w:rsidR="006205B0" w:rsidRPr="006205B0" w:rsidRDefault="006205B0" w:rsidP="0053754D">
      <w:pPr>
        <w:autoSpaceDE w:val="0"/>
        <w:autoSpaceDN w:val="0"/>
        <w:adjustRightInd w:val="0"/>
        <w:jc w:val="both"/>
      </w:pPr>
      <w:r w:rsidRPr="006205B0">
        <w:t xml:space="preserve">As suggested by the reviewer, we now included a full description in the methods section on </w:t>
      </w:r>
    </w:p>
    <w:p w14:paraId="392FCA80" w14:textId="7237A895" w:rsidR="006205B0" w:rsidRPr="00CC3617" w:rsidRDefault="00955DBF" w:rsidP="006205B0">
      <w:pPr>
        <w:autoSpaceDE w:val="0"/>
        <w:autoSpaceDN w:val="0"/>
        <w:adjustRightInd w:val="0"/>
        <w:jc w:val="both"/>
      </w:pPr>
      <w:r w:rsidRPr="006205B0">
        <w:t>h</w:t>
      </w:r>
      <w:r w:rsidR="006205B0" w:rsidRPr="006205B0">
        <w:t>ow the periods were determined.</w:t>
      </w:r>
      <w:r w:rsidR="006205B0">
        <w:t xml:space="preserve"> </w:t>
      </w:r>
      <w:r w:rsidR="006205B0" w:rsidRPr="00CC3617">
        <w:t xml:space="preserve">Regarding the post-2000 convergence period. </w:t>
      </w:r>
      <w:r w:rsidR="006205B0">
        <w:t>The statistical break point found with the hierarchical estimation was 2001. We decided to start the period in 2000 to cover since the start of the 21</w:t>
      </w:r>
      <w:r w:rsidR="006205B0" w:rsidRPr="00CC3617">
        <w:rPr>
          <w:vertAlign w:val="superscript"/>
        </w:rPr>
        <w:t>st</w:t>
      </w:r>
      <w:r w:rsidR="006205B0">
        <w:t xml:space="preserve"> century. While it is true that some countries such as Russia and Ukraine started later following the same trend of increasing life expectancy, the coefficient of variation after 2000 continued decreasing. To alleviate any concerns about the choice and labels of the periods that we use,  we added the next paragraph.</w:t>
      </w:r>
    </w:p>
    <w:p w14:paraId="629941BD" w14:textId="7EB8E7B5" w:rsidR="00955DBF" w:rsidRDefault="00955DBF" w:rsidP="00955DBF">
      <w:pPr>
        <w:jc w:val="both"/>
        <w:rPr>
          <w:i/>
          <w:color w:val="000000"/>
        </w:rPr>
      </w:pPr>
    </w:p>
    <w:p w14:paraId="2C7BD74A" w14:textId="77777777" w:rsidR="00955DBF" w:rsidRPr="00190709" w:rsidRDefault="00955DBF" w:rsidP="00955DBF">
      <w:pPr>
        <w:jc w:val="both"/>
        <w:rPr>
          <w:i/>
        </w:rPr>
      </w:pPr>
      <w:r>
        <w:rPr>
          <w:i/>
          <w:color w:val="000000"/>
        </w:rPr>
        <w:t xml:space="preserve"> “</w:t>
      </w:r>
      <w:r w:rsidRPr="00190709">
        <w:rPr>
          <w:i/>
          <w:color w:val="000000"/>
        </w:rPr>
        <w:t xml:space="preserve">We focused on five periods determined by trends of the coefficient of variation of male life expectancy. from 1960 to 1980 </w:t>
      </w:r>
      <w:r w:rsidRPr="00B40E2C">
        <w:rPr>
          <w:i/>
          <w:color w:val="000000"/>
        </w:rPr>
        <w:t>labeled</w:t>
      </w:r>
      <w:r w:rsidRPr="00190709">
        <w:rPr>
          <w:i/>
          <w:color w:val="000000"/>
        </w:rPr>
        <w:t xml:space="preserve"> ``</w:t>
      </w:r>
      <w:r>
        <w:rPr>
          <w:i/>
          <w:color w:val="000000"/>
        </w:rPr>
        <w:t xml:space="preserve">Stagnation'', ``Improvements'' </w:t>
      </w:r>
      <w:r w:rsidRPr="00190709">
        <w:rPr>
          <w:i/>
          <w:color w:val="000000"/>
        </w:rPr>
        <w:t>from 1980 to 1988, ``Deterioration'' in 1988-1994, ``Divergence between 1994</w:t>
      </w:r>
      <w:r>
        <w:rPr>
          <w:i/>
          <w:color w:val="000000"/>
        </w:rPr>
        <w:t xml:space="preserve"> and 2000, and ``Convergence'' </w:t>
      </w:r>
      <w:r w:rsidRPr="00190709">
        <w:rPr>
          <w:i/>
          <w:color w:val="000000"/>
        </w:rPr>
        <w:t>thereafter. Periods were determined using a divisive hierarchical estimation algorithm for multiple change points analysis</w:t>
      </w:r>
      <w:r>
        <w:rPr>
          <w:i/>
          <w:color w:val="800000"/>
        </w:rPr>
        <w:t xml:space="preserve">. </w:t>
      </w:r>
      <w:r w:rsidRPr="00190709">
        <w:rPr>
          <w:i/>
          <w:color w:val="000000"/>
        </w:rPr>
        <w:t xml:space="preserve">The statistical break points were 1960, 1976, 1986, 1993 and 2001. We instead used complete decades or historical events which made the interpretation of the results easier, which were all within 3 years of the cut points. For example, the period 1960-1979 (complete years) included the two decades with no substantial changes in the coefficient of variation between life expectancies. The next break point (1986) was extended to 1988 to include completely </w:t>
      </w:r>
      <w:r w:rsidRPr="00B40E2C">
        <w:rPr>
          <w:i/>
          <w:color w:val="000000"/>
        </w:rPr>
        <w:t>Gorbachev’s</w:t>
      </w:r>
      <w:r w:rsidRPr="00190709">
        <w:rPr>
          <w:i/>
          <w:color w:val="000000"/>
        </w:rPr>
        <w:t xml:space="preserve"> anti-alcohol campaign, which was implemented in the period 1985-1988. The following break point was used exactly since it allows the period 1988-1993 to include </w:t>
      </w:r>
      <w:r w:rsidRPr="00190709">
        <w:rPr>
          <w:i/>
          <w:color w:val="000000"/>
        </w:rPr>
        <w:lastRenderedPageBreak/>
        <w:t>the dissolution of the Soviet Union in late 1991 and the largest drops in life expectancy in Russia, Latvia, Estonia, Lithuania, and less marked in Ukraine, Belarus, and Bulgaria in 1992-1993. Finally, the year 2001 was changed to 2000 to start with the 21st century.</w:t>
      </w:r>
      <w:r>
        <w:rPr>
          <w:i/>
          <w:color w:val="000000"/>
        </w:rPr>
        <w:t>”</w:t>
      </w:r>
    </w:p>
    <w:p w14:paraId="4D750B47" w14:textId="44126631" w:rsidR="00955DBF" w:rsidRDefault="00955DBF" w:rsidP="0053754D">
      <w:pPr>
        <w:autoSpaceDE w:val="0"/>
        <w:autoSpaceDN w:val="0"/>
        <w:adjustRightInd w:val="0"/>
        <w:jc w:val="both"/>
        <w:rPr>
          <w:b/>
        </w:rPr>
      </w:pPr>
    </w:p>
    <w:p w14:paraId="338DBEA2" w14:textId="77777777" w:rsidR="00847CAD" w:rsidRPr="00847CAD" w:rsidRDefault="00847CAD" w:rsidP="0053754D">
      <w:pPr>
        <w:autoSpaceDE w:val="0"/>
        <w:autoSpaceDN w:val="0"/>
        <w:adjustRightInd w:val="0"/>
        <w:jc w:val="both"/>
        <w:rPr>
          <w:b/>
        </w:rPr>
      </w:pPr>
    </w:p>
    <w:p w14:paraId="512A8A27" w14:textId="653F2A90" w:rsidR="00847CAD" w:rsidRDefault="00847CAD" w:rsidP="0053754D">
      <w:pPr>
        <w:autoSpaceDE w:val="0"/>
        <w:autoSpaceDN w:val="0"/>
        <w:adjustRightInd w:val="0"/>
        <w:jc w:val="both"/>
        <w:rPr>
          <w:b/>
        </w:rPr>
      </w:pPr>
      <w:r w:rsidRPr="00847CAD">
        <w:rPr>
          <w:b/>
        </w:rPr>
        <w:t>Data from HMD for 12 countries and HCoD for 8 countries ar</w:t>
      </w:r>
      <w:r>
        <w:rPr>
          <w:b/>
        </w:rPr>
        <w:t xml:space="preserve">e used. Is it impossible to get the </w:t>
      </w:r>
      <w:r w:rsidRPr="00847CAD">
        <w:rPr>
          <w:b/>
        </w:rPr>
        <w:t>rest cause-specific data from the WHO mortality datab</w:t>
      </w:r>
      <w:r>
        <w:rPr>
          <w:b/>
        </w:rPr>
        <w:t xml:space="preserve">ases? I realize that it is much more </w:t>
      </w:r>
      <w:r w:rsidRPr="00847CAD">
        <w:rPr>
          <w:b/>
        </w:rPr>
        <w:t>convenient and reliable to get the data from the “scie</w:t>
      </w:r>
      <w:r>
        <w:rPr>
          <w:b/>
        </w:rPr>
        <w:t xml:space="preserve">ntific” databases where all the data are </w:t>
      </w:r>
      <w:r w:rsidRPr="00847CAD">
        <w:rPr>
          <w:b/>
        </w:rPr>
        <w:t>checked for their consistency. But I believe that th</w:t>
      </w:r>
      <w:r>
        <w:rPr>
          <w:b/>
        </w:rPr>
        <w:t xml:space="preserve">e authors could obtain the data from the </w:t>
      </w:r>
      <w:r w:rsidRPr="00847CAD">
        <w:rPr>
          <w:b/>
        </w:rPr>
        <w:t>WHO mortality databases as well or at least to disc</w:t>
      </w:r>
      <w:r>
        <w:rPr>
          <w:b/>
        </w:rPr>
        <w:t xml:space="preserve">uss why it is impossible to use those data for </w:t>
      </w:r>
      <w:r w:rsidRPr="00847CAD">
        <w:rPr>
          <w:b/>
        </w:rPr>
        <w:t>4 countries that are not covered in HCoD.</w:t>
      </w:r>
    </w:p>
    <w:p w14:paraId="4350D252" w14:textId="1BFD96AA" w:rsidR="000E5CC6" w:rsidRDefault="000E5CC6" w:rsidP="0053754D">
      <w:pPr>
        <w:autoSpaceDE w:val="0"/>
        <w:autoSpaceDN w:val="0"/>
        <w:adjustRightInd w:val="0"/>
        <w:jc w:val="both"/>
        <w:rPr>
          <w:b/>
        </w:rPr>
      </w:pPr>
    </w:p>
    <w:p w14:paraId="1924708B" w14:textId="77777777" w:rsidR="000E5CC6" w:rsidRDefault="000E5CC6" w:rsidP="000E5CC6">
      <w:pPr>
        <w:autoSpaceDE w:val="0"/>
        <w:autoSpaceDN w:val="0"/>
        <w:adjustRightInd w:val="0"/>
        <w:jc w:val="both"/>
      </w:pPr>
      <w:r>
        <w:t xml:space="preserve">We followed the reviewer’s suggestion and analyzed data from WHO for Bulgaria, Hungary, Slovakia and Slovenia. All except one (Slovakia) experienced the change from ICD9 to ICD10 in the period studied in the manuscript from 1994 to 2010. Bulgaria started coding deaths with ICD10 in 2005, Hungary in 1996, and Slovenia in 1997. </w:t>
      </w:r>
    </w:p>
    <w:p w14:paraId="25FE4E87" w14:textId="77777777" w:rsidR="000E5CC6" w:rsidRDefault="000E5CC6" w:rsidP="000E5CC6">
      <w:pPr>
        <w:autoSpaceDE w:val="0"/>
        <w:autoSpaceDN w:val="0"/>
        <w:adjustRightInd w:val="0"/>
        <w:jc w:val="both"/>
      </w:pPr>
    </w:p>
    <w:p w14:paraId="28175634" w14:textId="77777777" w:rsidR="000E5CC6" w:rsidRDefault="000E5CC6" w:rsidP="000E5CC6">
      <w:pPr>
        <w:jc w:val="both"/>
      </w:pPr>
      <w:r>
        <w:t>There are several limitations of using WHO data for alcohol related mortality in this set of countries. Firstly, deaths coded with ICD9 (Table 5. ICD9-9 from WHO documentation) are not sufficiently disaggregated to analyze some of the specific causes of death that we are interested in. For example, the codes that in ICD10 (F10) account for deaths due to alcohol psychosis, alcohol abuse, and alcohol dependence syndrome in ICD9 are 291, 305.0, 303.0, 303.9. However, 291 is grouped in the category of other psychoses (codes 291-294, 297-299) in WHO data, 305 is not available and the rest are grouped in 303 (we use this group for our analysis in this section). Similarly, deaths caused by poisoning by exposure to alcohol (X45 in ICD10) are not ungrouped in the WHO data, all of them (E860.0, E860.1, E860.2 and E860.9) are in the category “</w:t>
      </w:r>
      <w:r w:rsidRPr="00DA4D9B">
        <w:t>Accidental poisoning by other solid and liquid substances</w:t>
      </w:r>
      <w:r>
        <w:t>” which includes E860-E866, and 980.0, 980.1 and 790.3 (Excessive blood level of alcohol) do not appear in the list. The bridge codes were taken from the Center for Disease Control and Prevention from USA.</w:t>
      </w:r>
    </w:p>
    <w:p w14:paraId="2252D578" w14:textId="77777777" w:rsidR="000E5CC6" w:rsidRDefault="000E5CC6" w:rsidP="000E5CC6">
      <w:pPr>
        <w:jc w:val="both"/>
      </w:pPr>
    </w:p>
    <w:p w14:paraId="5ED4287F" w14:textId="572C68C9" w:rsidR="000E5CC6" w:rsidRDefault="000E5CC6" w:rsidP="000E5CC6">
      <w:pPr>
        <w:jc w:val="both"/>
      </w:pPr>
      <w:r>
        <w:t>As noted above</w:t>
      </w:r>
      <w:r w:rsidR="00842B6D">
        <w:t>,</w:t>
      </w:r>
      <w:r>
        <w:t xml:space="preserve"> the relationship</w:t>
      </w:r>
      <w:r w:rsidR="00842B6D">
        <w:t xml:space="preserve"> of</w:t>
      </w:r>
      <w:r>
        <w:t xml:space="preserve"> ICD codes when changing revisions is very complex for </w:t>
      </w:r>
      <w:r w:rsidR="00842B6D">
        <w:t>many</w:t>
      </w:r>
      <w:r>
        <w:t xml:space="preserve"> conditions. Consequently, various levels of the classification (e.g. alcohol related mortality) do not reflect actual long-term trends in mortality. Moreover, available raw data cannot be used to draw any conclusions about patterns without a thorough analysis of the quality of the data (Vallin et al. 1988). In order to </w:t>
      </w:r>
      <w:r w:rsidR="00F636B9">
        <w:t>e</w:t>
      </w:r>
      <w:r>
        <w:t>stablish comparable continuous time series on causes of death it is necessary to reconstruct mortality trends, assess the statistical impact of changes of coding practices, and a</w:t>
      </w:r>
      <w:r w:rsidR="00884192">
        <w:t>n</w:t>
      </w:r>
      <w:r>
        <w:t xml:space="preserve"> automatized routine that allows to compare between countries described elsewhere (</w:t>
      </w:r>
      <w:r w:rsidRPr="00F8181A">
        <w:t>Pechholdová</w:t>
      </w:r>
      <w:r>
        <w:t xml:space="preserve"> et al 2017).</w:t>
      </w:r>
    </w:p>
    <w:p w14:paraId="0C226A0E" w14:textId="77777777" w:rsidR="000E5CC6" w:rsidRDefault="000E5CC6" w:rsidP="000E5CC6">
      <w:pPr>
        <w:jc w:val="both"/>
      </w:pPr>
    </w:p>
    <w:p w14:paraId="1F4B4D5D" w14:textId="77777777" w:rsidR="000E5CC6" w:rsidRDefault="000E5CC6" w:rsidP="000E5CC6">
      <w:pPr>
        <w:jc w:val="both"/>
      </w:pPr>
      <w:r>
        <w:t>An additional limitation is the completeness of the data. WHO recovers data from statistical offices without any assessment of completeness. For instance, Hungarian data do not show any information on some causes of death after 1996, while for others there is a complete time series.</w:t>
      </w:r>
    </w:p>
    <w:p w14:paraId="26E3BE0E" w14:textId="77777777" w:rsidR="000E5CC6" w:rsidRDefault="000E5CC6" w:rsidP="000E5CC6">
      <w:pPr>
        <w:jc w:val="both"/>
      </w:pPr>
    </w:p>
    <w:p w14:paraId="09FEEDB0" w14:textId="77777777" w:rsidR="000E5CC6" w:rsidRDefault="000E5CC6" w:rsidP="000E5CC6">
      <w:pPr>
        <w:jc w:val="both"/>
      </w:pPr>
      <w:r>
        <w:t>We mitigate the issue of ICD comparable information using the recently published Human Cause of Death Database (HCoD). This database performed quality checks and reconstructed mortality trends for the countries showed in the manuscript following</w:t>
      </w:r>
      <w:r w:rsidRPr="00B12364">
        <w:t xml:space="preserve"> </w:t>
      </w:r>
      <w:r w:rsidRPr="00F8181A">
        <w:t>Pechholdová</w:t>
      </w:r>
      <w:r>
        <w:t xml:space="preserve"> et al (2017) when </w:t>
      </w:r>
      <w:r>
        <w:lastRenderedPageBreak/>
        <w:t>needed. Further, to mitigate the completeness limitation, we use the HCoD’s cause of deaths structure and applied it to the mortality rates in the HMD.</w:t>
      </w:r>
    </w:p>
    <w:p w14:paraId="13F1412C" w14:textId="77777777" w:rsidR="000E5CC6" w:rsidRDefault="000E5CC6" w:rsidP="000E5CC6">
      <w:pPr>
        <w:jc w:val="both"/>
      </w:pPr>
    </w:p>
    <w:p w14:paraId="295DEC5C" w14:textId="77777777" w:rsidR="000E5CC6" w:rsidRDefault="000E5CC6" w:rsidP="000E5CC6">
      <w:pPr>
        <w:jc w:val="both"/>
      </w:pPr>
      <w:r>
        <w:t xml:space="preserve">To show these limitations, we did a country-specific analysis with this information to decide whether the data was reliable enough to include the country in the manuscript for the cause-of-death analysis. We additionally created an interactive app to analyze the results in the panel ‘Rupture analysis’ at </w:t>
      </w:r>
      <w:hyperlink r:id="rId25" w:history="1">
        <w:r w:rsidRPr="005F3CED">
          <w:rPr>
            <w:rStyle w:val="Hyperlink"/>
          </w:rPr>
          <w:t>https://demographs.shinyapps.io/CEE_App/</w:t>
        </w:r>
      </w:hyperlink>
      <w:r>
        <w:t>. A summary of these analyses is below.</w:t>
      </w:r>
    </w:p>
    <w:p w14:paraId="134141D1" w14:textId="77777777" w:rsidR="000E5CC6" w:rsidRDefault="000E5CC6" w:rsidP="000E5CC6">
      <w:pPr>
        <w:jc w:val="both"/>
      </w:pPr>
    </w:p>
    <w:p w14:paraId="4986B1D6" w14:textId="77777777" w:rsidR="000E5CC6" w:rsidRDefault="000E5CC6" w:rsidP="000E5CC6">
      <w:pPr>
        <w:jc w:val="both"/>
      </w:pPr>
      <w:r>
        <w:t xml:space="preserve">Bulgaria: Stroke and Other circulatory categories show a clear rupture in the year when ICD changed. This rupture suggests that they complement each other. Grouping all cardiovascular (i.e. IHD, Stroke and Other circulatory) could make comparable the trends. However, infectious and respiratory diseases also show clear change in trends after ICD 10 was implemented, and it is not clear which category was accounting for these conditions before that period. </w:t>
      </w:r>
    </w:p>
    <w:p w14:paraId="4F614073" w14:textId="77777777" w:rsidR="000E5CC6" w:rsidRDefault="000E5CC6" w:rsidP="000E5CC6">
      <w:pPr>
        <w:jc w:val="both"/>
      </w:pPr>
    </w:p>
    <w:p w14:paraId="60F25038" w14:textId="77777777" w:rsidR="000E5CC6" w:rsidRDefault="000E5CC6" w:rsidP="000E5CC6">
      <w:pPr>
        <w:jc w:val="both"/>
      </w:pPr>
      <w:r>
        <w:t>Hungary: Missing information for most of the years and causes of death. Bad and problematic data overall.</w:t>
      </w:r>
    </w:p>
    <w:p w14:paraId="4AFC6962" w14:textId="77777777" w:rsidR="000E5CC6" w:rsidRDefault="000E5CC6" w:rsidP="000E5CC6">
      <w:pPr>
        <w:jc w:val="both"/>
      </w:pPr>
    </w:p>
    <w:p w14:paraId="6A89BB1E" w14:textId="70B7A951" w:rsidR="000E5CC6" w:rsidRDefault="000E5CC6" w:rsidP="000E5CC6">
      <w:pPr>
        <w:autoSpaceDE w:val="0"/>
        <w:autoSpaceDN w:val="0"/>
        <w:adjustRightInd w:val="0"/>
        <w:jc w:val="both"/>
      </w:pPr>
      <w:r>
        <w:t>Slovakia: It uses ICD10 throughout the entire period. There is a strange trend in Infectious and respiratory diseases in the late 1990s. In the rest in recent years, and it seems that Stroke and Other circulatory complement each other.</w:t>
      </w:r>
    </w:p>
    <w:p w14:paraId="50E78B53" w14:textId="7D48B300" w:rsidR="00A1665B" w:rsidRDefault="00A1665B" w:rsidP="000E5CC6">
      <w:pPr>
        <w:autoSpaceDE w:val="0"/>
        <w:autoSpaceDN w:val="0"/>
        <w:adjustRightInd w:val="0"/>
        <w:jc w:val="both"/>
      </w:pPr>
    </w:p>
    <w:p w14:paraId="6908112A" w14:textId="2603A6AF" w:rsidR="00A1665B" w:rsidRDefault="00A1665B" w:rsidP="000E5CC6">
      <w:pPr>
        <w:autoSpaceDE w:val="0"/>
        <w:autoSpaceDN w:val="0"/>
        <w:adjustRightInd w:val="0"/>
        <w:jc w:val="both"/>
      </w:pPr>
      <w:r>
        <w:t>Slovenia: shows major ruptures in attributable to alcohol mortality, stroke and other circulatory diseases. More worrisome, however, is the rupture shown in infectious and respiratory diseases and in the residual causes.</w:t>
      </w:r>
    </w:p>
    <w:p w14:paraId="73F17892" w14:textId="6594FE44" w:rsidR="000E5CC6" w:rsidRDefault="000E5CC6" w:rsidP="000E5CC6">
      <w:pPr>
        <w:autoSpaceDE w:val="0"/>
        <w:autoSpaceDN w:val="0"/>
        <w:adjustRightInd w:val="0"/>
        <w:jc w:val="both"/>
      </w:pPr>
    </w:p>
    <w:p w14:paraId="787D9ADE" w14:textId="764B3DB9" w:rsidR="00404C49" w:rsidRDefault="000E5CC6" w:rsidP="000E5CC6">
      <w:pPr>
        <w:autoSpaceDE w:val="0"/>
        <w:autoSpaceDN w:val="0"/>
        <w:adjustRightInd w:val="0"/>
        <w:jc w:val="both"/>
      </w:pPr>
      <w:r>
        <w:t>In light of the above, we decided not t</w:t>
      </w:r>
      <w:r w:rsidR="00404C49">
        <w:t>o include WHO data in our study as we were worried about the data integrity and felt strongly that it was better to err on the side of caution.</w:t>
      </w:r>
    </w:p>
    <w:p w14:paraId="2EF04A62" w14:textId="75FD4B38" w:rsidR="00E11594" w:rsidRDefault="00E11594" w:rsidP="000E5CC6">
      <w:pPr>
        <w:autoSpaceDE w:val="0"/>
        <w:autoSpaceDN w:val="0"/>
        <w:adjustRightInd w:val="0"/>
        <w:jc w:val="both"/>
      </w:pPr>
    </w:p>
    <w:p w14:paraId="709A6CE8" w14:textId="77777777" w:rsidR="00E11594" w:rsidRPr="005F3EAA" w:rsidRDefault="00E11594" w:rsidP="00E11594">
      <w:pPr>
        <w:autoSpaceDE w:val="0"/>
        <w:autoSpaceDN w:val="0"/>
        <w:adjustRightInd w:val="0"/>
        <w:jc w:val="both"/>
      </w:pPr>
    </w:p>
    <w:p w14:paraId="6F50F9F6" w14:textId="77777777" w:rsidR="00E11594" w:rsidRPr="003539EE" w:rsidRDefault="00E11594" w:rsidP="00E11594">
      <w:pPr>
        <w:autoSpaceDE w:val="0"/>
        <w:autoSpaceDN w:val="0"/>
        <w:adjustRightInd w:val="0"/>
        <w:jc w:val="both"/>
        <w:rPr>
          <w:b/>
        </w:rPr>
      </w:pPr>
      <w:r w:rsidRPr="003539EE">
        <w:rPr>
          <w:b/>
        </w:rPr>
        <w:t>References:</w:t>
      </w:r>
    </w:p>
    <w:p w14:paraId="109251F9" w14:textId="77777777" w:rsidR="00E11594" w:rsidRDefault="00E11594" w:rsidP="00E11594">
      <w:pPr>
        <w:autoSpaceDE w:val="0"/>
        <w:autoSpaceDN w:val="0"/>
        <w:adjustRightInd w:val="0"/>
        <w:jc w:val="both"/>
      </w:pPr>
    </w:p>
    <w:p w14:paraId="585F7DD2" w14:textId="77777777" w:rsidR="00E11594" w:rsidRPr="00842B6D" w:rsidRDefault="00E11594" w:rsidP="00E11594">
      <w:pPr>
        <w:autoSpaceDE w:val="0"/>
        <w:autoSpaceDN w:val="0"/>
        <w:adjustRightInd w:val="0"/>
        <w:jc w:val="both"/>
      </w:pPr>
      <w:r>
        <w:t xml:space="preserve">Center for Disease Control and Prevention. Alcohols and Public Health: Alcohol-related disease impact (ARDI). Visited on 08/02/2018. </w:t>
      </w:r>
      <w:hyperlink r:id="rId26" w:history="1">
        <w:r w:rsidRPr="00842B6D">
          <w:rPr>
            <w:rStyle w:val="Hyperlink"/>
          </w:rPr>
          <w:t>https://nccd.cdc.gov/dph_ardi/Info/ICDCodes.aspx</w:t>
        </w:r>
      </w:hyperlink>
    </w:p>
    <w:p w14:paraId="626ABC40" w14:textId="77777777" w:rsidR="00E11594" w:rsidRPr="00842B6D" w:rsidRDefault="00E11594" w:rsidP="00E11594">
      <w:pPr>
        <w:autoSpaceDE w:val="0"/>
        <w:autoSpaceDN w:val="0"/>
        <w:adjustRightInd w:val="0"/>
        <w:jc w:val="both"/>
      </w:pPr>
    </w:p>
    <w:p w14:paraId="33C4D0B9" w14:textId="77777777" w:rsidR="00E11594" w:rsidRPr="00842B6D" w:rsidRDefault="00E11594" w:rsidP="00E11594">
      <w:pPr>
        <w:autoSpaceDE w:val="0"/>
        <w:autoSpaceDN w:val="0"/>
        <w:adjustRightInd w:val="0"/>
        <w:jc w:val="both"/>
        <w:rPr>
          <w:lang w:val="fr-FR"/>
        </w:rPr>
      </w:pPr>
      <w:r w:rsidRPr="00842B6D">
        <w:t xml:space="preserve">Pechholdová, M., Camarda, C. G., Meslé, F., &amp; Vallin, J. (2017). </w:t>
      </w:r>
      <w:r w:rsidRPr="0028541E">
        <w:t xml:space="preserve">Reconstructing Long-Term Coherent Cause-of-Death Series, a Necessary Step for Analyzing Trends. </w:t>
      </w:r>
      <w:r w:rsidRPr="00842B6D">
        <w:rPr>
          <w:lang w:val="fr-FR"/>
        </w:rPr>
        <w:t>European Journal of Population, 1-22.</w:t>
      </w:r>
    </w:p>
    <w:p w14:paraId="20880B25" w14:textId="77777777" w:rsidR="00E11594" w:rsidRPr="00842B6D" w:rsidRDefault="00E11594" w:rsidP="00E11594">
      <w:pPr>
        <w:autoSpaceDE w:val="0"/>
        <w:autoSpaceDN w:val="0"/>
        <w:adjustRightInd w:val="0"/>
        <w:jc w:val="both"/>
        <w:rPr>
          <w:lang w:val="fr-FR"/>
        </w:rPr>
      </w:pPr>
    </w:p>
    <w:p w14:paraId="1E205E4A" w14:textId="77777777" w:rsidR="00E11594" w:rsidRDefault="00E11594" w:rsidP="00E11594">
      <w:pPr>
        <w:autoSpaceDE w:val="0"/>
        <w:autoSpaceDN w:val="0"/>
        <w:adjustRightInd w:val="0"/>
        <w:jc w:val="both"/>
      </w:pPr>
      <w:r w:rsidRPr="00842B6D">
        <w:rPr>
          <w:lang w:val="fr-FR"/>
        </w:rPr>
        <w:t xml:space="preserve">Vallin, J., Meslé, F., Caselli, G., &amp; Egidi, V. (1988). Les causes de décès en France de 1925 à 1978 (Vol. 1). </w:t>
      </w:r>
      <w:r w:rsidRPr="00F8181A">
        <w:t>Ined.</w:t>
      </w:r>
    </w:p>
    <w:p w14:paraId="5ACDFA2C" w14:textId="77777777" w:rsidR="00E11594" w:rsidRDefault="00E11594" w:rsidP="00E11594">
      <w:pPr>
        <w:autoSpaceDE w:val="0"/>
        <w:autoSpaceDN w:val="0"/>
        <w:adjustRightInd w:val="0"/>
        <w:jc w:val="both"/>
      </w:pPr>
    </w:p>
    <w:p w14:paraId="113B9C0E" w14:textId="77777777" w:rsidR="00E11594" w:rsidRPr="00847CAD" w:rsidRDefault="00E11594" w:rsidP="000E5CC6">
      <w:pPr>
        <w:autoSpaceDE w:val="0"/>
        <w:autoSpaceDN w:val="0"/>
        <w:adjustRightInd w:val="0"/>
        <w:jc w:val="both"/>
        <w:rPr>
          <w:b/>
        </w:rPr>
      </w:pPr>
    </w:p>
    <w:p w14:paraId="6F40FFD6" w14:textId="77777777" w:rsidR="00847CAD" w:rsidRPr="00847CAD" w:rsidRDefault="00847CAD" w:rsidP="0053754D">
      <w:pPr>
        <w:autoSpaceDE w:val="0"/>
        <w:autoSpaceDN w:val="0"/>
        <w:adjustRightInd w:val="0"/>
        <w:jc w:val="both"/>
        <w:rPr>
          <w:b/>
        </w:rPr>
      </w:pPr>
    </w:p>
    <w:p w14:paraId="6D086452" w14:textId="69E21098" w:rsidR="00847CAD" w:rsidRPr="00847CAD" w:rsidRDefault="00847CAD" w:rsidP="0053754D">
      <w:pPr>
        <w:autoSpaceDE w:val="0"/>
        <w:autoSpaceDN w:val="0"/>
        <w:adjustRightInd w:val="0"/>
        <w:jc w:val="both"/>
        <w:rPr>
          <w:b/>
        </w:rPr>
      </w:pPr>
      <w:r w:rsidRPr="00847CAD">
        <w:rPr>
          <w:b/>
        </w:rPr>
        <w:t>The choice of the groups of causes of deaths is fully relied on</w:t>
      </w:r>
      <w:r>
        <w:rPr>
          <w:b/>
        </w:rPr>
        <w:t xml:space="preserve"> the papers by Rehm et al. that is </w:t>
      </w:r>
      <w:r w:rsidRPr="00847CAD">
        <w:rPr>
          <w:b/>
        </w:rPr>
        <w:t>not convincing enough especially when second and third</w:t>
      </w:r>
      <w:r>
        <w:rPr>
          <w:b/>
        </w:rPr>
        <w:t xml:space="preserve"> categories are identified. For </w:t>
      </w:r>
      <w:r w:rsidRPr="00847CAD">
        <w:rPr>
          <w:b/>
        </w:rPr>
        <w:lastRenderedPageBreak/>
        <w:t>examples, epidemiological studies by David Leon et al. a</w:t>
      </w:r>
      <w:r>
        <w:rPr>
          <w:b/>
        </w:rPr>
        <w:t xml:space="preserve">nd by David Zaridze et al. show relative </w:t>
      </w:r>
      <w:r w:rsidRPr="00847CAD">
        <w:rPr>
          <w:b/>
        </w:rPr>
        <w:t>risks associating alcohol consumption with cause-</w:t>
      </w:r>
      <w:r>
        <w:rPr>
          <w:b/>
        </w:rPr>
        <w:t xml:space="preserve">specific mortality in Russia. I believe that </w:t>
      </w:r>
      <w:r w:rsidRPr="00847CAD">
        <w:rPr>
          <w:b/>
        </w:rPr>
        <w:t xml:space="preserve">similar studies were also held in other CEE </w:t>
      </w:r>
      <w:r>
        <w:rPr>
          <w:b/>
        </w:rPr>
        <w:t xml:space="preserve">countries. The results of these studies could </w:t>
      </w:r>
      <w:r w:rsidRPr="00847CAD">
        <w:rPr>
          <w:b/>
        </w:rPr>
        <w:t>strengthen the cause of deaths classification used in this paper.</w:t>
      </w:r>
    </w:p>
    <w:p w14:paraId="63F4C214" w14:textId="50663BEA" w:rsidR="00670BBA" w:rsidRDefault="00670BBA" w:rsidP="008B7FCF">
      <w:pPr>
        <w:jc w:val="both"/>
      </w:pPr>
    </w:p>
    <w:p w14:paraId="0AB491C9" w14:textId="1AD8E2C9" w:rsidR="00670BBA" w:rsidRPr="004F345F" w:rsidRDefault="004F345F" w:rsidP="004F345F">
      <w:pPr>
        <w:jc w:val="both"/>
      </w:pPr>
      <w:r>
        <w:t xml:space="preserve">It is true that classifying alcohol related mortality has several limitations (fully explained in the revised version of the paper), particularly when circulatory diseases are partitioned. Therefore, to overcome the limitation that you mention we made </w:t>
      </w:r>
      <w:r w:rsidR="00670BBA">
        <w:t>the following m</w:t>
      </w:r>
      <w:r w:rsidR="00D6487D">
        <w:t>ajor changes to the manuscript. W</w:t>
      </w:r>
      <w:r w:rsidR="00670BBA" w:rsidRPr="004F345F">
        <w:t>e shifted the focus away from trying to partition mortality into alcohol and non-alcohol related mortality, since attributing the proportion of mortality from amenable causes is anyway problematic. Instead in our description of the COD results we paid more attention to co-movements of circulatory disease, traffic accidents and external mortality to mortality that is wholly attributable to alcohol. This way, we can infer over which ages/periods alcohol was likely to have played a larger role in changes to these larger COD groupings.</w:t>
      </w:r>
    </w:p>
    <w:p w14:paraId="5BBB4570" w14:textId="495685D1" w:rsidR="00670BBA" w:rsidRDefault="00670BBA" w:rsidP="008B7FCF">
      <w:pPr>
        <w:jc w:val="both"/>
      </w:pPr>
    </w:p>
    <w:p w14:paraId="7E4A9CE8" w14:textId="59CDA75B" w:rsidR="008B7FCF" w:rsidRDefault="004F345F" w:rsidP="008B7FCF">
      <w:pPr>
        <w:jc w:val="both"/>
      </w:pPr>
      <w:r>
        <w:t>Moreover, a</w:t>
      </w:r>
      <w:r w:rsidR="008B7FCF">
        <w:t>fter carefully reviewing the previous version</w:t>
      </w:r>
      <w:r w:rsidR="00453E47">
        <w:t xml:space="preserve"> and taking into account reviewer</w:t>
      </w:r>
      <w:r w:rsidR="00D6487D">
        <w:t>s</w:t>
      </w:r>
      <w:r w:rsidR="00453E47">
        <w:t xml:space="preserve"> 1 and 3’s suggestions</w:t>
      </w:r>
      <w:r w:rsidR="008B7FCF">
        <w:t>, we decided that the added value of keeping IHD separate from other circulatory diseases was low for the purposes of this study, and changing coding practices were visible for some countries in trends between these causes. Thus</w:t>
      </w:r>
      <w:r>
        <w:t>,</w:t>
      </w:r>
      <w:r w:rsidR="008B7FCF">
        <w:t xml:space="preserve"> in the new version of the manuscript we opted to combine all </w:t>
      </w:r>
      <w:r>
        <w:t xml:space="preserve">circulatory disease mortality and </w:t>
      </w:r>
      <w:r w:rsidR="008B7FCF">
        <w:t>added the following to the limitations section:</w:t>
      </w:r>
    </w:p>
    <w:p w14:paraId="0F727642" w14:textId="77777777" w:rsidR="008B7FCF" w:rsidRDefault="008B7FCF" w:rsidP="008B7FCF">
      <w:pPr>
        <w:jc w:val="both"/>
      </w:pPr>
    </w:p>
    <w:p w14:paraId="352F6CC3" w14:textId="77777777" w:rsidR="008B7FCF" w:rsidRPr="00F230AC" w:rsidRDefault="008B7FCF" w:rsidP="008B7FCF">
      <w:pPr>
        <w:jc w:val="both"/>
        <w:rPr>
          <w:i/>
        </w:rPr>
      </w:pPr>
      <w:r w:rsidRPr="00F230AC">
        <w:rPr>
          <w:i/>
        </w:rPr>
        <w:t>“…in the Soviet era ill-defined cardiovascular diseases were often classified as 'atherosclerotic cardiosclerosis', which is a subset of ischemic heart diseases (Jasilionis et al. 2011, Shkolnikov 2012). Different countries abandoned this practice at different rates, which had the effect of misclassifying deaths between the IHD, stroke and other circulatory disease categories. While some degree of misclassification within circulatory disease is corrected for by the HCD team (Pechholdova 2017), for comparative purposes we felt it safer to combine all circulatory disease categories.”</w:t>
      </w:r>
    </w:p>
    <w:p w14:paraId="776C43D0" w14:textId="5B231416" w:rsidR="008B7FCF" w:rsidRDefault="00521F34" w:rsidP="008B7FCF">
      <w:pPr>
        <w:jc w:val="both"/>
      </w:pPr>
      <w:r>
        <w:t xml:space="preserve"> </w:t>
      </w:r>
    </w:p>
    <w:p w14:paraId="6BC67C1D" w14:textId="73D9C08F" w:rsidR="00521F34" w:rsidRDefault="00483D92" w:rsidP="008B7FCF">
      <w:pPr>
        <w:jc w:val="both"/>
      </w:pPr>
      <w:r>
        <w:t>It is true that some studies have studied the role of alcohol on mortality in some other countries included in the paper. Most of these studies are included in Rehm et al’s articles. Therefore</w:t>
      </w:r>
      <w:r w:rsidR="00033919">
        <w:t>,</w:t>
      </w:r>
      <w:r>
        <w:t xml:space="preserve"> we use these as reference. To strengthen the role of alcohol as determinant of mortality we also included the next references in the cause-of-death classification section:</w:t>
      </w:r>
    </w:p>
    <w:p w14:paraId="0115F399" w14:textId="77777777" w:rsidR="00ED492D" w:rsidRDefault="00ED492D" w:rsidP="00ED492D">
      <w:pPr>
        <w:autoSpaceDE w:val="0"/>
        <w:autoSpaceDN w:val="0"/>
        <w:adjustRightInd w:val="0"/>
        <w:jc w:val="both"/>
        <w:rPr>
          <w:b/>
        </w:rPr>
      </w:pPr>
    </w:p>
    <w:p w14:paraId="422EE117" w14:textId="77777777" w:rsidR="00ED492D" w:rsidRPr="008C6146" w:rsidRDefault="00ED492D" w:rsidP="00ED492D">
      <w:pPr>
        <w:autoSpaceDE w:val="0"/>
        <w:autoSpaceDN w:val="0"/>
        <w:adjustRightInd w:val="0"/>
        <w:jc w:val="both"/>
      </w:pPr>
      <w:r w:rsidRPr="008C6146">
        <w:t>Zaridze, D., Brennan, P., Boreham, J., Boroda, A., Karpov, R., Lazarev, A., ... &amp; Peto, R. (2009). Alcohol and cause-specific mortality in Russia: a retrospective case–control study of 48 557 adult deaths. The Lancet, 373(9682), 2201-2214.</w:t>
      </w:r>
    </w:p>
    <w:p w14:paraId="35905386" w14:textId="7FEBE633" w:rsidR="00ED492D" w:rsidRPr="008C6146" w:rsidRDefault="00ED492D" w:rsidP="008B7FCF">
      <w:pPr>
        <w:jc w:val="both"/>
      </w:pPr>
    </w:p>
    <w:p w14:paraId="17EB373A" w14:textId="2AB64641" w:rsidR="00ED492D" w:rsidRPr="008C6146" w:rsidRDefault="00ED492D" w:rsidP="008B7FCF">
      <w:pPr>
        <w:jc w:val="both"/>
      </w:pPr>
      <w:r w:rsidRPr="008C6146">
        <w:t>Zaridze, D., Lewington, S., Boroda, A., Scélo, G., Karpov, R., Lazarev, A., ... &amp; Sherliker, P. (2014). Alcohol and mortality in Russia: prospective observational study of 151 000 adults. The Lancet, 383(9927), 1465-1473.</w:t>
      </w:r>
    </w:p>
    <w:p w14:paraId="2DB1E349" w14:textId="157B4EB7" w:rsidR="00ED492D" w:rsidRPr="008C6146" w:rsidRDefault="00ED492D" w:rsidP="008B7FCF">
      <w:pPr>
        <w:jc w:val="both"/>
      </w:pPr>
    </w:p>
    <w:p w14:paraId="36877CDA" w14:textId="206CCF81" w:rsidR="00ED492D" w:rsidRPr="008C6146" w:rsidRDefault="00ED492D" w:rsidP="008B7FCF">
      <w:pPr>
        <w:jc w:val="both"/>
      </w:pPr>
      <w:r w:rsidRPr="008C6146">
        <w:t>Leon, D. A., Chenet, L., Shkolnikov, V. M., Zakharov, S., Shapiro, J., Rakhmanova, G., ... &amp; McKee, M. (1997). Huge variation in Russian mortality rates 1984–94: artefact, alcohol, or what?. The lancet, 350(9075), 383-388.</w:t>
      </w:r>
    </w:p>
    <w:p w14:paraId="09613DC7" w14:textId="1FCBD85C" w:rsidR="00D06432" w:rsidRPr="008C6146" w:rsidRDefault="00D06432" w:rsidP="008B7FCF">
      <w:pPr>
        <w:jc w:val="both"/>
      </w:pPr>
    </w:p>
    <w:p w14:paraId="6A380F58" w14:textId="0CD67FE5" w:rsidR="00D06432" w:rsidRPr="008C6146" w:rsidRDefault="00D06432" w:rsidP="008B7FCF">
      <w:pPr>
        <w:jc w:val="both"/>
      </w:pPr>
      <w:r w:rsidRPr="008C6146">
        <w:t>McKee, M., Sűzcs, S., Sárváry, A., Ádany, R., Kiryanov, N., Saburova, L., ... &amp; Leon, D. A. (2005). The composition of surrogate alcohols consumed in Russia. Alcoholism: Clinical and Experimental Research, 29(10), 1884-1888.</w:t>
      </w:r>
    </w:p>
    <w:p w14:paraId="79C14EC1" w14:textId="537300C0" w:rsidR="00ED492D" w:rsidRDefault="00ED492D" w:rsidP="008B7FCF">
      <w:pPr>
        <w:jc w:val="both"/>
        <w:rPr>
          <w:rFonts w:ascii="Arial" w:hAnsi="Arial" w:cs="Arial"/>
          <w:color w:val="222222"/>
          <w:sz w:val="20"/>
          <w:szCs w:val="20"/>
          <w:shd w:val="clear" w:color="auto" w:fill="FFFFFF"/>
        </w:rPr>
      </w:pPr>
    </w:p>
    <w:p w14:paraId="7DF0A641" w14:textId="77777777" w:rsidR="00ED492D" w:rsidRDefault="00ED492D" w:rsidP="008B7FCF">
      <w:pPr>
        <w:jc w:val="both"/>
      </w:pPr>
    </w:p>
    <w:p w14:paraId="0F726DA3" w14:textId="77777777" w:rsidR="008B7FCF" w:rsidRPr="008C6146" w:rsidRDefault="008B7FCF" w:rsidP="008B7FCF">
      <w:pPr>
        <w:jc w:val="both"/>
      </w:pPr>
    </w:p>
    <w:p w14:paraId="33E4CF6C" w14:textId="77777777" w:rsidR="008B7FCF" w:rsidRPr="003539EE" w:rsidRDefault="008B7FCF" w:rsidP="008B7FCF">
      <w:pPr>
        <w:jc w:val="both"/>
        <w:rPr>
          <w:b/>
        </w:rPr>
      </w:pPr>
      <w:r w:rsidRPr="003539EE">
        <w:rPr>
          <w:b/>
        </w:rPr>
        <w:t>References:</w:t>
      </w:r>
    </w:p>
    <w:p w14:paraId="6BF62777" w14:textId="77777777" w:rsidR="008B7FCF" w:rsidRPr="008C6146" w:rsidRDefault="008B7FCF" w:rsidP="008B7FCF">
      <w:pPr>
        <w:jc w:val="both"/>
        <w:rPr>
          <w:rFonts w:ascii="Arial" w:hAnsi="Arial" w:cs="Arial"/>
          <w:color w:val="222222"/>
          <w:sz w:val="20"/>
          <w:szCs w:val="20"/>
          <w:shd w:val="clear" w:color="auto" w:fill="FFFFFF"/>
        </w:rPr>
      </w:pPr>
    </w:p>
    <w:p w14:paraId="5D54FA23" w14:textId="77777777" w:rsidR="008B7FCF" w:rsidRPr="00D76CE6" w:rsidRDefault="008B7FCF" w:rsidP="008B7FCF">
      <w:pPr>
        <w:rPr>
          <w:lang w:val="fr-FR"/>
        </w:rPr>
      </w:pPr>
      <w:r w:rsidRPr="008C6146">
        <w:t xml:space="preserve">Jasilionis, D.; Meslé, F.; Shkolnikov, V. M. &amp; Vallin, J. (2011). </w:t>
      </w:r>
      <w:r w:rsidRPr="00D76CE6">
        <w:rPr>
          <w:lang w:val="fr-FR"/>
        </w:rPr>
        <w:t>Recent Life Expectancy Divergence in Baltic Countries</w:t>
      </w:r>
      <w:r>
        <w:rPr>
          <w:lang w:val="fr-FR"/>
        </w:rPr>
        <w:t xml:space="preserve">. </w:t>
      </w:r>
      <w:r w:rsidRPr="00D76CE6">
        <w:rPr>
          <w:i/>
          <w:iCs/>
          <w:lang w:val="fr-FR"/>
        </w:rPr>
        <w:t>European Journal of Population / Revue européenne de Démographie, 27</w:t>
      </w:r>
      <w:r w:rsidRPr="00D76CE6">
        <w:rPr>
          <w:lang w:val="fr-FR"/>
        </w:rPr>
        <w:t>, 403</w:t>
      </w:r>
    </w:p>
    <w:p w14:paraId="200CFEF0" w14:textId="77777777" w:rsidR="008B7FCF" w:rsidRDefault="008B7FCF" w:rsidP="008B7FCF">
      <w:pPr>
        <w:jc w:val="both"/>
        <w:rPr>
          <w:lang w:val="fr-FR"/>
        </w:rPr>
      </w:pPr>
      <w:r w:rsidRPr="00D76CE6">
        <w:rPr>
          <w:lang w:val="fr-FR"/>
        </w:rPr>
        <w:t xml:space="preserve"> </w:t>
      </w:r>
    </w:p>
    <w:p w14:paraId="2D9CF815" w14:textId="77777777" w:rsidR="008B7FCF" w:rsidRDefault="008B7FCF" w:rsidP="008B7FCF">
      <w:pPr>
        <w:jc w:val="both"/>
        <w:rPr>
          <w:rFonts w:eastAsia="Times New Roman" w:cs="Times New Roman"/>
          <w:color w:val="222222"/>
          <w:szCs w:val="24"/>
        </w:rPr>
      </w:pPr>
      <w:r w:rsidRPr="008C6146">
        <w:t xml:space="preserve">Pechholdová, M., Camarda, C. G., Meslé, F., &amp; Vallin, J. (2017). </w:t>
      </w:r>
      <w:r w:rsidRPr="00256790">
        <w:t>Reconstructing Long-Term Coherent Cause-of-Death Series, a Necessary Step for Analyzing Trends. European Journal of Population, 1-22.</w:t>
      </w:r>
      <w:r w:rsidRPr="006B10D2">
        <w:rPr>
          <w:rFonts w:eastAsia="Times New Roman" w:cs="Times New Roman"/>
          <w:color w:val="222222"/>
          <w:szCs w:val="24"/>
        </w:rPr>
        <w:t xml:space="preserve"> </w:t>
      </w:r>
    </w:p>
    <w:p w14:paraId="79E60EA0" w14:textId="77777777" w:rsidR="008B7FCF" w:rsidRDefault="008B7FCF" w:rsidP="008B7FCF">
      <w:pPr>
        <w:jc w:val="both"/>
        <w:rPr>
          <w:rFonts w:eastAsia="Times New Roman" w:cs="Times New Roman"/>
          <w:color w:val="222222"/>
          <w:szCs w:val="24"/>
        </w:rPr>
      </w:pPr>
    </w:p>
    <w:p w14:paraId="09CBF788" w14:textId="77777777" w:rsidR="008B7FCF" w:rsidRPr="006B10D2" w:rsidRDefault="008B7FCF" w:rsidP="008B7FCF">
      <w:pPr>
        <w:jc w:val="both"/>
      </w:pPr>
      <w:r w:rsidRPr="008C6146">
        <w:t xml:space="preserve">Shkolnikov, V., Meslé, F., &amp; Vallin, J. (2012). </w:t>
      </w:r>
      <w:r w:rsidRPr="006B10D2">
        <w:t xml:space="preserve">Data Collection, Data Quality and the History of Cause-of-Death Classification. In </w:t>
      </w:r>
      <w:r w:rsidRPr="006B10D2">
        <w:rPr>
          <w:i/>
          <w:iCs/>
        </w:rPr>
        <w:t>Mortality and Causes of Death in 20th-Century Ukraine</w:t>
      </w:r>
      <w:r w:rsidRPr="006B10D2">
        <w:t xml:space="preserve"> (pp. 121-130). Springer, Dordrecht.</w:t>
      </w:r>
    </w:p>
    <w:p w14:paraId="02D1DC7C" w14:textId="77777777" w:rsidR="00ED492D" w:rsidRPr="00847CAD" w:rsidRDefault="00ED492D" w:rsidP="0053754D">
      <w:pPr>
        <w:autoSpaceDE w:val="0"/>
        <w:autoSpaceDN w:val="0"/>
        <w:adjustRightInd w:val="0"/>
        <w:jc w:val="both"/>
        <w:rPr>
          <w:b/>
        </w:rPr>
      </w:pPr>
    </w:p>
    <w:p w14:paraId="1D49CEF5" w14:textId="6B5BF9E5" w:rsidR="00847CAD" w:rsidRDefault="00847CAD" w:rsidP="0053754D">
      <w:pPr>
        <w:autoSpaceDE w:val="0"/>
        <w:autoSpaceDN w:val="0"/>
        <w:adjustRightInd w:val="0"/>
        <w:jc w:val="both"/>
        <w:rPr>
          <w:b/>
        </w:rPr>
      </w:pPr>
      <w:r w:rsidRPr="00847CAD">
        <w:rPr>
          <w:b/>
        </w:rPr>
        <w:t xml:space="preserve">The authors state that they aim to identify the effect </w:t>
      </w:r>
      <w:r>
        <w:rPr>
          <w:b/>
        </w:rPr>
        <w:t xml:space="preserve">of mortality related to alcohol </w:t>
      </w:r>
      <w:r w:rsidRPr="00847CAD">
        <w:rPr>
          <w:b/>
        </w:rPr>
        <w:t>consumption on lifespan variation from 1994 to 2010.</w:t>
      </w:r>
      <w:r>
        <w:rPr>
          <w:b/>
        </w:rPr>
        <w:t xml:space="preserve"> Why this particular period was </w:t>
      </w:r>
      <w:r w:rsidRPr="00847CAD">
        <w:rPr>
          <w:b/>
        </w:rPr>
        <w:t>chosen?</w:t>
      </w:r>
    </w:p>
    <w:p w14:paraId="3F16DAB9" w14:textId="4EBB5AA2" w:rsidR="00E11594" w:rsidRDefault="00E11594" w:rsidP="0053754D">
      <w:pPr>
        <w:autoSpaceDE w:val="0"/>
        <w:autoSpaceDN w:val="0"/>
        <w:adjustRightInd w:val="0"/>
        <w:jc w:val="both"/>
      </w:pPr>
    </w:p>
    <w:p w14:paraId="0490C9C7" w14:textId="292B0D41" w:rsidR="003A7DD7" w:rsidRDefault="003A7DD7" w:rsidP="0053754D">
      <w:pPr>
        <w:autoSpaceDE w:val="0"/>
        <w:autoSpaceDN w:val="0"/>
        <w:adjustRightInd w:val="0"/>
        <w:jc w:val="both"/>
      </w:pPr>
      <w:r>
        <w:t xml:space="preserve">We decided to study the period 1994-2010 for two reasons. Firstly, because the period preceding 1994, associated to the health crisis in some FSU countries, have been extensively studied. Secondly, because this period maximized data availability from the Human Cause-of-Death database. Allowing us to study up to eight countries with comparable information. </w:t>
      </w:r>
    </w:p>
    <w:p w14:paraId="0746DD69" w14:textId="6DF03E6D" w:rsidR="003A7DD7" w:rsidRDefault="003A7DD7" w:rsidP="0053754D">
      <w:pPr>
        <w:autoSpaceDE w:val="0"/>
        <w:autoSpaceDN w:val="0"/>
        <w:adjustRightInd w:val="0"/>
        <w:jc w:val="both"/>
      </w:pPr>
      <w:r>
        <w:t xml:space="preserve"> </w:t>
      </w:r>
    </w:p>
    <w:p w14:paraId="3497CE17" w14:textId="759E3B09" w:rsidR="003A7DD7" w:rsidRDefault="003A7DD7" w:rsidP="0053754D">
      <w:pPr>
        <w:autoSpaceDE w:val="0"/>
        <w:autoSpaceDN w:val="0"/>
        <w:adjustRightInd w:val="0"/>
        <w:jc w:val="both"/>
      </w:pPr>
      <w:r>
        <w:t>To make this clear in the manuscript, we changed the second paragraph in the data section to:</w:t>
      </w:r>
    </w:p>
    <w:p w14:paraId="4131FFE9" w14:textId="7033590D" w:rsidR="003A7DD7" w:rsidRPr="003A7DD7" w:rsidRDefault="003A7DD7" w:rsidP="0053754D">
      <w:pPr>
        <w:autoSpaceDE w:val="0"/>
        <w:autoSpaceDN w:val="0"/>
        <w:adjustRightInd w:val="0"/>
        <w:jc w:val="both"/>
        <w:rPr>
          <w:b/>
          <w:i/>
        </w:rPr>
      </w:pPr>
      <w:r w:rsidRPr="003A7DD7">
        <w:rPr>
          <w:i/>
          <w:color w:val="000000"/>
        </w:rPr>
        <w:t>Cause of death data came from the newly developed Human Cause of Death database (2016), which provides coherent cause-specific mortality data time series from 1994 to 2010 for eight of the countries in the study (Belarus, Czech Republic, Poland, Russia, Ukraine, Estonia, Latvia and Lithuania). For inclusion into the database, a universal and standardized methodology was undertaken to redistribute deaths between 104 disease categories in 5-year age groups. We used these data to get the cause-specific proportion by 5-year age groups.</w:t>
      </w:r>
    </w:p>
    <w:p w14:paraId="247ACE3C" w14:textId="77777777" w:rsidR="00847CAD" w:rsidRPr="00847CAD" w:rsidRDefault="00847CAD" w:rsidP="0053754D">
      <w:pPr>
        <w:autoSpaceDE w:val="0"/>
        <w:autoSpaceDN w:val="0"/>
        <w:adjustRightInd w:val="0"/>
        <w:jc w:val="both"/>
        <w:rPr>
          <w:b/>
        </w:rPr>
      </w:pPr>
    </w:p>
    <w:p w14:paraId="33954CC5" w14:textId="77777777" w:rsidR="00847CAD" w:rsidRPr="00847CAD" w:rsidRDefault="00847CAD" w:rsidP="0053754D">
      <w:pPr>
        <w:autoSpaceDE w:val="0"/>
        <w:autoSpaceDN w:val="0"/>
        <w:adjustRightInd w:val="0"/>
        <w:jc w:val="both"/>
        <w:rPr>
          <w:b/>
        </w:rPr>
      </w:pPr>
      <w:r w:rsidRPr="00847CAD">
        <w:rPr>
          <w:b/>
        </w:rPr>
        <w:t>Minor comments:</w:t>
      </w:r>
    </w:p>
    <w:p w14:paraId="724F185B" w14:textId="6885A2FB" w:rsidR="00847CAD" w:rsidRDefault="00847CAD" w:rsidP="0053754D">
      <w:pPr>
        <w:pStyle w:val="ListParagraph"/>
        <w:numPr>
          <w:ilvl w:val="0"/>
          <w:numId w:val="4"/>
        </w:numPr>
        <w:autoSpaceDE w:val="0"/>
        <w:autoSpaceDN w:val="0"/>
        <w:adjustRightInd w:val="0"/>
        <w:jc w:val="both"/>
        <w:rPr>
          <w:rFonts w:ascii="Times New Roman" w:hAnsi="Times New Roman"/>
          <w:b/>
          <w:sz w:val="24"/>
          <w:lang w:val="en-US"/>
        </w:rPr>
      </w:pPr>
      <w:r w:rsidRPr="00847CAD">
        <w:rPr>
          <w:rFonts w:ascii="Times New Roman" w:hAnsi="Times New Roman"/>
          <w:b/>
          <w:sz w:val="24"/>
          <w:lang w:val="en-US"/>
        </w:rPr>
        <w:t xml:space="preserve">Mortality increase in CEE countries started not in 1960 but since the mid-1960s </w:t>
      </w:r>
    </w:p>
    <w:p w14:paraId="69CA74D6" w14:textId="294431B7" w:rsidR="000B09DB" w:rsidRDefault="000B09DB" w:rsidP="000B09DB">
      <w:pPr>
        <w:pStyle w:val="ListParagraph"/>
        <w:autoSpaceDE w:val="0"/>
        <w:autoSpaceDN w:val="0"/>
        <w:adjustRightInd w:val="0"/>
        <w:jc w:val="both"/>
        <w:rPr>
          <w:rFonts w:ascii="Times New Roman" w:hAnsi="Times New Roman"/>
          <w:sz w:val="24"/>
          <w:lang w:val="en-US"/>
        </w:rPr>
      </w:pPr>
      <w:r w:rsidRPr="000B09DB">
        <w:rPr>
          <w:rFonts w:ascii="Times New Roman" w:hAnsi="Times New Roman"/>
          <w:sz w:val="24"/>
          <w:lang w:val="en-US"/>
        </w:rPr>
        <w:t>It is true that mortality increase, along life expectancy stagnation started after 1960. To make this point clearer we did the fo</w:t>
      </w:r>
      <w:r>
        <w:rPr>
          <w:rFonts w:ascii="Times New Roman" w:hAnsi="Times New Roman"/>
          <w:sz w:val="24"/>
          <w:lang w:val="en-US"/>
        </w:rPr>
        <w:t>llowing change</w:t>
      </w:r>
      <w:r w:rsidRPr="000B09DB">
        <w:rPr>
          <w:rFonts w:ascii="Times New Roman" w:hAnsi="Times New Roman"/>
          <w:sz w:val="24"/>
          <w:lang w:val="en-US"/>
        </w:rPr>
        <w:t>.</w:t>
      </w:r>
    </w:p>
    <w:p w14:paraId="021842F1" w14:textId="3EC35E19" w:rsidR="000B09DB" w:rsidRDefault="000B09DB" w:rsidP="000B09DB">
      <w:pPr>
        <w:pStyle w:val="ListParagraph"/>
        <w:autoSpaceDE w:val="0"/>
        <w:autoSpaceDN w:val="0"/>
        <w:adjustRightInd w:val="0"/>
        <w:jc w:val="both"/>
        <w:rPr>
          <w:rFonts w:ascii="Times New Roman" w:hAnsi="Times New Roman"/>
          <w:sz w:val="24"/>
          <w:lang w:val="en-US"/>
        </w:rPr>
      </w:pPr>
    </w:p>
    <w:p w14:paraId="67FDC896" w14:textId="1F2226CE" w:rsidR="000B09DB" w:rsidRPr="000B09DB" w:rsidRDefault="000B09DB" w:rsidP="000B09DB">
      <w:pPr>
        <w:pStyle w:val="ListParagraph"/>
        <w:autoSpaceDE w:val="0"/>
        <w:autoSpaceDN w:val="0"/>
        <w:adjustRightInd w:val="0"/>
        <w:jc w:val="both"/>
        <w:rPr>
          <w:rFonts w:ascii="Times New Roman" w:hAnsi="Times New Roman"/>
          <w:i/>
          <w:sz w:val="24"/>
          <w:lang w:val="en-US"/>
        </w:rPr>
      </w:pPr>
      <w:r>
        <w:rPr>
          <w:rFonts w:ascii="Times New Roman" w:hAnsi="Times New Roman"/>
          <w:sz w:val="24"/>
          <w:lang w:val="en-US"/>
        </w:rPr>
        <w:t xml:space="preserve">Introduction: change </w:t>
      </w:r>
      <w:r w:rsidRPr="000B09DB">
        <w:rPr>
          <w:rFonts w:ascii="Times New Roman" w:hAnsi="Times New Roman"/>
          <w:i/>
          <w:sz w:val="24"/>
          <w:lang w:val="en-US"/>
        </w:rPr>
        <w:t xml:space="preserve">“…as parts of Central and Eastern Europe experienced an unprecedented period of stagnation and, in some countries, decrease in life expectancy at birth </w:t>
      </w:r>
      <w:r>
        <w:rPr>
          <w:rFonts w:ascii="Times New Roman" w:hAnsi="Times New Roman"/>
          <w:i/>
          <w:sz w:val="24"/>
          <w:lang w:val="en-US"/>
        </w:rPr>
        <w:t>after 1960</w:t>
      </w:r>
      <w:r w:rsidRPr="000B09DB">
        <w:rPr>
          <w:rFonts w:ascii="Times New Roman" w:hAnsi="Times New Roman"/>
          <w:i/>
          <w:sz w:val="24"/>
          <w:lang w:val="en-US"/>
        </w:rPr>
        <w:t>…”</w:t>
      </w:r>
      <w:r w:rsidRPr="000B09DB">
        <w:rPr>
          <w:rFonts w:ascii="Times New Roman" w:hAnsi="Times New Roman"/>
          <w:sz w:val="24"/>
          <w:lang w:val="en-US"/>
        </w:rPr>
        <w:t xml:space="preserve"> with </w:t>
      </w:r>
      <w:r w:rsidRPr="000B09DB">
        <w:rPr>
          <w:rFonts w:ascii="Times New Roman" w:hAnsi="Times New Roman"/>
          <w:i/>
          <w:sz w:val="24"/>
          <w:lang w:val="en-US"/>
        </w:rPr>
        <w:t xml:space="preserve">“…as parts of Central and Eastern Europe experienced an </w:t>
      </w:r>
      <w:r w:rsidRPr="000B09DB">
        <w:rPr>
          <w:rFonts w:ascii="Times New Roman" w:hAnsi="Times New Roman"/>
          <w:i/>
          <w:sz w:val="24"/>
          <w:lang w:val="en-US"/>
        </w:rPr>
        <w:lastRenderedPageBreak/>
        <w:t>unprecedented period of stagnation and, in some countries, decrease in life expectancy at birth around  the mid-1960s…”</w:t>
      </w:r>
    </w:p>
    <w:p w14:paraId="13DA3109" w14:textId="77777777" w:rsidR="000B09DB" w:rsidRPr="000B09DB" w:rsidRDefault="000B09DB" w:rsidP="000B09DB">
      <w:pPr>
        <w:pStyle w:val="ListParagraph"/>
        <w:autoSpaceDE w:val="0"/>
        <w:autoSpaceDN w:val="0"/>
        <w:adjustRightInd w:val="0"/>
        <w:jc w:val="both"/>
        <w:rPr>
          <w:rFonts w:ascii="Times New Roman" w:hAnsi="Times New Roman"/>
          <w:sz w:val="24"/>
          <w:lang w:val="en-US"/>
        </w:rPr>
      </w:pPr>
    </w:p>
    <w:p w14:paraId="6BF929AF" w14:textId="011BFF2F" w:rsidR="00737C05" w:rsidRDefault="00847CAD" w:rsidP="00737C05">
      <w:pPr>
        <w:pStyle w:val="ListParagraph"/>
        <w:numPr>
          <w:ilvl w:val="0"/>
          <w:numId w:val="4"/>
        </w:numPr>
        <w:autoSpaceDE w:val="0"/>
        <w:autoSpaceDN w:val="0"/>
        <w:adjustRightInd w:val="0"/>
        <w:jc w:val="both"/>
        <w:rPr>
          <w:rFonts w:ascii="Times New Roman" w:hAnsi="Times New Roman"/>
          <w:b/>
          <w:sz w:val="24"/>
          <w:lang w:val="en-US"/>
        </w:rPr>
      </w:pPr>
      <w:r w:rsidRPr="00847CAD">
        <w:rPr>
          <w:rFonts w:ascii="Times New Roman" w:hAnsi="Times New Roman"/>
          <w:b/>
          <w:sz w:val="24"/>
          <w:lang w:val="en-US"/>
        </w:rPr>
        <w:t xml:space="preserve">“larger mortality inequalities in this region compared with western countries in Europe”. I am not sure about that. Timonin et al showed that the disparities between western European countries are larger than the disparities between CEE. </w:t>
      </w:r>
    </w:p>
    <w:p w14:paraId="2A194C32" w14:textId="37FFFCE2" w:rsidR="00737C05" w:rsidRDefault="00737C05" w:rsidP="00737C05">
      <w:pPr>
        <w:autoSpaceDE w:val="0"/>
        <w:autoSpaceDN w:val="0"/>
        <w:adjustRightInd w:val="0"/>
        <w:ind w:left="720"/>
        <w:jc w:val="both"/>
        <w:rPr>
          <w:color w:val="000000"/>
        </w:rPr>
      </w:pPr>
      <w:r w:rsidRPr="00817F61">
        <w:t xml:space="preserve">Thanks for this observation. </w:t>
      </w:r>
      <w:r w:rsidR="00817F61">
        <w:t xml:space="preserve">We rephrased </w:t>
      </w:r>
      <w:r w:rsidR="00817F61" w:rsidRPr="00817F61">
        <w:rPr>
          <w:i/>
        </w:rPr>
        <w:t>“…</w:t>
      </w:r>
      <w:r w:rsidR="00817F61" w:rsidRPr="00817F61">
        <w:rPr>
          <w:i/>
          <w:color w:val="000000"/>
        </w:rPr>
        <w:t>led to lower levels of life expectancy and larger mortality inequalities in this region compared with western countries in Europe (Mackenbach et al. 2008”</w:t>
      </w:r>
      <w:r w:rsidR="00817F61">
        <w:rPr>
          <w:i/>
          <w:color w:val="000000"/>
        </w:rPr>
        <w:t xml:space="preserve"> </w:t>
      </w:r>
      <w:r w:rsidR="00817F61">
        <w:rPr>
          <w:color w:val="000000"/>
        </w:rPr>
        <w:t>to “…</w:t>
      </w:r>
      <w:r w:rsidR="00817F61" w:rsidRPr="00817F61">
        <w:rPr>
          <w:i/>
          <w:color w:val="000000"/>
        </w:rPr>
        <w:t>led to lower levels of life expectancy and larger</w:t>
      </w:r>
      <w:r w:rsidR="00817F61">
        <w:rPr>
          <w:i/>
          <w:color w:val="000000"/>
        </w:rPr>
        <w:t xml:space="preserve"> within-country mortality inequalities according to education level in this region compared to western countries in Europe” </w:t>
      </w:r>
      <w:r w:rsidR="00817F61">
        <w:rPr>
          <w:color w:val="000000"/>
        </w:rPr>
        <w:t>to better reflect results in the paper by Mackenbach et al 2008.</w:t>
      </w:r>
    </w:p>
    <w:p w14:paraId="72953FAB" w14:textId="7DD5AF40" w:rsidR="0032147D" w:rsidRDefault="0032147D" w:rsidP="00737C05">
      <w:pPr>
        <w:autoSpaceDE w:val="0"/>
        <w:autoSpaceDN w:val="0"/>
        <w:adjustRightInd w:val="0"/>
        <w:ind w:left="720"/>
        <w:jc w:val="both"/>
        <w:rPr>
          <w:color w:val="000000"/>
        </w:rPr>
      </w:pPr>
    </w:p>
    <w:p w14:paraId="09B128A8" w14:textId="654674E0" w:rsidR="0032147D" w:rsidRDefault="0032147D" w:rsidP="00737C05">
      <w:pPr>
        <w:autoSpaceDE w:val="0"/>
        <w:autoSpaceDN w:val="0"/>
        <w:adjustRightInd w:val="0"/>
        <w:ind w:left="720"/>
        <w:jc w:val="both"/>
        <w:rPr>
          <w:i/>
          <w:color w:val="000000"/>
        </w:rPr>
      </w:pPr>
      <w:r>
        <w:rPr>
          <w:color w:val="000000"/>
        </w:rPr>
        <w:t xml:space="preserve">In addition, Timonin et al (2016)’s paper is included in the discussion section: </w:t>
      </w:r>
      <w:r w:rsidRPr="00A10858">
        <w:rPr>
          <w:i/>
          <w:color w:val="000000"/>
        </w:rPr>
        <w:t>“</w:t>
      </w:r>
      <w:r w:rsidR="00A10858">
        <w:rPr>
          <w:i/>
          <w:color w:val="000000"/>
        </w:rPr>
        <w:t>…</w:t>
      </w:r>
      <w:r w:rsidRPr="00A10858">
        <w:rPr>
          <w:i/>
          <w:color w:val="000000"/>
        </w:rPr>
        <w:t>However, while mortality change after the break-up of the Soviet Union led to sharply diverging trends in life expectancy, divergence in lifespan variation between countries was less dramatic. This complements recent work by Timonin et al. (2016) who found that differences between geopolitical regions in life expectancy were more important than increasing within-region disparities in ages at death in driving life expectancy divergence in developed countries from 1970 to 2010.”</w:t>
      </w:r>
    </w:p>
    <w:p w14:paraId="5AFE91C3" w14:textId="66703BA1" w:rsidR="00EC46EA" w:rsidRDefault="00EC46EA" w:rsidP="00737C05">
      <w:pPr>
        <w:autoSpaceDE w:val="0"/>
        <w:autoSpaceDN w:val="0"/>
        <w:adjustRightInd w:val="0"/>
        <w:ind w:left="720"/>
        <w:jc w:val="both"/>
        <w:rPr>
          <w:i/>
          <w:color w:val="000000"/>
        </w:rPr>
      </w:pPr>
    </w:p>
    <w:p w14:paraId="7AAC8A11" w14:textId="210E26AD" w:rsidR="00EC46EA" w:rsidRPr="008C6146" w:rsidRDefault="00EC46EA" w:rsidP="00737C05">
      <w:pPr>
        <w:autoSpaceDE w:val="0"/>
        <w:autoSpaceDN w:val="0"/>
        <w:adjustRightInd w:val="0"/>
        <w:ind w:left="720"/>
        <w:jc w:val="both"/>
        <w:rPr>
          <w:color w:val="000000"/>
          <w:lang w:val="de-DE"/>
        </w:rPr>
      </w:pPr>
      <w:r w:rsidRPr="008C6146">
        <w:rPr>
          <w:color w:val="000000"/>
          <w:lang w:val="de-DE"/>
        </w:rPr>
        <w:t>References:</w:t>
      </w:r>
    </w:p>
    <w:p w14:paraId="36EE827B" w14:textId="3A3D8623" w:rsidR="00EC46EA" w:rsidRPr="008C6146" w:rsidRDefault="00EC46EA" w:rsidP="00737C05">
      <w:pPr>
        <w:autoSpaceDE w:val="0"/>
        <w:autoSpaceDN w:val="0"/>
        <w:adjustRightInd w:val="0"/>
        <w:ind w:left="720"/>
        <w:jc w:val="both"/>
        <w:rPr>
          <w:color w:val="000000"/>
          <w:lang w:val="de-DE"/>
        </w:rPr>
      </w:pPr>
    </w:p>
    <w:p w14:paraId="654FBA30" w14:textId="2DC23F27" w:rsidR="00EC46EA" w:rsidRPr="00EC46EA" w:rsidRDefault="00EC46EA" w:rsidP="00737C05">
      <w:pPr>
        <w:autoSpaceDE w:val="0"/>
        <w:autoSpaceDN w:val="0"/>
        <w:adjustRightInd w:val="0"/>
        <w:ind w:left="720"/>
        <w:jc w:val="both"/>
        <w:rPr>
          <w:color w:val="000000"/>
        </w:rPr>
      </w:pPr>
      <w:r w:rsidRPr="008C6146">
        <w:rPr>
          <w:color w:val="000000"/>
          <w:lang w:val="de-DE"/>
        </w:rPr>
        <w:t xml:space="preserve">Mackenbach, J. P., Stirbu, I., Roskam, A. J. R., Schaap, M. M., Menvielle, G., Leinsalu, M., &amp; Kunst, A. E. (2008). </w:t>
      </w:r>
      <w:r w:rsidRPr="00EC46EA">
        <w:rPr>
          <w:color w:val="000000"/>
        </w:rPr>
        <w:t>Socioeconomic inequalities in health in 22 European countries. New England Journal of Medicine, 358(23), 2468-2481.</w:t>
      </w:r>
    </w:p>
    <w:p w14:paraId="0FFD86B3" w14:textId="77777777" w:rsidR="00EC46EA" w:rsidRPr="00EC46EA" w:rsidRDefault="00EC46EA" w:rsidP="00737C05">
      <w:pPr>
        <w:autoSpaceDE w:val="0"/>
        <w:autoSpaceDN w:val="0"/>
        <w:adjustRightInd w:val="0"/>
        <w:ind w:left="720"/>
        <w:jc w:val="both"/>
        <w:rPr>
          <w:color w:val="000000"/>
        </w:rPr>
      </w:pPr>
    </w:p>
    <w:p w14:paraId="695EEC7B" w14:textId="11EDA49C" w:rsidR="0032147D" w:rsidRPr="00EC46EA" w:rsidRDefault="00EC46EA" w:rsidP="00737C05">
      <w:pPr>
        <w:autoSpaceDE w:val="0"/>
        <w:autoSpaceDN w:val="0"/>
        <w:adjustRightInd w:val="0"/>
        <w:ind w:left="720"/>
        <w:jc w:val="both"/>
        <w:rPr>
          <w:color w:val="000000"/>
        </w:rPr>
      </w:pPr>
      <w:r w:rsidRPr="00EC46EA">
        <w:rPr>
          <w:color w:val="000000"/>
        </w:rPr>
        <w:t>Timonin, S., Shkolnikov, V. M., Jasilionis, D., Grigoriev, P., Jdanov, D. A., &amp; Leon, D. A. (2016). Disparities in length of life across developed countries: measuring and decomposing changes over time within and between country groups. Population health metrics, 14(1), 29.</w:t>
      </w:r>
    </w:p>
    <w:p w14:paraId="01D741AC" w14:textId="49A92D3E" w:rsidR="00EC46EA" w:rsidRPr="00817F61" w:rsidRDefault="00EC46EA" w:rsidP="00EC46EA">
      <w:pPr>
        <w:autoSpaceDE w:val="0"/>
        <w:autoSpaceDN w:val="0"/>
        <w:adjustRightInd w:val="0"/>
        <w:jc w:val="both"/>
      </w:pPr>
    </w:p>
    <w:p w14:paraId="007FAB16" w14:textId="77777777" w:rsidR="000B09DB" w:rsidRPr="000B09DB" w:rsidRDefault="000B09DB" w:rsidP="000B09DB">
      <w:pPr>
        <w:autoSpaceDE w:val="0"/>
        <w:autoSpaceDN w:val="0"/>
        <w:adjustRightInd w:val="0"/>
        <w:jc w:val="both"/>
        <w:rPr>
          <w:b/>
        </w:rPr>
      </w:pPr>
    </w:p>
    <w:p w14:paraId="2B4297F5" w14:textId="6D1A1F3B" w:rsidR="00FD73F1" w:rsidRDefault="00847CAD" w:rsidP="00FD73F1">
      <w:pPr>
        <w:pStyle w:val="ListParagraph"/>
        <w:numPr>
          <w:ilvl w:val="0"/>
          <w:numId w:val="4"/>
        </w:numPr>
        <w:autoSpaceDE w:val="0"/>
        <w:autoSpaceDN w:val="0"/>
        <w:adjustRightInd w:val="0"/>
        <w:jc w:val="both"/>
        <w:rPr>
          <w:rFonts w:ascii="Times New Roman" w:hAnsi="Times New Roman"/>
          <w:b/>
          <w:sz w:val="24"/>
          <w:lang w:val="en-US"/>
        </w:rPr>
      </w:pPr>
      <w:r w:rsidRPr="003A7DD7">
        <w:rPr>
          <w:rFonts w:ascii="Times New Roman" w:hAnsi="Times New Roman"/>
          <w:b/>
          <w:sz w:val="24"/>
          <w:lang w:val="en-US"/>
        </w:rPr>
        <w:t xml:space="preserve"> I have not really understood why such cause of death as “birth conditions” is used in the figure 5.</w:t>
      </w:r>
      <w:r w:rsidR="00E11594" w:rsidRPr="003A7DD7">
        <w:rPr>
          <w:rFonts w:ascii="Times New Roman" w:hAnsi="Times New Roman"/>
          <w:b/>
          <w:sz w:val="24"/>
          <w:lang w:val="en-US"/>
        </w:rPr>
        <w:t xml:space="preserve"> </w:t>
      </w:r>
    </w:p>
    <w:p w14:paraId="1E2D1C23" w14:textId="50300C6D" w:rsidR="00FD73F1" w:rsidRPr="00FD73F1" w:rsidRDefault="00FD73F1" w:rsidP="00FD73F1">
      <w:pPr>
        <w:pStyle w:val="ListParagraph"/>
        <w:autoSpaceDE w:val="0"/>
        <w:autoSpaceDN w:val="0"/>
        <w:adjustRightInd w:val="0"/>
        <w:jc w:val="both"/>
        <w:rPr>
          <w:rFonts w:ascii="Times New Roman" w:hAnsi="Times New Roman"/>
          <w:sz w:val="24"/>
          <w:lang w:val="en-US"/>
        </w:rPr>
      </w:pPr>
      <w:r w:rsidRPr="00FD73F1">
        <w:rPr>
          <w:rFonts w:ascii="Times New Roman" w:hAnsi="Times New Roman"/>
          <w:sz w:val="24"/>
          <w:lang w:val="en-US"/>
        </w:rPr>
        <w:t>Thanks for this ob</w:t>
      </w:r>
      <w:r>
        <w:rPr>
          <w:rFonts w:ascii="Times New Roman" w:hAnsi="Times New Roman"/>
          <w:sz w:val="24"/>
          <w:lang w:val="en-US"/>
        </w:rPr>
        <w:t>servation. T</w:t>
      </w:r>
      <w:r w:rsidRPr="00FD73F1">
        <w:rPr>
          <w:rFonts w:ascii="Times New Roman" w:hAnsi="Times New Roman"/>
          <w:sz w:val="24"/>
          <w:lang w:val="en-US"/>
        </w:rPr>
        <w:t>he figures have been corrected and the label “birth conditions”</w:t>
      </w:r>
      <w:r>
        <w:rPr>
          <w:rFonts w:ascii="Times New Roman" w:hAnsi="Times New Roman"/>
          <w:sz w:val="24"/>
          <w:lang w:val="en-US"/>
        </w:rPr>
        <w:t xml:space="preserve"> is not included anymore.</w:t>
      </w:r>
    </w:p>
    <w:p w14:paraId="0D750486" w14:textId="1E9CB397" w:rsidR="00E5567B" w:rsidRDefault="00847CAD" w:rsidP="0053754D">
      <w:pPr>
        <w:autoSpaceDE w:val="0"/>
        <w:autoSpaceDN w:val="0"/>
        <w:adjustRightInd w:val="0"/>
        <w:jc w:val="both"/>
        <w:rPr>
          <w:b/>
        </w:rPr>
      </w:pPr>
      <w:r w:rsidRPr="00847CAD">
        <w:rPr>
          <w:b/>
        </w:rPr>
        <w:t xml:space="preserve"> Finally, are there any ideas why life disparity has been stagnating in Russia since 2010?</w:t>
      </w:r>
    </w:p>
    <w:p w14:paraId="7CA2666B" w14:textId="58720151" w:rsidR="001170B6" w:rsidRDefault="001170B6" w:rsidP="0053754D">
      <w:pPr>
        <w:autoSpaceDE w:val="0"/>
        <w:autoSpaceDN w:val="0"/>
        <w:adjustRightInd w:val="0"/>
        <w:jc w:val="both"/>
        <w:rPr>
          <w:b/>
        </w:rPr>
      </w:pPr>
    </w:p>
    <w:p w14:paraId="28A9620F" w14:textId="3245CDAE" w:rsidR="001170B6" w:rsidRDefault="006D7C1F" w:rsidP="0053754D">
      <w:pPr>
        <w:autoSpaceDE w:val="0"/>
        <w:autoSpaceDN w:val="0"/>
        <w:adjustRightInd w:val="0"/>
        <w:jc w:val="both"/>
      </w:pPr>
      <w:r>
        <w:t>Our decomposition results (</w:t>
      </w:r>
      <w:hyperlink r:id="rId27" w:history="1">
        <w:r w:rsidRPr="005E75AA">
          <w:rPr>
            <w:rStyle w:val="Hyperlink"/>
          </w:rPr>
          <w:t>https://demographs.shinyapps.io/CEE_App/</w:t>
        </w:r>
      </w:hyperlink>
      <w:r>
        <w:t xml:space="preserve"> selecting Break 4 as 2010) suggest that this could be caused by stagnation in mortality improvements in ages below 60 offset by larger progress above this age. </w:t>
      </w:r>
      <w:r w:rsidR="001170B6" w:rsidRPr="00BD13B8">
        <w:t>A recent paper</w:t>
      </w:r>
      <w:r w:rsidR="00BD13B8" w:rsidRPr="00BD13B8">
        <w:t xml:space="preserve"> by </w:t>
      </w:r>
      <w:r w:rsidR="001170B6" w:rsidRPr="00BD13B8">
        <w:t xml:space="preserve">Timonin et al </w:t>
      </w:r>
      <w:r w:rsidR="00BD13B8" w:rsidRPr="00BD13B8">
        <w:t>(</w:t>
      </w:r>
      <w:r w:rsidR="001170B6" w:rsidRPr="00BD13B8">
        <w:t xml:space="preserve">2017) </w:t>
      </w:r>
      <w:r w:rsidR="00BD13B8" w:rsidRPr="00BD13B8">
        <w:t>suggest that this could be a result of uneven progress in reducing cardiovascular mortality at the subregional level in Russia offset by convergence in under-60 mortality.</w:t>
      </w:r>
    </w:p>
    <w:p w14:paraId="3AF06860" w14:textId="2D10A59A" w:rsidR="00D6487D" w:rsidRDefault="00D6487D" w:rsidP="0053754D">
      <w:pPr>
        <w:autoSpaceDE w:val="0"/>
        <w:autoSpaceDN w:val="0"/>
        <w:adjustRightInd w:val="0"/>
        <w:jc w:val="both"/>
      </w:pPr>
    </w:p>
    <w:p w14:paraId="72ADBDAA" w14:textId="52E7C068" w:rsidR="00D6487D" w:rsidRDefault="00D6487D" w:rsidP="0053754D">
      <w:pPr>
        <w:autoSpaceDE w:val="0"/>
        <w:autoSpaceDN w:val="0"/>
        <w:adjustRightInd w:val="0"/>
        <w:jc w:val="both"/>
      </w:pPr>
      <w:r>
        <w:t xml:space="preserve">We added the next sentence to the discussion: </w:t>
      </w:r>
    </w:p>
    <w:p w14:paraId="1FCD2CED" w14:textId="259FA209" w:rsidR="00D6487D" w:rsidRPr="002827EE" w:rsidRDefault="00513A1B" w:rsidP="0053754D">
      <w:pPr>
        <w:autoSpaceDE w:val="0"/>
        <w:autoSpaceDN w:val="0"/>
        <w:adjustRightInd w:val="0"/>
        <w:jc w:val="both"/>
        <w:rPr>
          <w:i/>
        </w:rPr>
      </w:pPr>
      <w:r w:rsidRPr="002827EE">
        <w:rPr>
          <w:i/>
          <w:color w:val="000000"/>
        </w:rPr>
        <w:t>“</w:t>
      </w:r>
      <w:r w:rsidR="00D6487D" w:rsidRPr="002827EE">
        <w:rPr>
          <w:i/>
          <w:color w:val="000000"/>
        </w:rPr>
        <w:t xml:space="preserve">We additionally identified a recent stagnation (since 2010) in Russian lifespan variation. By looking into decomposition results after 2010, our results suggest that this could be a result of a slowdown in mortality improvements below age 60 offset by larger progress above this age. A recent article by </w:t>
      </w:r>
      <w:r w:rsidR="00D6487D" w:rsidRPr="002827EE">
        <w:rPr>
          <w:i/>
        </w:rPr>
        <w:t xml:space="preserve">Timonin et al (2017) </w:t>
      </w:r>
      <w:r w:rsidR="00D6487D" w:rsidRPr="002827EE">
        <w:rPr>
          <w:i/>
          <w:color w:val="000000"/>
        </w:rPr>
        <w:t>suggests that this could be a result of uneven progress in reducing cardiovascular mortality at the subregional level in Russia offset by convergence in under-60 mortality</w:t>
      </w:r>
      <w:r w:rsidRPr="002827EE">
        <w:rPr>
          <w:i/>
          <w:color w:val="000000"/>
        </w:rPr>
        <w:t>.”</w:t>
      </w:r>
    </w:p>
    <w:p w14:paraId="404D7314" w14:textId="0451B3CF" w:rsidR="00332447" w:rsidRDefault="00332447" w:rsidP="0053754D">
      <w:pPr>
        <w:autoSpaceDE w:val="0"/>
        <w:autoSpaceDN w:val="0"/>
        <w:adjustRightInd w:val="0"/>
        <w:jc w:val="both"/>
      </w:pPr>
    </w:p>
    <w:p w14:paraId="45697CBA" w14:textId="34AE0C9E" w:rsidR="00332447" w:rsidRPr="003539EE" w:rsidRDefault="00332447" w:rsidP="0053754D">
      <w:pPr>
        <w:autoSpaceDE w:val="0"/>
        <w:autoSpaceDN w:val="0"/>
        <w:adjustRightInd w:val="0"/>
        <w:jc w:val="both"/>
        <w:rPr>
          <w:b/>
        </w:rPr>
      </w:pPr>
      <w:r w:rsidRPr="003539EE">
        <w:rPr>
          <w:b/>
        </w:rPr>
        <w:t>References:</w:t>
      </w:r>
    </w:p>
    <w:p w14:paraId="1426E1BE" w14:textId="77777777" w:rsidR="00332447" w:rsidRDefault="00332447" w:rsidP="0053754D">
      <w:pPr>
        <w:autoSpaceDE w:val="0"/>
        <w:autoSpaceDN w:val="0"/>
        <w:adjustRightInd w:val="0"/>
        <w:jc w:val="both"/>
      </w:pPr>
    </w:p>
    <w:p w14:paraId="441BD6BC" w14:textId="7E706E11" w:rsidR="00332447" w:rsidRPr="00BD13B8" w:rsidRDefault="00332447" w:rsidP="0053754D">
      <w:pPr>
        <w:autoSpaceDE w:val="0"/>
        <w:autoSpaceDN w:val="0"/>
        <w:adjustRightInd w:val="0"/>
        <w:jc w:val="both"/>
      </w:pPr>
      <w:r w:rsidRPr="00332447">
        <w:t>Timonin, S., Danilova, I., Andreev, E., &amp; Shkolnikov, V. M. (2017). Recent Mortality Trend Reversal in Russia: Are Regions Following the Same Tempo?. European Journal of Population, 33(5), 733-763.</w:t>
      </w:r>
    </w:p>
    <w:p w14:paraId="6B7FAA39" w14:textId="778B10ED" w:rsidR="002010C1" w:rsidRPr="009D02A2" w:rsidRDefault="002010C1" w:rsidP="009D02A2">
      <w:pPr>
        <w:autoSpaceDE w:val="0"/>
        <w:autoSpaceDN w:val="0"/>
        <w:adjustRightInd w:val="0"/>
        <w:jc w:val="both"/>
        <w:rPr>
          <w:lang w:val="de-DE"/>
        </w:rPr>
      </w:pPr>
    </w:p>
    <w:sectPr w:rsidR="002010C1" w:rsidRPr="009D02A2" w:rsidSect="00BD3FF6">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10B849" w14:textId="77777777" w:rsidR="00967F30" w:rsidRDefault="00967F30" w:rsidP="00111E2D">
      <w:r>
        <w:separator/>
      </w:r>
    </w:p>
  </w:endnote>
  <w:endnote w:type="continuationSeparator" w:id="0">
    <w:p w14:paraId="1CDC0A4E" w14:textId="77777777" w:rsidR="00967F30" w:rsidRDefault="00967F30" w:rsidP="00111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Yu Gothic"/>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8637326"/>
      <w:docPartObj>
        <w:docPartGallery w:val="Page Numbers (Bottom of Page)"/>
        <w:docPartUnique/>
      </w:docPartObj>
    </w:sdtPr>
    <w:sdtEndPr>
      <w:rPr>
        <w:noProof/>
      </w:rPr>
    </w:sdtEndPr>
    <w:sdtContent>
      <w:p w14:paraId="7250C661" w14:textId="58705B2E" w:rsidR="00FD693E" w:rsidRDefault="00FD693E">
        <w:pPr>
          <w:pStyle w:val="Footer"/>
          <w:jc w:val="right"/>
        </w:pPr>
        <w:r>
          <w:fldChar w:fldCharType="begin"/>
        </w:r>
        <w:r>
          <w:instrText xml:space="preserve"> PAGE   \* MERGEFORMAT </w:instrText>
        </w:r>
        <w:r>
          <w:fldChar w:fldCharType="separate"/>
        </w:r>
        <w:r w:rsidR="0004327F">
          <w:rPr>
            <w:noProof/>
          </w:rPr>
          <w:t>24</w:t>
        </w:r>
        <w:r>
          <w:rPr>
            <w:noProof/>
          </w:rPr>
          <w:fldChar w:fldCharType="end"/>
        </w:r>
      </w:p>
    </w:sdtContent>
  </w:sdt>
  <w:p w14:paraId="1FD77DBD" w14:textId="77777777" w:rsidR="00FD693E" w:rsidRDefault="00FD69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C54E8A" w14:textId="77777777" w:rsidR="00967F30" w:rsidRDefault="00967F30" w:rsidP="00111E2D">
      <w:r>
        <w:separator/>
      </w:r>
    </w:p>
  </w:footnote>
  <w:footnote w:type="continuationSeparator" w:id="0">
    <w:p w14:paraId="619F5778" w14:textId="77777777" w:rsidR="00967F30" w:rsidRDefault="00967F30" w:rsidP="00111E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F36016C"/>
    <w:multiLevelType w:val="hybridMultilevel"/>
    <w:tmpl w:val="EF346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554ED6"/>
    <w:multiLevelType w:val="hybridMultilevel"/>
    <w:tmpl w:val="7D7A4BF8"/>
    <w:lvl w:ilvl="0" w:tplc="5A4C7308">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C5502"/>
    <w:multiLevelType w:val="hybridMultilevel"/>
    <w:tmpl w:val="DE002E84"/>
    <w:lvl w:ilvl="0" w:tplc="E33869D6">
      <w:start w:val="1"/>
      <w:numFmt w:val="decimal"/>
      <w:lvlText w:val="%1."/>
      <w:lvlJc w:val="left"/>
      <w:pPr>
        <w:ind w:left="720" w:hanging="360"/>
      </w:pPr>
      <w:rPr>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CA6857"/>
    <w:multiLevelType w:val="hybridMultilevel"/>
    <w:tmpl w:val="7A523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F80E35"/>
    <w:multiLevelType w:val="hybridMultilevel"/>
    <w:tmpl w:val="7D7A4BF8"/>
    <w:lvl w:ilvl="0" w:tplc="5A4C7308">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759"/>
    <w:rsid w:val="00000839"/>
    <w:rsid w:val="0000216D"/>
    <w:rsid w:val="00003AD7"/>
    <w:rsid w:val="00010A79"/>
    <w:rsid w:val="00011C47"/>
    <w:rsid w:val="00012759"/>
    <w:rsid w:val="000139CC"/>
    <w:rsid w:val="00020304"/>
    <w:rsid w:val="000250FC"/>
    <w:rsid w:val="00031891"/>
    <w:rsid w:val="000326DE"/>
    <w:rsid w:val="00032E21"/>
    <w:rsid w:val="00033919"/>
    <w:rsid w:val="00033A2E"/>
    <w:rsid w:val="00034CD9"/>
    <w:rsid w:val="000352B2"/>
    <w:rsid w:val="00036FA8"/>
    <w:rsid w:val="000378EE"/>
    <w:rsid w:val="0004157E"/>
    <w:rsid w:val="0004277E"/>
    <w:rsid w:val="0004327F"/>
    <w:rsid w:val="000448BE"/>
    <w:rsid w:val="00044A3C"/>
    <w:rsid w:val="00046D5C"/>
    <w:rsid w:val="00050BE2"/>
    <w:rsid w:val="00051B1F"/>
    <w:rsid w:val="00052FBE"/>
    <w:rsid w:val="00054324"/>
    <w:rsid w:val="00054DD6"/>
    <w:rsid w:val="0005683F"/>
    <w:rsid w:val="00056C50"/>
    <w:rsid w:val="00057817"/>
    <w:rsid w:val="000662E2"/>
    <w:rsid w:val="000728D0"/>
    <w:rsid w:val="00073C55"/>
    <w:rsid w:val="00076165"/>
    <w:rsid w:val="00087166"/>
    <w:rsid w:val="000913A9"/>
    <w:rsid w:val="00094A34"/>
    <w:rsid w:val="00095E10"/>
    <w:rsid w:val="000A0030"/>
    <w:rsid w:val="000A4BF1"/>
    <w:rsid w:val="000B09BB"/>
    <w:rsid w:val="000B09DB"/>
    <w:rsid w:val="000B1195"/>
    <w:rsid w:val="000B124A"/>
    <w:rsid w:val="000B3837"/>
    <w:rsid w:val="000C48B4"/>
    <w:rsid w:val="000C5953"/>
    <w:rsid w:val="000C7AC4"/>
    <w:rsid w:val="000D2831"/>
    <w:rsid w:val="000E0909"/>
    <w:rsid w:val="000E1A4C"/>
    <w:rsid w:val="000E38CD"/>
    <w:rsid w:val="000E4DC3"/>
    <w:rsid w:val="000E5CC6"/>
    <w:rsid w:val="000E622E"/>
    <w:rsid w:val="000F0BE9"/>
    <w:rsid w:val="000F1BD4"/>
    <w:rsid w:val="000F1CDD"/>
    <w:rsid w:val="000F3040"/>
    <w:rsid w:val="000F3999"/>
    <w:rsid w:val="000F3D91"/>
    <w:rsid w:val="000F482F"/>
    <w:rsid w:val="0010022C"/>
    <w:rsid w:val="00101B2C"/>
    <w:rsid w:val="00103DA3"/>
    <w:rsid w:val="00105B5E"/>
    <w:rsid w:val="00107161"/>
    <w:rsid w:val="00107767"/>
    <w:rsid w:val="00111E2D"/>
    <w:rsid w:val="00112EBD"/>
    <w:rsid w:val="001137B8"/>
    <w:rsid w:val="00114AA2"/>
    <w:rsid w:val="001170B6"/>
    <w:rsid w:val="00122D6F"/>
    <w:rsid w:val="00125A2E"/>
    <w:rsid w:val="00125AD4"/>
    <w:rsid w:val="0013085F"/>
    <w:rsid w:val="001312FA"/>
    <w:rsid w:val="00132232"/>
    <w:rsid w:val="00136050"/>
    <w:rsid w:val="00136163"/>
    <w:rsid w:val="00142AD4"/>
    <w:rsid w:val="00145283"/>
    <w:rsid w:val="00151A59"/>
    <w:rsid w:val="001522A2"/>
    <w:rsid w:val="00154EFB"/>
    <w:rsid w:val="00156358"/>
    <w:rsid w:val="00156786"/>
    <w:rsid w:val="00157EC9"/>
    <w:rsid w:val="001656D7"/>
    <w:rsid w:val="001664D0"/>
    <w:rsid w:val="001760C1"/>
    <w:rsid w:val="00180597"/>
    <w:rsid w:val="0018093F"/>
    <w:rsid w:val="00187043"/>
    <w:rsid w:val="00190709"/>
    <w:rsid w:val="0019176D"/>
    <w:rsid w:val="0019334B"/>
    <w:rsid w:val="0019693D"/>
    <w:rsid w:val="001A1F1B"/>
    <w:rsid w:val="001A2B25"/>
    <w:rsid w:val="001A37FE"/>
    <w:rsid w:val="001A460F"/>
    <w:rsid w:val="001A7EC9"/>
    <w:rsid w:val="001B0E8B"/>
    <w:rsid w:val="001B0E96"/>
    <w:rsid w:val="001B1004"/>
    <w:rsid w:val="001B1416"/>
    <w:rsid w:val="001B1DF2"/>
    <w:rsid w:val="001B23C3"/>
    <w:rsid w:val="001B244B"/>
    <w:rsid w:val="001B349A"/>
    <w:rsid w:val="001B6CF8"/>
    <w:rsid w:val="001C343E"/>
    <w:rsid w:val="001C6BD4"/>
    <w:rsid w:val="001D00C7"/>
    <w:rsid w:val="001D075A"/>
    <w:rsid w:val="001D38C3"/>
    <w:rsid w:val="001E4D5C"/>
    <w:rsid w:val="001E5F1D"/>
    <w:rsid w:val="001E62FD"/>
    <w:rsid w:val="001F142D"/>
    <w:rsid w:val="001F79E5"/>
    <w:rsid w:val="00200DA9"/>
    <w:rsid w:val="00201071"/>
    <w:rsid w:val="002010C1"/>
    <w:rsid w:val="0020160C"/>
    <w:rsid w:val="002043D9"/>
    <w:rsid w:val="002067DB"/>
    <w:rsid w:val="00207D6D"/>
    <w:rsid w:val="002137E8"/>
    <w:rsid w:val="00213A78"/>
    <w:rsid w:val="0022090B"/>
    <w:rsid w:val="00220B49"/>
    <w:rsid w:val="00222245"/>
    <w:rsid w:val="002222C5"/>
    <w:rsid w:val="002230B0"/>
    <w:rsid w:val="0022571B"/>
    <w:rsid w:val="00225E5A"/>
    <w:rsid w:val="00230A14"/>
    <w:rsid w:val="00231E1A"/>
    <w:rsid w:val="0023253A"/>
    <w:rsid w:val="00237BE4"/>
    <w:rsid w:val="00241FF9"/>
    <w:rsid w:val="00246314"/>
    <w:rsid w:val="002471C7"/>
    <w:rsid w:val="00247FD3"/>
    <w:rsid w:val="002514AC"/>
    <w:rsid w:val="0025242E"/>
    <w:rsid w:val="00256790"/>
    <w:rsid w:val="00257A24"/>
    <w:rsid w:val="00262D78"/>
    <w:rsid w:val="00274343"/>
    <w:rsid w:val="00274DE3"/>
    <w:rsid w:val="00275012"/>
    <w:rsid w:val="00275324"/>
    <w:rsid w:val="00276231"/>
    <w:rsid w:val="00281CE3"/>
    <w:rsid w:val="00282378"/>
    <w:rsid w:val="002827EE"/>
    <w:rsid w:val="00282A2C"/>
    <w:rsid w:val="00283409"/>
    <w:rsid w:val="00284F19"/>
    <w:rsid w:val="00286A4D"/>
    <w:rsid w:val="00295AE2"/>
    <w:rsid w:val="00297A2C"/>
    <w:rsid w:val="002A25CF"/>
    <w:rsid w:val="002A6470"/>
    <w:rsid w:val="002A6643"/>
    <w:rsid w:val="002A7ED9"/>
    <w:rsid w:val="002B11C7"/>
    <w:rsid w:val="002B2056"/>
    <w:rsid w:val="002B2BAA"/>
    <w:rsid w:val="002B4381"/>
    <w:rsid w:val="002B56AB"/>
    <w:rsid w:val="002C20A7"/>
    <w:rsid w:val="002C333F"/>
    <w:rsid w:val="002C3AF4"/>
    <w:rsid w:val="002C6D6F"/>
    <w:rsid w:val="002C6DDA"/>
    <w:rsid w:val="002C6F23"/>
    <w:rsid w:val="002D22EE"/>
    <w:rsid w:val="002D6753"/>
    <w:rsid w:val="002D6BF9"/>
    <w:rsid w:val="002D7A5B"/>
    <w:rsid w:val="002E203F"/>
    <w:rsid w:val="002E65F0"/>
    <w:rsid w:val="002E691D"/>
    <w:rsid w:val="002E6C64"/>
    <w:rsid w:val="002F1889"/>
    <w:rsid w:val="002F1B60"/>
    <w:rsid w:val="002F36B5"/>
    <w:rsid w:val="002F3A8E"/>
    <w:rsid w:val="002F674F"/>
    <w:rsid w:val="002F743F"/>
    <w:rsid w:val="00302F6D"/>
    <w:rsid w:val="00314027"/>
    <w:rsid w:val="0031445F"/>
    <w:rsid w:val="00315ADC"/>
    <w:rsid w:val="00316FCE"/>
    <w:rsid w:val="00320978"/>
    <w:rsid w:val="0032147D"/>
    <w:rsid w:val="0032214D"/>
    <w:rsid w:val="003244F4"/>
    <w:rsid w:val="00326457"/>
    <w:rsid w:val="00332447"/>
    <w:rsid w:val="00335498"/>
    <w:rsid w:val="00336286"/>
    <w:rsid w:val="003405DE"/>
    <w:rsid w:val="003413DE"/>
    <w:rsid w:val="00341C58"/>
    <w:rsid w:val="00342CA1"/>
    <w:rsid w:val="00344170"/>
    <w:rsid w:val="00351A93"/>
    <w:rsid w:val="0035254A"/>
    <w:rsid w:val="0035340E"/>
    <w:rsid w:val="003539EE"/>
    <w:rsid w:val="00356719"/>
    <w:rsid w:val="00360ACE"/>
    <w:rsid w:val="00362B69"/>
    <w:rsid w:val="0036306C"/>
    <w:rsid w:val="003668E6"/>
    <w:rsid w:val="00367539"/>
    <w:rsid w:val="00367546"/>
    <w:rsid w:val="00371BF6"/>
    <w:rsid w:val="003755B0"/>
    <w:rsid w:val="00376A00"/>
    <w:rsid w:val="00382300"/>
    <w:rsid w:val="003826E5"/>
    <w:rsid w:val="00384ACE"/>
    <w:rsid w:val="00387A58"/>
    <w:rsid w:val="00390FD7"/>
    <w:rsid w:val="00392CED"/>
    <w:rsid w:val="00393E25"/>
    <w:rsid w:val="0039750F"/>
    <w:rsid w:val="00397B9A"/>
    <w:rsid w:val="003A445F"/>
    <w:rsid w:val="003A684F"/>
    <w:rsid w:val="003A7DD7"/>
    <w:rsid w:val="003B13ED"/>
    <w:rsid w:val="003B63F2"/>
    <w:rsid w:val="003C1312"/>
    <w:rsid w:val="003C32E0"/>
    <w:rsid w:val="003C4037"/>
    <w:rsid w:val="003C461F"/>
    <w:rsid w:val="003C566A"/>
    <w:rsid w:val="003C7E1E"/>
    <w:rsid w:val="003D141E"/>
    <w:rsid w:val="003D1DAB"/>
    <w:rsid w:val="003D4BC2"/>
    <w:rsid w:val="003D5E2F"/>
    <w:rsid w:val="003E0792"/>
    <w:rsid w:val="003F0262"/>
    <w:rsid w:val="003F1760"/>
    <w:rsid w:val="003F2E29"/>
    <w:rsid w:val="003F3399"/>
    <w:rsid w:val="003F6508"/>
    <w:rsid w:val="003F69AC"/>
    <w:rsid w:val="004014B5"/>
    <w:rsid w:val="004030FD"/>
    <w:rsid w:val="00404C49"/>
    <w:rsid w:val="0040556D"/>
    <w:rsid w:val="00405FDA"/>
    <w:rsid w:val="00423766"/>
    <w:rsid w:val="00424EAB"/>
    <w:rsid w:val="00425B13"/>
    <w:rsid w:val="00432A5D"/>
    <w:rsid w:val="0043350D"/>
    <w:rsid w:val="00433F40"/>
    <w:rsid w:val="0044264F"/>
    <w:rsid w:val="00442C2A"/>
    <w:rsid w:val="0045118A"/>
    <w:rsid w:val="00452E05"/>
    <w:rsid w:val="00453053"/>
    <w:rsid w:val="00453E47"/>
    <w:rsid w:val="00463763"/>
    <w:rsid w:val="004641A8"/>
    <w:rsid w:val="00466637"/>
    <w:rsid w:val="00467608"/>
    <w:rsid w:val="00471201"/>
    <w:rsid w:val="004712B6"/>
    <w:rsid w:val="0047499B"/>
    <w:rsid w:val="0047635A"/>
    <w:rsid w:val="00482126"/>
    <w:rsid w:val="00482BF1"/>
    <w:rsid w:val="00483D92"/>
    <w:rsid w:val="00486CC5"/>
    <w:rsid w:val="00493777"/>
    <w:rsid w:val="00494FFF"/>
    <w:rsid w:val="004971B4"/>
    <w:rsid w:val="00497205"/>
    <w:rsid w:val="004A3893"/>
    <w:rsid w:val="004A7EA8"/>
    <w:rsid w:val="004B0A50"/>
    <w:rsid w:val="004B13C7"/>
    <w:rsid w:val="004B3248"/>
    <w:rsid w:val="004B3D23"/>
    <w:rsid w:val="004B50C8"/>
    <w:rsid w:val="004C25F7"/>
    <w:rsid w:val="004C5C15"/>
    <w:rsid w:val="004D05B7"/>
    <w:rsid w:val="004D4184"/>
    <w:rsid w:val="004D71BA"/>
    <w:rsid w:val="004D7A8A"/>
    <w:rsid w:val="004E0DD1"/>
    <w:rsid w:val="004E3309"/>
    <w:rsid w:val="004E3D11"/>
    <w:rsid w:val="004E5491"/>
    <w:rsid w:val="004F345F"/>
    <w:rsid w:val="004F3C4E"/>
    <w:rsid w:val="005127AD"/>
    <w:rsid w:val="00512EE4"/>
    <w:rsid w:val="00513258"/>
    <w:rsid w:val="0051350D"/>
    <w:rsid w:val="00513915"/>
    <w:rsid w:val="00513A1B"/>
    <w:rsid w:val="00514186"/>
    <w:rsid w:val="0051598C"/>
    <w:rsid w:val="00521F34"/>
    <w:rsid w:val="00530F2C"/>
    <w:rsid w:val="0053412B"/>
    <w:rsid w:val="005346FA"/>
    <w:rsid w:val="0053754D"/>
    <w:rsid w:val="00542006"/>
    <w:rsid w:val="0054788E"/>
    <w:rsid w:val="005506CB"/>
    <w:rsid w:val="005537C3"/>
    <w:rsid w:val="00553F00"/>
    <w:rsid w:val="005606AC"/>
    <w:rsid w:val="00562EB5"/>
    <w:rsid w:val="00565FE0"/>
    <w:rsid w:val="005660F8"/>
    <w:rsid w:val="0057022D"/>
    <w:rsid w:val="00582250"/>
    <w:rsid w:val="005825D4"/>
    <w:rsid w:val="00583C0A"/>
    <w:rsid w:val="00586ECB"/>
    <w:rsid w:val="0058704A"/>
    <w:rsid w:val="005930AD"/>
    <w:rsid w:val="005943A1"/>
    <w:rsid w:val="00594C00"/>
    <w:rsid w:val="005959D8"/>
    <w:rsid w:val="00597B92"/>
    <w:rsid w:val="005A00A8"/>
    <w:rsid w:val="005A2211"/>
    <w:rsid w:val="005A5C67"/>
    <w:rsid w:val="005A7EAF"/>
    <w:rsid w:val="005B19C7"/>
    <w:rsid w:val="005B1D74"/>
    <w:rsid w:val="005B647C"/>
    <w:rsid w:val="005B7582"/>
    <w:rsid w:val="005C1E07"/>
    <w:rsid w:val="005C4F15"/>
    <w:rsid w:val="005D24E0"/>
    <w:rsid w:val="005D2898"/>
    <w:rsid w:val="005E6B81"/>
    <w:rsid w:val="005F2437"/>
    <w:rsid w:val="005F3B12"/>
    <w:rsid w:val="005F50FB"/>
    <w:rsid w:val="005F5EA7"/>
    <w:rsid w:val="005F6A12"/>
    <w:rsid w:val="005F7FFD"/>
    <w:rsid w:val="006001F1"/>
    <w:rsid w:val="00601943"/>
    <w:rsid w:val="00602F01"/>
    <w:rsid w:val="00604E27"/>
    <w:rsid w:val="0060724F"/>
    <w:rsid w:val="00612340"/>
    <w:rsid w:val="006205B0"/>
    <w:rsid w:val="00621165"/>
    <w:rsid w:val="00622313"/>
    <w:rsid w:val="006254AA"/>
    <w:rsid w:val="00630C47"/>
    <w:rsid w:val="0063262B"/>
    <w:rsid w:val="00635107"/>
    <w:rsid w:val="006351F2"/>
    <w:rsid w:val="00641A6E"/>
    <w:rsid w:val="00644C74"/>
    <w:rsid w:val="0064676F"/>
    <w:rsid w:val="0064685C"/>
    <w:rsid w:val="00653B4A"/>
    <w:rsid w:val="00655753"/>
    <w:rsid w:val="006557A5"/>
    <w:rsid w:val="006577E7"/>
    <w:rsid w:val="00670BBA"/>
    <w:rsid w:val="006717FB"/>
    <w:rsid w:val="00672231"/>
    <w:rsid w:val="00674EC3"/>
    <w:rsid w:val="006759F7"/>
    <w:rsid w:val="00677FA2"/>
    <w:rsid w:val="00681D8C"/>
    <w:rsid w:val="00690DD0"/>
    <w:rsid w:val="00693DB7"/>
    <w:rsid w:val="006958C4"/>
    <w:rsid w:val="00695A68"/>
    <w:rsid w:val="006A100D"/>
    <w:rsid w:val="006A715D"/>
    <w:rsid w:val="006B028C"/>
    <w:rsid w:val="006B0774"/>
    <w:rsid w:val="006B10D2"/>
    <w:rsid w:val="006B1B78"/>
    <w:rsid w:val="006B26F0"/>
    <w:rsid w:val="006B29CC"/>
    <w:rsid w:val="006B6AE6"/>
    <w:rsid w:val="006C06DB"/>
    <w:rsid w:val="006C08CB"/>
    <w:rsid w:val="006C3BE9"/>
    <w:rsid w:val="006C429B"/>
    <w:rsid w:val="006C6B99"/>
    <w:rsid w:val="006D1AC0"/>
    <w:rsid w:val="006D1B46"/>
    <w:rsid w:val="006D2284"/>
    <w:rsid w:val="006D2F44"/>
    <w:rsid w:val="006D42BD"/>
    <w:rsid w:val="006D43BA"/>
    <w:rsid w:val="006D672E"/>
    <w:rsid w:val="006D7C1F"/>
    <w:rsid w:val="006E4616"/>
    <w:rsid w:val="006E7A37"/>
    <w:rsid w:val="006F07A0"/>
    <w:rsid w:val="006F1F66"/>
    <w:rsid w:val="006F71D8"/>
    <w:rsid w:val="006F738A"/>
    <w:rsid w:val="00703E13"/>
    <w:rsid w:val="007058E1"/>
    <w:rsid w:val="0070659B"/>
    <w:rsid w:val="007108B6"/>
    <w:rsid w:val="00711CE1"/>
    <w:rsid w:val="0071272B"/>
    <w:rsid w:val="007133E2"/>
    <w:rsid w:val="00714B0B"/>
    <w:rsid w:val="007176F0"/>
    <w:rsid w:val="007224C2"/>
    <w:rsid w:val="00722998"/>
    <w:rsid w:val="0072373B"/>
    <w:rsid w:val="00726A04"/>
    <w:rsid w:val="007332AD"/>
    <w:rsid w:val="00733415"/>
    <w:rsid w:val="00735FD4"/>
    <w:rsid w:val="00737C05"/>
    <w:rsid w:val="007400D9"/>
    <w:rsid w:val="00740649"/>
    <w:rsid w:val="00740FFE"/>
    <w:rsid w:val="007413F3"/>
    <w:rsid w:val="0074201B"/>
    <w:rsid w:val="00750868"/>
    <w:rsid w:val="00750EED"/>
    <w:rsid w:val="00754C49"/>
    <w:rsid w:val="00754D29"/>
    <w:rsid w:val="007646B4"/>
    <w:rsid w:val="007703E9"/>
    <w:rsid w:val="00772B3D"/>
    <w:rsid w:val="0077374E"/>
    <w:rsid w:val="007745F4"/>
    <w:rsid w:val="007750CE"/>
    <w:rsid w:val="00780E4C"/>
    <w:rsid w:val="00781DE5"/>
    <w:rsid w:val="00784E1B"/>
    <w:rsid w:val="0078559E"/>
    <w:rsid w:val="00787EE1"/>
    <w:rsid w:val="00790A78"/>
    <w:rsid w:val="00792E58"/>
    <w:rsid w:val="007932EE"/>
    <w:rsid w:val="00793312"/>
    <w:rsid w:val="007936C9"/>
    <w:rsid w:val="00794E06"/>
    <w:rsid w:val="007A205A"/>
    <w:rsid w:val="007A3790"/>
    <w:rsid w:val="007A5C8C"/>
    <w:rsid w:val="007B392A"/>
    <w:rsid w:val="007B4E5E"/>
    <w:rsid w:val="007B55AD"/>
    <w:rsid w:val="007B6A50"/>
    <w:rsid w:val="007B6C6E"/>
    <w:rsid w:val="007C0AD4"/>
    <w:rsid w:val="007C2806"/>
    <w:rsid w:val="007D2FCA"/>
    <w:rsid w:val="007D611C"/>
    <w:rsid w:val="007E108B"/>
    <w:rsid w:val="007E13B7"/>
    <w:rsid w:val="007E4275"/>
    <w:rsid w:val="007E573E"/>
    <w:rsid w:val="007E580E"/>
    <w:rsid w:val="007F2B15"/>
    <w:rsid w:val="007F40AE"/>
    <w:rsid w:val="007F6A72"/>
    <w:rsid w:val="00800EB0"/>
    <w:rsid w:val="0080320F"/>
    <w:rsid w:val="00803F49"/>
    <w:rsid w:val="00804104"/>
    <w:rsid w:val="0080434A"/>
    <w:rsid w:val="00807573"/>
    <w:rsid w:val="00807AB8"/>
    <w:rsid w:val="008117B3"/>
    <w:rsid w:val="008125EE"/>
    <w:rsid w:val="008125EF"/>
    <w:rsid w:val="0081282D"/>
    <w:rsid w:val="00815688"/>
    <w:rsid w:val="00815E58"/>
    <w:rsid w:val="00817F61"/>
    <w:rsid w:val="00822706"/>
    <w:rsid w:val="008230A4"/>
    <w:rsid w:val="00824D1B"/>
    <w:rsid w:val="00840D6B"/>
    <w:rsid w:val="00842B6D"/>
    <w:rsid w:val="00844C49"/>
    <w:rsid w:val="00847CAD"/>
    <w:rsid w:val="0085083D"/>
    <w:rsid w:val="008528A0"/>
    <w:rsid w:val="008576D9"/>
    <w:rsid w:val="0085782A"/>
    <w:rsid w:val="00861FF9"/>
    <w:rsid w:val="00863CC0"/>
    <w:rsid w:val="008648C5"/>
    <w:rsid w:val="00864F44"/>
    <w:rsid w:val="00867D6B"/>
    <w:rsid w:val="00871BAA"/>
    <w:rsid w:val="00873FC0"/>
    <w:rsid w:val="00880086"/>
    <w:rsid w:val="0088332B"/>
    <w:rsid w:val="00884192"/>
    <w:rsid w:val="008859B4"/>
    <w:rsid w:val="00891E89"/>
    <w:rsid w:val="008922EA"/>
    <w:rsid w:val="008926BE"/>
    <w:rsid w:val="00892726"/>
    <w:rsid w:val="00893DB6"/>
    <w:rsid w:val="00894CE8"/>
    <w:rsid w:val="008A02DB"/>
    <w:rsid w:val="008A0B25"/>
    <w:rsid w:val="008A3A71"/>
    <w:rsid w:val="008B0894"/>
    <w:rsid w:val="008B4FED"/>
    <w:rsid w:val="008B5374"/>
    <w:rsid w:val="008B73FF"/>
    <w:rsid w:val="008B74CF"/>
    <w:rsid w:val="008B7FCF"/>
    <w:rsid w:val="008C0DDF"/>
    <w:rsid w:val="008C153B"/>
    <w:rsid w:val="008C1A6D"/>
    <w:rsid w:val="008C3687"/>
    <w:rsid w:val="008C6146"/>
    <w:rsid w:val="008C66B0"/>
    <w:rsid w:val="008D0BB4"/>
    <w:rsid w:val="008D0E08"/>
    <w:rsid w:val="008D0E30"/>
    <w:rsid w:val="008D2903"/>
    <w:rsid w:val="008D31E8"/>
    <w:rsid w:val="008D528C"/>
    <w:rsid w:val="008E075C"/>
    <w:rsid w:val="008E077F"/>
    <w:rsid w:val="008E1A0B"/>
    <w:rsid w:val="008E653E"/>
    <w:rsid w:val="008F1988"/>
    <w:rsid w:val="008F577C"/>
    <w:rsid w:val="008F685E"/>
    <w:rsid w:val="008F75ED"/>
    <w:rsid w:val="009001BE"/>
    <w:rsid w:val="00901125"/>
    <w:rsid w:val="00901FBE"/>
    <w:rsid w:val="00911ABB"/>
    <w:rsid w:val="0091252E"/>
    <w:rsid w:val="009214E8"/>
    <w:rsid w:val="0092417F"/>
    <w:rsid w:val="00924AFA"/>
    <w:rsid w:val="00927265"/>
    <w:rsid w:val="00930747"/>
    <w:rsid w:val="00931BDE"/>
    <w:rsid w:val="00931BE6"/>
    <w:rsid w:val="00932041"/>
    <w:rsid w:val="00933E94"/>
    <w:rsid w:val="00942229"/>
    <w:rsid w:val="00945A0A"/>
    <w:rsid w:val="0094643D"/>
    <w:rsid w:val="009515AD"/>
    <w:rsid w:val="009529E6"/>
    <w:rsid w:val="00955DBF"/>
    <w:rsid w:val="0095610F"/>
    <w:rsid w:val="00957A96"/>
    <w:rsid w:val="00957D97"/>
    <w:rsid w:val="00963BE4"/>
    <w:rsid w:val="00964D3B"/>
    <w:rsid w:val="00967F30"/>
    <w:rsid w:val="0097242A"/>
    <w:rsid w:val="009728EE"/>
    <w:rsid w:val="00972F0B"/>
    <w:rsid w:val="00975961"/>
    <w:rsid w:val="00976C25"/>
    <w:rsid w:val="00977E15"/>
    <w:rsid w:val="009815F0"/>
    <w:rsid w:val="00981CA2"/>
    <w:rsid w:val="00982A3C"/>
    <w:rsid w:val="00984BF1"/>
    <w:rsid w:val="009857AD"/>
    <w:rsid w:val="0098710D"/>
    <w:rsid w:val="0099100E"/>
    <w:rsid w:val="00992CFC"/>
    <w:rsid w:val="009954F4"/>
    <w:rsid w:val="00995A79"/>
    <w:rsid w:val="009979FC"/>
    <w:rsid w:val="00997A12"/>
    <w:rsid w:val="00997E8C"/>
    <w:rsid w:val="009A55F0"/>
    <w:rsid w:val="009A712C"/>
    <w:rsid w:val="009B0608"/>
    <w:rsid w:val="009B32FD"/>
    <w:rsid w:val="009B4E26"/>
    <w:rsid w:val="009C5FEF"/>
    <w:rsid w:val="009C6366"/>
    <w:rsid w:val="009D02A2"/>
    <w:rsid w:val="009D5A9F"/>
    <w:rsid w:val="009E220F"/>
    <w:rsid w:val="009E337C"/>
    <w:rsid w:val="009E4357"/>
    <w:rsid w:val="009E50DB"/>
    <w:rsid w:val="009E5DFB"/>
    <w:rsid w:val="009F1C53"/>
    <w:rsid w:val="009F6742"/>
    <w:rsid w:val="009F7473"/>
    <w:rsid w:val="00A00DEB"/>
    <w:rsid w:val="00A033C4"/>
    <w:rsid w:val="00A10858"/>
    <w:rsid w:val="00A10979"/>
    <w:rsid w:val="00A10CD4"/>
    <w:rsid w:val="00A115C4"/>
    <w:rsid w:val="00A12678"/>
    <w:rsid w:val="00A1665B"/>
    <w:rsid w:val="00A16D08"/>
    <w:rsid w:val="00A21FDB"/>
    <w:rsid w:val="00A26D5E"/>
    <w:rsid w:val="00A27608"/>
    <w:rsid w:val="00A278D0"/>
    <w:rsid w:val="00A33431"/>
    <w:rsid w:val="00A34D9F"/>
    <w:rsid w:val="00A34E31"/>
    <w:rsid w:val="00A369AA"/>
    <w:rsid w:val="00A36D6D"/>
    <w:rsid w:val="00A44C68"/>
    <w:rsid w:val="00A46076"/>
    <w:rsid w:val="00A47171"/>
    <w:rsid w:val="00A471FD"/>
    <w:rsid w:val="00A54AC7"/>
    <w:rsid w:val="00A55638"/>
    <w:rsid w:val="00A618AF"/>
    <w:rsid w:val="00A63EAE"/>
    <w:rsid w:val="00A641B7"/>
    <w:rsid w:val="00A64498"/>
    <w:rsid w:val="00A645AC"/>
    <w:rsid w:val="00A66CCC"/>
    <w:rsid w:val="00A73DAE"/>
    <w:rsid w:val="00A75D4E"/>
    <w:rsid w:val="00A76650"/>
    <w:rsid w:val="00A77739"/>
    <w:rsid w:val="00A84DBB"/>
    <w:rsid w:val="00A934A2"/>
    <w:rsid w:val="00A97029"/>
    <w:rsid w:val="00AA0177"/>
    <w:rsid w:val="00AA0D76"/>
    <w:rsid w:val="00AA2040"/>
    <w:rsid w:val="00AA5C09"/>
    <w:rsid w:val="00AB0EF4"/>
    <w:rsid w:val="00AB1D32"/>
    <w:rsid w:val="00AB3041"/>
    <w:rsid w:val="00AB53BD"/>
    <w:rsid w:val="00AB6679"/>
    <w:rsid w:val="00AC209E"/>
    <w:rsid w:val="00AC6114"/>
    <w:rsid w:val="00AD06DA"/>
    <w:rsid w:val="00AD0CA3"/>
    <w:rsid w:val="00AD0F06"/>
    <w:rsid w:val="00AD293F"/>
    <w:rsid w:val="00AD3456"/>
    <w:rsid w:val="00AD3FD7"/>
    <w:rsid w:val="00AE7FAE"/>
    <w:rsid w:val="00AF05F4"/>
    <w:rsid w:val="00AF10E8"/>
    <w:rsid w:val="00AF189B"/>
    <w:rsid w:val="00AF61AF"/>
    <w:rsid w:val="00AF6226"/>
    <w:rsid w:val="00B03834"/>
    <w:rsid w:val="00B03CD6"/>
    <w:rsid w:val="00B05F49"/>
    <w:rsid w:val="00B06BDA"/>
    <w:rsid w:val="00B07CB5"/>
    <w:rsid w:val="00B10706"/>
    <w:rsid w:val="00B154C1"/>
    <w:rsid w:val="00B20B9D"/>
    <w:rsid w:val="00B23690"/>
    <w:rsid w:val="00B27097"/>
    <w:rsid w:val="00B30398"/>
    <w:rsid w:val="00B31A3D"/>
    <w:rsid w:val="00B32578"/>
    <w:rsid w:val="00B3388D"/>
    <w:rsid w:val="00B341DA"/>
    <w:rsid w:val="00B34A02"/>
    <w:rsid w:val="00B34E79"/>
    <w:rsid w:val="00B40C0A"/>
    <w:rsid w:val="00B40E2C"/>
    <w:rsid w:val="00B4160E"/>
    <w:rsid w:val="00B4247F"/>
    <w:rsid w:val="00B44770"/>
    <w:rsid w:val="00B462CA"/>
    <w:rsid w:val="00B46FCA"/>
    <w:rsid w:val="00B47293"/>
    <w:rsid w:val="00B514E2"/>
    <w:rsid w:val="00B54E51"/>
    <w:rsid w:val="00B54E98"/>
    <w:rsid w:val="00B557A1"/>
    <w:rsid w:val="00B560D1"/>
    <w:rsid w:val="00B5648F"/>
    <w:rsid w:val="00B575D7"/>
    <w:rsid w:val="00B617BD"/>
    <w:rsid w:val="00B66992"/>
    <w:rsid w:val="00B66AAD"/>
    <w:rsid w:val="00B82B1E"/>
    <w:rsid w:val="00B82DF6"/>
    <w:rsid w:val="00B8687D"/>
    <w:rsid w:val="00B92185"/>
    <w:rsid w:val="00B932BB"/>
    <w:rsid w:val="00B938E8"/>
    <w:rsid w:val="00B93B69"/>
    <w:rsid w:val="00B93C45"/>
    <w:rsid w:val="00B95A80"/>
    <w:rsid w:val="00B95C0E"/>
    <w:rsid w:val="00BA145E"/>
    <w:rsid w:val="00BA7D6A"/>
    <w:rsid w:val="00BC2C03"/>
    <w:rsid w:val="00BC5077"/>
    <w:rsid w:val="00BC6EAC"/>
    <w:rsid w:val="00BC7E72"/>
    <w:rsid w:val="00BD13B8"/>
    <w:rsid w:val="00BD2346"/>
    <w:rsid w:val="00BD3349"/>
    <w:rsid w:val="00BD3FF6"/>
    <w:rsid w:val="00BD56DF"/>
    <w:rsid w:val="00BD7B91"/>
    <w:rsid w:val="00BE30F7"/>
    <w:rsid w:val="00BE36DB"/>
    <w:rsid w:val="00BE7606"/>
    <w:rsid w:val="00BE7DD3"/>
    <w:rsid w:val="00BF2BF8"/>
    <w:rsid w:val="00BF44B6"/>
    <w:rsid w:val="00BF63FA"/>
    <w:rsid w:val="00C00CA1"/>
    <w:rsid w:val="00C03807"/>
    <w:rsid w:val="00C0713A"/>
    <w:rsid w:val="00C10B72"/>
    <w:rsid w:val="00C1166D"/>
    <w:rsid w:val="00C116AD"/>
    <w:rsid w:val="00C13ABF"/>
    <w:rsid w:val="00C144FB"/>
    <w:rsid w:val="00C22E5F"/>
    <w:rsid w:val="00C231BD"/>
    <w:rsid w:val="00C23C8D"/>
    <w:rsid w:val="00C2458F"/>
    <w:rsid w:val="00C258B6"/>
    <w:rsid w:val="00C278C7"/>
    <w:rsid w:val="00C312E0"/>
    <w:rsid w:val="00C342E7"/>
    <w:rsid w:val="00C37D66"/>
    <w:rsid w:val="00C438AA"/>
    <w:rsid w:val="00C438DE"/>
    <w:rsid w:val="00C44EBA"/>
    <w:rsid w:val="00C477B5"/>
    <w:rsid w:val="00C5288F"/>
    <w:rsid w:val="00C556C2"/>
    <w:rsid w:val="00C56541"/>
    <w:rsid w:val="00C60FB3"/>
    <w:rsid w:val="00C6214F"/>
    <w:rsid w:val="00C630C3"/>
    <w:rsid w:val="00C659CF"/>
    <w:rsid w:val="00C704E7"/>
    <w:rsid w:val="00C74FF6"/>
    <w:rsid w:val="00C75100"/>
    <w:rsid w:val="00C83017"/>
    <w:rsid w:val="00C86997"/>
    <w:rsid w:val="00C943E0"/>
    <w:rsid w:val="00C9481C"/>
    <w:rsid w:val="00C94A27"/>
    <w:rsid w:val="00C94DB1"/>
    <w:rsid w:val="00CA1366"/>
    <w:rsid w:val="00CA22A3"/>
    <w:rsid w:val="00CA23F5"/>
    <w:rsid w:val="00CA4F98"/>
    <w:rsid w:val="00CA72A6"/>
    <w:rsid w:val="00CB0221"/>
    <w:rsid w:val="00CB0F59"/>
    <w:rsid w:val="00CB457A"/>
    <w:rsid w:val="00CB6D03"/>
    <w:rsid w:val="00CB7727"/>
    <w:rsid w:val="00CC3617"/>
    <w:rsid w:val="00CC5E86"/>
    <w:rsid w:val="00CC6DDC"/>
    <w:rsid w:val="00CD043A"/>
    <w:rsid w:val="00CD04E9"/>
    <w:rsid w:val="00CD2BCA"/>
    <w:rsid w:val="00CD6D39"/>
    <w:rsid w:val="00CE0A2F"/>
    <w:rsid w:val="00CE0A94"/>
    <w:rsid w:val="00CF09A5"/>
    <w:rsid w:val="00CF394C"/>
    <w:rsid w:val="00CF58C3"/>
    <w:rsid w:val="00D023E6"/>
    <w:rsid w:val="00D04395"/>
    <w:rsid w:val="00D06432"/>
    <w:rsid w:val="00D06E95"/>
    <w:rsid w:val="00D0700D"/>
    <w:rsid w:val="00D103E7"/>
    <w:rsid w:val="00D15FDC"/>
    <w:rsid w:val="00D1763B"/>
    <w:rsid w:val="00D178E8"/>
    <w:rsid w:val="00D229F9"/>
    <w:rsid w:val="00D30D95"/>
    <w:rsid w:val="00D322A1"/>
    <w:rsid w:val="00D34239"/>
    <w:rsid w:val="00D34ADF"/>
    <w:rsid w:val="00D35D2B"/>
    <w:rsid w:val="00D379F2"/>
    <w:rsid w:val="00D4009E"/>
    <w:rsid w:val="00D4099B"/>
    <w:rsid w:val="00D445A8"/>
    <w:rsid w:val="00D556EC"/>
    <w:rsid w:val="00D559A3"/>
    <w:rsid w:val="00D55B0E"/>
    <w:rsid w:val="00D6487D"/>
    <w:rsid w:val="00D660E7"/>
    <w:rsid w:val="00D66905"/>
    <w:rsid w:val="00D7094D"/>
    <w:rsid w:val="00D70F84"/>
    <w:rsid w:val="00D7305E"/>
    <w:rsid w:val="00D733E9"/>
    <w:rsid w:val="00D74E9C"/>
    <w:rsid w:val="00D752C7"/>
    <w:rsid w:val="00D756AE"/>
    <w:rsid w:val="00D76CE6"/>
    <w:rsid w:val="00D81AC5"/>
    <w:rsid w:val="00D85BEC"/>
    <w:rsid w:val="00D9096A"/>
    <w:rsid w:val="00D934AB"/>
    <w:rsid w:val="00D93F2F"/>
    <w:rsid w:val="00D94D87"/>
    <w:rsid w:val="00D971D9"/>
    <w:rsid w:val="00D97A60"/>
    <w:rsid w:val="00DA03B8"/>
    <w:rsid w:val="00DA07C9"/>
    <w:rsid w:val="00DA1CC7"/>
    <w:rsid w:val="00DA23FC"/>
    <w:rsid w:val="00DA483B"/>
    <w:rsid w:val="00DA4F4D"/>
    <w:rsid w:val="00DA627C"/>
    <w:rsid w:val="00DB1D66"/>
    <w:rsid w:val="00DB1FB1"/>
    <w:rsid w:val="00DB239E"/>
    <w:rsid w:val="00DB3F2F"/>
    <w:rsid w:val="00DB41CE"/>
    <w:rsid w:val="00DB4D5E"/>
    <w:rsid w:val="00DB5A7B"/>
    <w:rsid w:val="00DB5C79"/>
    <w:rsid w:val="00DC0CBE"/>
    <w:rsid w:val="00DC0EC5"/>
    <w:rsid w:val="00DC12A8"/>
    <w:rsid w:val="00DC23C5"/>
    <w:rsid w:val="00DC378F"/>
    <w:rsid w:val="00DC467C"/>
    <w:rsid w:val="00DC71D5"/>
    <w:rsid w:val="00DD3EDC"/>
    <w:rsid w:val="00DD51B8"/>
    <w:rsid w:val="00DD6E9E"/>
    <w:rsid w:val="00DE135B"/>
    <w:rsid w:val="00DE448D"/>
    <w:rsid w:val="00DF151C"/>
    <w:rsid w:val="00DF2FEE"/>
    <w:rsid w:val="00E009D7"/>
    <w:rsid w:val="00E11594"/>
    <w:rsid w:val="00E21DCA"/>
    <w:rsid w:val="00E23071"/>
    <w:rsid w:val="00E2428D"/>
    <w:rsid w:val="00E248AE"/>
    <w:rsid w:val="00E25744"/>
    <w:rsid w:val="00E271AA"/>
    <w:rsid w:val="00E271C4"/>
    <w:rsid w:val="00E274BD"/>
    <w:rsid w:val="00E3029F"/>
    <w:rsid w:val="00E363A2"/>
    <w:rsid w:val="00E44E39"/>
    <w:rsid w:val="00E45D94"/>
    <w:rsid w:val="00E4758E"/>
    <w:rsid w:val="00E47CCB"/>
    <w:rsid w:val="00E5567B"/>
    <w:rsid w:val="00E61FF8"/>
    <w:rsid w:val="00E64E9F"/>
    <w:rsid w:val="00E71D3B"/>
    <w:rsid w:val="00E75EF0"/>
    <w:rsid w:val="00E774A8"/>
    <w:rsid w:val="00E812AC"/>
    <w:rsid w:val="00E81404"/>
    <w:rsid w:val="00E84619"/>
    <w:rsid w:val="00E85281"/>
    <w:rsid w:val="00E90A67"/>
    <w:rsid w:val="00E94A2A"/>
    <w:rsid w:val="00E95EE7"/>
    <w:rsid w:val="00E96A62"/>
    <w:rsid w:val="00E96E13"/>
    <w:rsid w:val="00E9728E"/>
    <w:rsid w:val="00E9729B"/>
    <w:rsid w:val="00E972A1"/>
    <w:rsid w:val="00EA1305"/>
    <w:rsid w:val="00EA5877"/>
    <w:rsid w:val="00EA5BF4"/>
    <w:rsid w:val="00EB003E"/>
    <w:rsid w:val="00EB2127"/>
    <w:rsid w:val="00EB2E28"/>
    <w:rsid w:val="00EB6968"/>
    <w:rsid w:val="00EC01E9"/>
    <w:rsid w:val="00EC46EA"/>
    <w:rsid w:val="00EC5E57"/>
    <w:rsid w:val="00EC604D"/>
    <w:rsid w:val="00ED1FE1"/>
    <w:rsid w:val="00ED20E2"/>
    <w:rsid w:val="00ED392B"/>
    <w:rsid w:val="00ED492D"/>
    <w:rsid w:val="00EE00DE"/>
    <w:rsid w:val="00EE017D"/>
    <w:rsid w:val="00EE6952"/>
    <w:rsid w:val="00EE6C3C"/>
    <w:rsid w:val="00EF001F"/>
    <w:rsid w:val="00EF146F"/>
    <w:rsid w:val="00EF1FFE"/>
    <w:rsid w:val="00EF3130"/>
    <w:rsid w:val="00EF7FEA"/>
    <w:rsid w:val="00F0014B"/>
    <w:rsid w:val="00F1216E"/>
    <w:rsid w:val="00F121AB"/>
    <w:rsid w:val="00F16598"/>
    <w:rsid w:val="00F21A6D"/>
    <w:rsid w:val="00F21D19"/>
    <w:rsid w:val="00F2224F"/>
    <w:rsid w:val="00F230AC"/>
    <w:rsid w:val="00F27036"/>
    <w:rsid w:val="00F308DA"/>
    <w:rsid w:val="00F43A47"/>
    <w:rsid w:val="00F44372"/>
    <w:rsid w:val="00F4467F"/>
    <w:rsid w:val="00F44E3D"/>
    <w:rsid w:val="00F457D6"/>
    <w:rsid w:val="00F53D38"/>
    <w:rsid w:val="00F55F4F"/>
    <w:rsid w:val="00F56A25"/>
    <w:rsid w:val="00F60E3D"/>
    <w:rsid w:val="00F6138D"/>
    <w:rsid w:val="00F61E9B"/>
    <w:rsid w:val="00F62C1B"/>
    <w:rsid w:val="00F636B9"/>
    <w:rsid w:val="00F74AC4"/>
    <w:rsid w:val="00F76D5E"/>
    <w:rsid w:val="00F8644E"/>
    <w:rsid w:val="00F8728A"/>
    <w:rsid w:val="00F87FFB"/>
    <w:rsid w:val="00F91BCA"/>
    <w:rsid w:val="00F93762"/>
    <w:rsid w:val="00F96192"/>
    <w:rsid w:val="00F97085"/>
    <w:rsid w:val="00FA142F"/>
    <w:rsid w:val="00FA4641"/>
    <w:rsid w:val="00FB01DB"/>
    <w:rsid w:val="00FB272B"/>
    <w:rsid w:val="00FB3218"/>
    <w:rsid w:val="00FB6EC9"/>
    <w:rsid w:val="00FC1E53"/>
    <w:rsid w:val="00FC62D0"/>
    <w:rsid w:val="00FD693E"/>
    <w:rsid w:val="00FD73F1"/>
    <w:rsid w:val="00FD7CB7"/>
    <w:rsid w:val="00FE01D7"/>
    <w:rsid w:val="00FE247D"/>
    <w:rsid w:val="00FE281E"/>
    <w:rsid w:val="00FE29A6"/>
    <w:rsid w:val="00FE3BE5"/>
    <w:rsid w:val="00FE4258"/>
    <w:rsid w:val="00FE5C1A"/>
    <w:rsid w:val="00FE686E"/>
    <w:rsid w:val="00FF05DF"/>
    <w:rsid w:val="00FF0615"/>
    <w:rsid w:val="00FF0AB7"/>
    <w:rsid w:val="00FF2B8F"/>
    <w:rsid w:val="00FF304E"/>
    <w:rsid w:val="00FF39BB"/>
    <w:rsid w:val="00FF65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FE4427"/>
  <w15:docId w15:val="{A7A7F108-017D-48F5-AB7A-639A5CC6E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1E2D"/>
    <w:pPr>
      <w:tabs>
        <w:tab w:val="center" w:pos="4680"/>
        <w:tab w:val="right" w:pos="9360"/>
      </w:tabs>
    </w:pPr>
  </w:style>
  <w:style w:type="character" w:customStyle="1" w:styleId="HeaderChar">
    <w:name w:val="Header Char"/>
    <w:basedOn w:val="DefaultParagraphFont"/>
    <w:link w:val="Header"/>
    <w:uiPriority w:val="99"/>
    <w:rsid w:val="00111E2D"/>
  </w:style>
  <w:style w:type="paragraph" w:styleId="Footer">
    <w:name w:val="footer"/>
    <w:basedOn w:val="Normal"/>
    <w:link w:val="FooterChar"/>
    <w:uiPriority w:val="99"/>
    <w:unhideWhenUsed/>
    <w:rsid w:val="00111E2D"/>
    <w:pPr>
      <w:tabs>
        <w:tab w:val="center" w:pos="4680"/>
        <w:tab w:val="right" w:pos="9360"/>
      </w:tabs>
    </w:pPr>
  </w:style>
  <w:style w:type="character" w:customStyle="1" w:styleId="FooterChar">
    <w:name w:val="Footer Char"/>
    <w:basedOn w:val="DefaultParagraphFont"/>
    <w:link w:val="Footer"/>
    <w:uiPriority w:val="99"/>
    <w:rsid w:val="00111E2D"/>
  </w:style>
  <w:style w:type="paragraph" w:styleId="ListParagraph">
    <w:name w:val="List Paragraph"/>
    <w:basedOn w:val="Normal"/>
    <w:uiPriority w:val="34"/>
    <w:qFormat/>
    <w:rsid w:val="006958C4"/>
    <w:pPr>
      <w:spacing w:after="200" w:line="276" w:lineRule="auto"/>
      <w:ind w:left="720"/>
      <w:contextualSpacing/>
    </w:pPr>
    <w:rPr>
      <w:rFonts w:asciiTheme="minorHAnsi" w:hAnsiTheme="minorHAnsi"/>
      <w:sz w:val="22"/>
      <w:lang w:val="en-GB"/>
    </w:rPr>
  </w:style>
  <w:style w:type="paragraph" w:styleId="BalloonText">
    <w:name w:val="Balloon Text"/>
    <w:basedOn w:val="Normal"/>
    <w:link w:val="BalloonTextChar"/>
    <w:uiPriority w:val="99"/>
    <w:semiHidden/>
    <w:unhideWhenUsed/>
    <w:rsid w:val="00E774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4A8"/>
    <w:rPr>
      <w:rFonts w:ascii="Segoe UI" w:hAnsi="Segoe UI" w:cs="Segoe UI"/>
      <w:sz w:val="18"/>
      <w:szCs w:val="18"/>
    </w:rPr>
  </w:style>
  <w:style w:type="character" w:styleId="CommentReference">
    <w:name w:val="annotation reference"/>
    <w:basedOn w:val="DefaultParagraphFont"/>
    <w:uiPriority w:val="99"/>
    <w:semiHidden/>
    <w:unhideWhenUsed/>
    <w:rsid w:val="00630C47"/>
    <w:rPr>
      <w:sz w:val="16"/>
      <w:szCs w:val="16"/>
    </w:rPr>
  </w:style>
  <w:style w:type="paragraph" w:styleId="CommentText">
    <w:name w:val="annotation text"/>
    <w:basedOn w:val="Normal"/>
    <w:link w:val="CommentTextChar"/>
    <w:uiPriority w:val="99"/>
    <w:unhideWhenUsed/>
    <w:rsid w:val="00630C47"/>
    <w:rPr>
      <w:sz w:val="20"/>
      <w:szCs w:val="20"/>
    </w:rPr>
  </w:style>
  <w:style w:type="character" w:customStyle="1" w:styleId="CommentTextChar">
    <w:name w:val="Comment Text Char"/>
    <w:basedOn w:val="DefaultParagraphFont"/>
    <w:link w:val="CommentText"/>
    <w:uiPriority w:val="99"/>
    <w:rsid w:val="00630C47"/>
    <w:rPr>
      <w:sz w:val="20"/>
      <w:szCs w:val="20"/>
    </w:rPr>
  </w:style>
  <w:style w:type="paragraph" w:styleId="CommentSubject">
    <w:name w:val="annotation subject"/>
    <w:basedOn w:val="CommentText"/>
    <w:next w:val="CommentText"/>
    <w:link w:val="CommentSubjectChar"/>
    <w:uiPriority w:val="99"/>
    <w:semiHidden/>
    <w:unhideWhenUsed/>
    <w:rsid w:val="00630C47"/>
    <w:rPr>
      <w:b/>
      <w:bCs/>
    </w:rPr>
  </w:style>
  <w:style w:type="character" w:customStyle="1" w:styleId="CommentSubjectChar">
    <w:name w:val="Comment Subject Char"/>
    <w:basedOn w:val="CommentTextChar"/>
    <w:link w:val="CommentSubject"/>
    <w:uiPriority w:val="99"/>
    <w:semiHidden/>
    <w:rsid w:val="00630C47"/>
    <w:rPr>
      <w:b/>
      <w:bCs/>
      <w:sz w:val="20"/>
      <w:szCs w:val="20"/>
    </w:rPr>
  </w:style>
  <w:style w:type="table" w:styleId="TableGrid">
    <w:name w:val="Table Grid"/>
    <w:basedOn w:val="TableNormal"/>
    <w:uiPriority w:val="59"/>
    <w:rsid w:val="00D752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D7094D"/>
    <w:pPr>
      <w:spacing w:after="200"/>
    </w:pPr>
    <w:rPr>
      <w:b/>
      <w:bCs/>
      <w:color w:val="4F81BD" w:themeColor="accent1"/>
      <w:sz w:val="18"/>
      <w:szCs w:val="18"/>
    </w:rPr>
  </w:style>
  <w:style w:type="character" w:styleId="Hyperlink">
    <w:name w:val="Hyperlink"/>
    <w:basedOn w:val="DefaultParagraphFont"/>
    <w:uiPriority w:val="99"/>
    <w:unhideWhenUsed/>
    <w:rsid w:val="00F56A25"/>
    <w:rPr>
      <w:color w:val="0000FF"/>
      <w:u w:val="single"/>
    </w:rPr>
  </w:style>
  <w:style w:type="character" w:styleId="FollowedHyperlink">
    <w:name w:val="FollowedHyperlink"/>
    <w:basedOn w:val="DefaultParagraphFont"/>
    <w:uiPriority w:val="99"/>
    <w:semiHidden/>
    <w:unhideWhenUsed/>
    <w:rsid w:val="00B46FCA"/>
    <w:rPr>
      <w:color w:val="800080" w:themeColor="followedHyperlink"/>
      <w:u w:val="single"/>
    </w:rPr>
  </w:style>
  <w:style w:type="paragraph" w:styleId="Revision">
    <w:name w:val="Revision"/>
    <w:hidden/>
    <w:uiPriority w:val="99"/>
    <w:semiHidden/>
    <w:rsid w:val="00DB1FB1"/>
  </w:style>
  <w:style w:type="paragraph" w:styleId="HTMLPreformatted">
    <w:name w:val="HTML Preformatted"/>
    <w:basedOn w:val="Normal"/>
    <w:link w:val="HTMLPreformattedChar"/>
    <w:uiPriority w:val="99"/>
    <w:semiHidden/>
    <w:unhideWhenUsed/>
    <w:rsid w:val="00A3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69AA"/>
    <w:rPr>
      <w:rFonts w:ascii="Courier New" w:eastAsia="Times New Roman" w:hAnsi="Courier New" w:cs="Courier New"/>
      <w:sz w:val="20"/>
      <w:szCs w:val="20"/>
    </w:rPr>
  </w:style>
  <w:style w:type="character" w:styleId="PlaceholderText">
    <w:name w:val="Placeholder Text"/>
    <w:basedOn w:val="DefaultParagraphFont"/>
    <w:uiPriority w:val="99"/>
    <w:semiHidden/>
    <w:rsid w:val="00A369AA"/>
    <w:rPr>
      <w:color w:val="808080"/>
    </w:rPr>
  </w:style>
  <w:style w:type="character" w:customStyle="1" w:styleId="Mention1">
    <w:name w:val="Mention1"/>
    <w:basedOn w:val="DefaultParagraphFont"/>
    <w:uiPriority w:val="99"/>
    <w:semiHidden/>
    <w:unhideWhenUsed/>
    <w:rsid w:val="00D445A8"/>
    <w:rPr>
      <w:color w:val="2B579A"/>
      <w:shd w:val="clear" w:color="auto" w:fill="E6E6E6"/>
    </w:rPr>
  </w:style>
  <w:style w:type="paragraph" w:styleId="NoSpacing">
    <w:name w:val="No Spacing"/>
    <w:uiPriority w:val="1"/>
    <w:qFormat/>
    <w:rsid w:val="00C86997"/>
  </w:style>
  <w:style w:type="character" w:customStyle="1" w:styleId="Mention2">
    <w:name w:val="Mention2"/>
    <w:basedOn w:val="DefaultParagraphFont"/>
    <w:uiPriority w:val="99"/>
    <w:semiHidden/>
    <w:unhideWhenUsed/>
    <w:rsid w:val="006D7C1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3302">
      <w:bodyDiv w:val="1"/>
      <w:marLeft w:val="0"/>
      <w:marRight w:val="0"/>
      <w:marTop w:val="0"/>
      <w:marBottom w:val="0"/>
      <w:divBdr>
        <w:top w:val="none" w:sz="0" w:space="0" w:color="auto"/>
        <w:left w:val="none" w:sz="0" w:space="0" w:color="auto"/>
        <w:bottom w:val="none" w:sz="0" w:space="0" w:color="auto"/>
        <w:right w:val="none" w:sz="0" w:space="0" w:color="auto"/>
      </w:divBdr>
      <w:divsChild>
        <w:div w:id="339280059">
          <w:marLeft w:val="0"/>
          <w:marRight w:val="0"/>
          <w:marTop w:val="0"/>
          <w:marBottom w:val="0"/>
          <w:divBdr>
            <w:top w:val="none" w:sz="0" w:space="0" w:color="auto"/>
            <w:left w:val="none" w:sz="0" w:space="0" w:color="auto"/>
            <w:bottom w:val="none" w:sz="0" w:space="0" w:color="auto"/>
            <w:right w:val="none" w:sz="0" w:space="0" w:color="auto"/>
          </w:divBdr>
          <w:divsChild>
            <w:div w:id="855311040">
              <w:marLeft w:val="0"/>
              <w:marRight w:val="0"/>
              <w:marTop w:val="0"/>
              <w:marBottom w:val="0"/>
              <w:divBdr>
                <w:top w:val="none" w:sz="0" w:space="0" w:color="auto"/>
                <w:left w:val="none" w:sz="0" w:space="0" w:color="auto"/>
                <w:bottom w:val="none" w:sz="0" w:space="0" w:color="auto"/>
                <w:right w:val="none" w:sz="0" w:space="0" w:color="auto"/>
              </w:divBdr>
              <w:divsChild>
                <w:div w:id="170216875">
                  <w:marLeft w:val="0"/>
                  <w:marRight w:val="0"/>
                  <w:marTop w:val="0"/>
                  <w:marBottom w:val="0"/>
                  <w:divBdr>
                    <w:top w:val="single" w:sz="6" w:space="0" w:color="CCCCCC"/>
                    <w:left w:val="single" w:sz="6" w:space="0" w:color="CCCCCC"/>
                    <w:bottom w:val="single" w:sz="6" w:space="0" w:color="CCCCCC"/>
                    <w:right w:val="single" w:sz="6" w:space="0" w:color="CCCCCC"/>
                  </w:divBdr>
                  <w:divsChild>
                    <w:div w:id="1979528579">
                      <w:marLeft w:val="0"/>
                      <w:marRight w:val="0"/>
                      <w:marTop w:val="0"/>
                      <w:marBottom w:val="0"/>
                      <w:divBdr>
                        <w:top w:val="none" w:sz="0" w:space="0" w:color="auto"/>
                        <w:left w:val="none" w:sz="0" w:space="0" w:color="auto"/>
                        <w:bottom w:val="none" w:sz="0" w:space="0" w:color="auto"/>
                        <w:right w:val="none" w:sz="0" w:space="0" w:color="auto"/>
                      </w:divBdr>
                      <w:divsChild>
                        <w:div w:id="463156421">
                          <w:marLeft w:val="0"/>
                          <w:marRight w:val="0"/>
                          <w:marTop w:val="0"/>
                          <w:marBottom w:val="0"/>
                          <w:divBdr>
                            <w:top w:val="none" w:sz="0" w:space="0" w:color="auto"/>
                            <w:left w:val="none" w:sz="0" w:space="0" w:color="auto"/>
                            <w:bottom w:val="none" w:sz="0" w:space="0" w:color="auto"/>
                            <w:right w:val="none" w:sz="0" w:space="0" w:color="auto"/>
                          </w:divBdr>
                          <w:divsChild>
                            <w:div w:id="258952685">
                              <w:marLeft w:val="0"/>
                              <w:marRight w:val="0"/>
                              <w:marTop w:val="0"/>
                              <w:marBottom w:val="0"/>
                              <w:divBdr>
                                <w:top w:val="none" w:sz="0" w:space="0" w:color="auto"/>
                                <w:left w:val="none" w:sz="0" w:space="0" w:color="auto"/>
                                <w:bottom w:val="none" w:sz="0" w:space="0" w:color="auto"/>
                                <w:right w:val="none" w:sz="0" w:space="0" w:color="auto"/>
                              </w:divBdr>
                              <w:divsChild>
                                <w:div w:id="17585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431644">
      <w:bodyDiv w:val="1"/>
      <w:marLeft w:val="0"/>
      <w:marRight w:val="0"/>
      <w:marTop w:val="0"/>
      <w:marBottom w:val="0"/>
      <w:divBdr>
        <w:top w:val="none" w:sz="0" w:space="0" w:color="auto"/>
        <w:left w:val="none" w:sz="0" w:space="0" w:color="auto"/>
        <w:bottom w:val="none" w:sz="0" w:space="0" w:color="auto"/>
        <w:right w:val="none" w:sz="0" w:space="0" w:color="auto"/>
      </w:divBdr>
    </w:div>
    <w:div w:id="132144080">
      <w:bodyDiv w:val="1"/>
      <w:marLeft w:val="0"/>
      <w:marRight w:val="0"/>
      <w:marTop w:val="0"/>
      <w:marBottom w:val="0"/>
      <w:divBdr>
        <w:top w:val="none" w:sz="0" w:space="0" w:color="auto"/>
        <w:left w:val="none" w:sz="0" w:space="0" w:color="auto"/>
        <w:bottom w:val="none" w:sz="0" w:space="0" w:color="auto"/>
        <w:right w:val="none" w:sz="0" w:space="0" w:color="auto"/>
      </w:divBdr>
    </w:div>
    <w:div w:id="155650039">
      <w:bodyDiv w:val="1"/>
      <w:marLeft w:val="0"/>
      <w:marRight w:val="0"/>
      <w:marTop w:val="0"/>
      <w:marBottom w:val="0"/>
      <w:divBdr>
        <w:top w:val="none" w:sz="0" w:space="0" w:color="auto"/>
        <w:left w:val="none" w:sz="0" w:space="0" w:color="auto"/>
        <w:bottom w:val="none" w:sz="0" w:space="0" w:color="auto"/>
        <w:right w:val="none" w:sz="0" w:space="0" w:color="auto"/>
      </w:divBdr>
      <w:divsChild>
        <w:div w:id="1525241372">
          <w:marLeft w:val="0"/>
          <w:marRight w:val="0"/>
          <w:marTop w:val="0"/>
          <w:marBottom w:val="0"/>
          <w:divBdr>
            <w:top w:val="none" w:sz="0" w:space="0" w:color="auto"/>
            <w:left w:val="none" w:sz="0" w:space="0" w:color="auto"/>
            <w:bottom w:val="none" w:sz="0" w:space="0" w:color="auto"/>
            <w:right w:val="none" w:sz="0" w:space="0" w:color="auto"/>
          </w:divBdr>
          <w:divsChild>
            <w:div w:id="11988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0008">
      <w:bodyDiv w:val="1"/>
      <w:marLeft w:val="0"/>
      <w:marRight w:val="0"/>
      <w:marTop w:val="0"/>
      <w:marBottom w:val="0"/>
      <w:divBdr>
        <w:top w:val="none" w:sz="0" w:space="0" w:color="auto"/>
        <w:left w:val="none" w:sz="0" w:space="0" w:color="auto"/>
        <w:bottom w:val="none" w:sz="0" w:space="0" w:color="auto"/>
        <w:right w:val="none" w:sz="0" w:space="0" w:color="auto"/>
      </w:divBdr>
      <w:divsChild>
        <w:div w:id="1557473667">
          <w:marLeft w:val="0"/>
          <w:marRight w:val="0"/>
          <w:marTop w:val="0"/>
          <w:marBottom w:val="0"/>
          <w:divBdr>
            <w:top w:val="none" w:sz="0" w:space="0" w:color="auto"/>
            <w:left w:val="none" w:sz="0" w:space="0" w:color="auto"/>
            <w:bottom w:val="none" w:sz="0" w:space="0" w:color="auto"/>
            <w:right w:val="none" w:sz="0" w:space="0" w:color="auto"/>
          </w:divBdr>
          <w:divsChild>
            <w:div w:id="377126323">
              <w:marLeft w:val="0"/>
              <w:marRight w:val="0"/>
              <w:marTop w:val="0"/>
              <w:marBottom w:val="0"/>
              <w:divBdr>
                <w:top w:val="none" w:sz="0" w:space="0" w:color="auto"/>
                <w:left w:val="none" w:sz="0" w:space="0" w:color="auto"/>
                <w:bottom w:val="none" w:sz="0" w:space="0" w:color="auto"/>
                <w:right w:val="none" w:sz="0" w:space="0" w:color="auto"/>
              </w:divBdr>
              <w:divsChild>
                <w:div w:id="1836022389">
                  <w:marLeft w:val="0"/>
                  <w:marRight w:val="0"/>
                  <w:marTop w:val="0"/>
                  <w:marBottom w:val="0"/>
                  <w:divBdr>
                    <w:top w:val="single" w:sz="6" w:space="0" w:color="CCCCCC"/>
                    <w:left w:val="single" w:sz="6" w:space="0" w:color="CCCCCC"/>
                    <w:bottom w:val="single" w:sz="6" w:space="0" w:color="CCCCCC"/>
                    <w:right w:val="single" w:sz="6" w:space="0" w:color="CCCCCC"/>
                  </w:divBdr>
                  <w:divsChild>
                    <w:div w:id="1505516867">
                      <w:marLeft w:val="0"/>
                      <w:marRight w:val="0"/>
                      <w:marTop w:val="0"/>
                      <w:marBottom w:val="0"/>
                      <w:divBdr>
                        <w:top w:val="none" w:sz="0" w:space="0" w:color="auto"/>
                        <w:left w:val="none" w:sz="0" w:space="0" w:color="auto"/>
                        <w:bottom w:val="none" w:sz="0" w:space="0" w:color="auto"/>
                        <w:right w:val="none" w:sz="0" w:space="0" w:color="auto"/>
                      </w:divBdr>
                      <w:divsChild>
                        <w:div w:id="401294927">
                          <w:marLeft w:val="0"/>
                          <w:marRight w:val="0"/>
                          <w:marTop w:val="0"/>
                          <w:marBottom w:val="0"/>
                          <w:divBdr>
                            <w:top w:val="none" w:sz="0" w:space="0" w:color="auto"/>
                            <w:left w:val="none" w:sz="0" w:space="0" w:color="auto"/>
                            <w:bottom w:val="none" w:sz="0" w:space="0" w:color="auto"/>
                            <w:right w:val="none" w:sz="0" w:space="0" w:color="auto"/>
                          </w:divBdr>
                          <w:divsChild>
                            <w:div w:id="19555526">
                              <w:marLeft w:val="0"/>
                              <w:marRight w:val="0"/>
                              <w:marTop w:val="0"/>
                              <w:marBottom w:val="0"/>
                              <w:divBdr>
                                <w:top w:val="none" w:sz="0" w:space="0" w:color="auto"/>
                                <w:left w:val="none" w:sz="0" w:space="0" w:color="auto"/>
                                <w:bottom w:val="none" w:sz="0" w:space="0" w:color="auto"/>
                                <w:right w:val="none" w:sz="0" w:space="0" w:color="auto"/>
                              </w:divBdr>
                              <w:divsChild>
                                <w:div w:id="70564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109972">
      <w:bodyDiv w:val="1"/>
      <w:marLeft w:val="0"/>
      <w:marRight w:val="0"/>
      <w:marTop w:val="0"/>
      <w:marBottom w:val="0"/>
      <w:divBdr>
        <w:top w:val="none" w:sz="0" w:space="0" w:color="auto"/>
        <w:left w:val="none" w:sz="0" w:space="0" w:color="auto"/>
        <w:bottom w:val="none" w:sz="0" w:space="0" w:color="auto"/>
        <w:right w:val="none" w:sz="0" w:space="0" w:color="auto"/>
      </w:divBdr>
    </w:div>
    <w:div w:id="351614196">
      <w:bodyDiv w:val="1"/>
      <w:marLeft w:val="0"/>
      <w:marRight w:val="0"/>
      <w:marTop w:val="0"/>
      <w:marBottom w:val="0"/>
      <w:divBdr>
        <w:top w:val="none" w:sz="0" w:space="0" w:color="auto"/>
        <w:left w:val="none" w:sz="0" w:space="0" w:color="auto"/>
        <w:bottom w:val="none" w:sz="0" w:space="0" w:color="auto"/>
        <w:right w:val="none" w:sz="0" w:space="0" w:color="auto"/>
      </w:divBdr>
      <w:divsChild>
        <w:div w:id="409888078">
          <w:marLeft w:val="0"/>
          <w:marRight w:val="0"/>
          <w:marTop w:val="0"/>
          <w:marBottom w:val="0"/>
          <w:divBdr>
            <w:top w:val="none" w:sz="0" w:space="0" w:color="auto"/>
            <w:left w:val="none" w:sz="0" w:space="0" w:color="auto"/>
            <w:bottom w:val="none" w:sz="0" w:space="0" w:color="auto"/>
            <w:right w:val="none" w:sz="0" w:space="0" w:color="auto"/>
          </w:divBdr>
          <w:divsChild>
            <w:div w:id="166526996">
              <w:marLeft w:val="0"/>
              <w:marRight w:val="0"/>
              <w:marTop w:val="0"/>
              <w:marBottom w:val="0"/>
              <w:divBdr>
                <w:top w:val="none" w:sz="0" w:space="0" w:color="auto"/>
                <w:left w:val="none" w:sz="0" w:space="0" w:color="auto"/>
                <w:bottom w:val="none" w:sz="0" w:space="0" w:color="auto"/>
                <w:right w:val="none" w:sz="0" w:space="0" w:color="auto"/>
              </w:divBdr>
              <w:divsChild>
                <w:div w:id="1739278745">
                  <w:marLeft w:val="0"/>
                  <w:marRight w:val="0"/>
                  <w:marTop w:val="0"/>
                  <w:marBottom w:val="0"/>
                  <w:divBdr>
                    <w:top w:val="single" w:sz="6" w:space="0" w:color="CCCCCC"/>
                    <w:left w:val="single" w:sz="6" w:space="0" w:color="CCCCCC"/>
                    <w:bottom w:val="single" w:sz="6" w:space="0" w:color="CCCCCC"/>
                    <w:right w:val="single" w:sz="6" w:space="0" w:color="CCCCCC"/>
                  </w:divBdr>
                  <w:divsChild>
                    <w:div w:id="1212886822">
                      <w:marLeft w:val="0"/>
                      <w:marRight w:val="0"/>
                      <w:marTop w:val="0"/>
                      <w:marBottom w:val="0"/>
                      <w:divBdr>
                        <w:top w:val="none" w:sz="0" w:space="0" w:color="auto"/>
                        <w:left w:val="none" w:sz="0" w:space="0" w:color="auto"/>
                        <w:bottom w:val="none" w:sz="0" w:space="0" w:color="auto"/>
                        <w:right w:val="none" w:sz="0" w:space="0" w:color="auto"/>
                      </w:divBdr>
                      <w:divsChild>
                        <w:div w:id="1306085546">
                          <w:marLeft w:val="0"/>
                          <w:marRight w:val="0"/>
                          <w:marTop w:val="0"/>
                          <w:marBottom w:val="0"/>
                          <w:divBdr>
                            <w:top w:val="none" w:sz="0" w:space="0" w:color="auto"/>
                            <w:left w:val="none" w:sz="0" w:space="0" w:color="auto"/>
                            <w:bottom w:val="none" w:sz="0" w:space="0" w:color="auto"/>
                            <w:right w:val="none" w:sz="0" w:space="0" w:color="auto"/>
                          </w:divBdr>
                          <w:divsChild>
                            <w:div w:id="488012744">
                              <w:marLeft w:val="0"/>
                              <w:marRight w:val="0"/>
                              <w:marTop w:val="0"/>
                              <w:marBottom w:val="0"/>
                              <w:divBdr>
                                <w:top w:val="none" w:sz="0" w:space="0" w:color="auto"/>
                                <w:left w:val="none" w:sz="0" w:space="0" w:color="auto"/>
                                <w:bottom w:val="none" w:sz="0" w:space="0" w:color="auto"/>
                                <w:right w:val="none" w:sz="0" w:space="0" w:color="auto"/>
                              </w:divBdr>
                              <w:divsChild>
                                <w:div w:id="18271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3043720">
      <w:bodyDiv w:val="1"/>
      <w:marLeft w:val="0"/>
      <w:marRight w:val="0"/>
      <w:marTop w:val="0"/>
      <w:marBottom w:val="0"/>
      <w:divBdr>
        <w:top w:val="none" w:sz="0" w:space="0" w:color="auto"/>
        <w:left w:val="none" w:sz="0" w:space="0" w:color="auto"/>
        <w:bottom w:val="none" w:sz="0" w:space="0" w:color="auto"/>
        <w:right w:val="none" w:sz="0" w:space="0" w:color="auto"/>
      </w:divBdr>
    </w:div>
    <w:div w:id="388529665">
      <w:bodyDiv w:val="1"/>
      <w:marLeft w:val="0"/>
      <w:marRight w:val="0"/>
      <w:marTop w:val="0"/>
      <w:marBottom w:val="0"/>
      <w:divBdr>
        <w:top w:val="none" w:sz="0" w:space="0" w:color="auto"/>
        <w:left w:val="none" w:sz="0" w:space="0" w:color="auto"/>
        <w:bottom w:val="none" w:sz="0" w:space="0" w:color="auto"/>
        <w:right w:val="none" w:sz="0" w:space="0" w:color="auto"/>
      </w:divBdr>
      <w:divsChild>
        <w:div w:id="1247884807">
          <w:marLeft w:val="0"/>
          <w:marRight w:val="0"/>
          <w:marTop w:val="0"/>
          <w:marBottom w:val="0"/>
          <w:divBdr>
            <w:top w:val="none" w:sz="0" w:space="0" w:color="auto"/>
            <w:left w:val="none" w:sz="0" w:space="0" w:color="auto"/>
            <w:bottom w:val="none" w:sz="0" w:space="0" w:color="auto"/>
            <w:right w:val="none" w:sz="0" w:space="0" w:color="auto"/>
          </w:divBdr>
          <w:divsChild>
            <w:div w:id="104529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77521">
      <w:bodyDiv w:val="1"/>
      <w:marLeft w:val="0"/>
      <w:marRight w:val="0"/>
      <w:marTop w:val="0"/>
      <w:marBottom w:val="0"/>
      <w:divBdr>
        <w:top w:val="none" w:sz="0" w:space="0" w:color="auto"/>
        <w:left w:val="none" w:sz="0" w:space="0" w:color="auto"/>
        <w:bottom w:val="none" w:sz="0" w:space="0" w:color="auto"/>
        <w:right w:val="none" w:sz="0" w:space="0" w:color="auto"/>
      </w:divBdr>
      <w:divsChild>
        <w:div w:id="1804231564">
          <w:marLeft w:val="0"/>
          <w:marRight w:val="0"/>
          <w:marTop w:val="0"/>
          <w:marBottom w:val="0"/>
          <w:divBdr>
            <w:top w:val="none" w:sz="0" w:space="0" w:color="auto"/>
            <w:left w:val="none" w:sz="0" w:space="0" w:color="auto"/>
            <w:bottom w:val="none" w:sz="0" w:space="0" w:color="auto"/>
            <w:right w:val="none" w:sz="0" w:space="0" w:color="auto"/>
          </w:divBdr>
          <w:divsChild>
            <w:div w:id="568418921">
              <w:marLeft w:val="0"/>
              <w:marRight w:val="0"/>
              <w:marTop w:val="0"/>
              <w:marBottom w:val="0"/>
              <w:divBdr>
                <w:top w:val="none" w:sz="0" w:space="0" w:color="auto"/>
                <w:left w:val="none" w:sz="0" w:space="0" w:color="auto"/>
                <w:bottom w:val="none" w:sz="0" w:space="0" w:color="auto"/>
                <w:right w:val="none" w:sz="0" w:space="0" w:color="auto"/>
              </w:divBdr>
              <w:divsChild>
                <w:div w:id="1707832659">
                  <w:marLeft w:val="0"/>
                  <w:marRight w:val="0"/>
                  <w:marTop w:val="0"/>
                  <w:marBottom w:val="0"/>
                  <w:divBdr>
                    <w:top w:val="single" w:sz="6" w:space="0" w:color="CCCCCC"/>
                    <w:left w:val="single" w:sz="6" w:space="0" w:color="CCCCCC"/>
                    <w:bottom w:val="single" w:sz="6" w:space="0" w:color="CCCCCC"/>
                    <w:right w:val="single" w:sz="6" w:space="0" w:color="CCCCCC"/>
                  </w:divBdr>
                  <w:divsChild>
                    <w:div w:id="1157922814">
                      <w:marLeft w:val="0"/>
                      <w:marRight w:val="0"/>
                      <w:marTop w:val="0"/>
                      <w:marBottom w:val="0"/>
                      <w:divBdr>
                        <w:top w:val="none" w:sz="0" w:space="0" w:color="auto"/>
                        <w:left w:val="none" w:sz="0" w:space="0" w:color="auto"/>
                        <w:bottom w:val="none" w:sz="0" w:space="0" w:color="auto"/>
                        <w:right w:val="none" w:sz="0" w:space="0" w:color="auto"/>
                      </w:divBdr>
                      <w:divsChild>
                        <w:div w:id="1843080454">
                          <w:marLeft w:val="0"/>
                          <w:marRight w:val="0"/>
                          <w:marTop w:val="0"/>
                          <w:marBottom w:val="0"/>
                          <w:divBdr>
                            <w:top w:val="none" w:sz="0" w:space="0" w:color="auto"/>
                            <w:left w:val="none" w:sz="0" w:space="0" w:color="auto"/>
                            <w:bottom w:val="none" w:sz="0" w:space="0" w:color="auto"/>
                            <w:right w:val="none" w:sz="0" w:space="0" w:color="auto"/>
                          </w:divBdr>
                          <w:divsChild>
                            <w:div w:id="577441529">
                              <w:marLeft w:val="0"/>
                              <w:marRight w:val="0"/>
                              <w:marTop w:val="0"/>
                              <w:marBottom w:val="0"/>
                              <w:divBdr>
                                <w:top w:val="none" w:sz="0" w:space="0" w:color="auto"/>
                                <w:left w:val="none" w:sz="0" w:space="0" w:color="auto"/>
                                <w:bottom w:val="none" w:sz="0" w:space="0" w:color="auto"/>
                                <w:right w:val="none" w:sz="0" w:space="0" w:color="auto"/>
                              </w:divBdr>
                              <w:divsChild>
                                <w:div w:id="3980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919822">
      <w:bodyDiv w:val="1"/>
      <w:marLeft w:val="0"/>
      <w:marRight w:val="0"/>
      <w:marTop w:val="0"/>
      <w:marBottom w:val="0"/>
      <w:divBdr>
        <w:top w:val="none" w:sz="0" w:space="0" w:color="auto"/>
        <w:left w:val="none" w:sz="0" w:space="0" w:color="auto"/>
        <w:bottom w:val="none" w:sz="0" w:space="0" w:color="auto"/>
        <w:right w:val="none" w:sz="0" w:space="0" w:color="auto"/>
      </w:divBdr>
    </w:div>
    <w:div w:id="549537147">
      <w:bodyDiv w:val="1"/>
      <w:marLeft w:val="0"/>
      <w:marRight w:val="0"/>
      <w:marTop w:val="0"/>
      <w:marBottom w:val="0"/>
      <w:divBdr>
        <w:top w:val="none" w:sz="0" w:space="0" w:color="auto"/>
        <w:left w:val="none" w:sz="0" w:space="0" w:color="auto"/>
        <w:bottom w:val="none" w:sz="0" w:space="0" w:color="auto"/>
        <w:right w:val="none" w:sz="0" w:space="0" w:color="auto"/>
      </w:divBdr>
    </w:div>
    <w:div w:id="552620343">
      <w:bodyDiv w:val="1"/>
      <w:marLeft w:val="0"/>
      <w:marRight w:val="0"/>
      <w:marTop w:val="0"/>
      <w:marBottom w:val="0"/>
      <w:divBdr>
        <w:top w:val="none" w:sz="0" w:space="0" w:color="auto"/>
        <w:left w:val="none" w:sz="0" w:space="0" w:color="auto"/>
        <w:bottom w:val="none" w:sz="0" w:space="0" w:color="auto"/>
        <w:right w:val="none" w:sz="0" w:space="0" w:color="auto"/>
      </w:divBdr>
      <w:divsChild>
        <w:div w:id="1876114093">
          <w:marLeft w:val="0"/>
          <w:marRight w:val="0"/>
          <w:marTop w:val="0"/>
          <w:marBottom w:val="0"/>
          <w:divBdr>
            <w:top w:val="none" w:sz="0" w:space="0" w:color="auto"/>
            <w:left w:val="none" w:sz="0" w:space="0" w:color="auto"/>
            <w:bottom w:val="none" w:sz="0" w:space="0" w:color="auto"/>
            <w:right w:val="none" w:sz="0" w:space="0" w:color="auto"/>
          </w:divBdr>
          <w:divsChild>
            <w:div w:id="173306751">
              <w:marLeft w:val="0"/>
              <w:marRight w:val="0"/>
              <w:marTop w:val="0"/>
              <w:marBottom w:val="0"/>
              <w:divBdr>
                <w:top w:val="none" w:sz="0" w:space="0" w:color="auto"/>
                <w:left w:val="none" w:sz="0" w:space="0" w:color="auto"/>
                <w:bottom w:val="none" w:sz="0" w:space="0" w:color="auto"/>
                <w:right w:val="none" w:sz="0" w:space="0" w:color="auto"/>
              </w:divBdr>
              <w:divsChild>
                <w:div w:id="378942598">
                  <w:marLeft w:val="0"/>
                  <w:marRight w:val="0"/>
                  <w:marTop w:val="0"/>
                  <w:marBottom w:val="0"/>
                  <w:divBdr>
                    <w:top w:val="single" w:sz="6" w:space="0" w:color="CCCCCC"/>
                    <w:left w:val="single" w:sz="6" w:space="0" w:color="CCCCCC"/>
                    <w:bottom w:val="single" w:sz="6" w:space="0" w:color="CCCCCC"/>
                    <w:right w:val="single" w:sz="6" w:space="0" w:color="CCCCCC"/>
                  </w:divBdr>
                  <w:divsChild>
                    <w:div w:id="2036929825">
                      <w:marLeft w:val="0"/>
                      <w:marRight w:val="0"/>
                      <w:marTop w:val="0"/>
                      <w:marBottom w:val="0"/>
                      <w:divBdr>
                        <w:top w:val="none" w:sz="0" w:space="0" w:color="auto"/>
                        <w:left w:val="none" w:sz="0" w:space="0" w:color="auto"/>
                        <w:bottom w:val="none" w:sz="0" w:space="0" w:color="auto"/>
                        <w:right w:val="none" w:sz="0" w:space="0" w:color="auto"/>
                      </w:divBdr>
                      <w:divsChild>
                        <w:div w:id="133256825">
                          <w:marLeft w:val="0"/>
                          <w:marRight w:val="0"/>
                          <w:marTop w:val="0"/>
                          <w:marBottom w:val="0"/>
                          <w:divBdr>
                            <w:top w:val="none" w:sz="0" w:space="0" w:color="auto"/>
                            <w:left w:val="none" w:sz="0" w:space="0" w:color="auto"/>
                            <w:bottom w:val="none" w:sz="0" w:space="0" w:color="auto"/>
                            <w:right w:val="none" w:sz="0" w:space="0" w:color="auto"/>
                          </w:divBdr>
                          <w:divsChild>
                            <w:div w:id="825585939">
                              <w:marLeft w:val="0"/>
                              <w:marRight w:val="0"/>
                              <w:marTop w:val="0"/>
                              <w:marBottom w:val="0"/>
                              <w:divBdr>
                                <w:top w:val="none" w:sz="0" w:space="0" w:color="auto"/>
                                <w:left w:val="none" w:sz="0" w:space="0" w:color="auto"/>
                                <w:bottom w:val="none" w:sz="0" w:space="0" w:color="auto"/>
                                <w:right w:val="none" w:sz="0" w:space="0" w:color="auto"/>
                              </w:divBdr>
                              <w:divsChild>
                                <w:div w:id="129729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0507531">
      <w:bodyDiv w:val="1"/>
      <w:marLeft w:val="0"/>
      <w:marRight w:val="0"/>
      <w:marTop w:val="0"/>
      <w:marBottom w:val="0"/>
      <w:divBdr>
        <w:top w:val="none" w:sz="0" w:space="0" w:color="auto"/>
        <w:left w:val="none" w:sz="0" w:space="0" w:color="auto"/>
        <w:bottom w:val="none" w:sz="0" w:space="0" w:color="auto"/>
        <w:right w:val="none" w:sz="0" w:space="0" w:color="auto"/>
      </w:divBdr>
    </w:div>
    <w:div w:id="606960010">
      <w:bodyDiv w:val="1"/>
      <w:marLeft w:val="0"/>
      <w:marRight w:val="0"/>
      <w:marTop w:val="0"/>
      <w:marBottom w:val="0"/>
      <w:divBdr>
        <w:top w:val="none" w:sz="0" w:space="0" w:color="auto"/>
        <w:left w:val="none" w:sz="0" w:space="0" w:color="auto"/>
        <w:bottom w:val="none" w:sz="0" w:space="0" w:color="auto"/>
        <w:right w:val="none" w:sz="0" w:space="0" w:color="auto"/>
      </w:divBdr>
    </w:div>
    <w:div w:id="714693251">
      <w:bodyDiv w:val="1"/>
      <w:marLeft w:val="0"/>
      <w:marRight w:val="0"/>
      <w:marTop w:val="0"/>
      <w:marBottom w:val="0"/>
      <w:divBdr>
        <w:top w:val="none" w:sz="0" w:space="0" w:color="auto"/>
        <w:left w:val="none" w:sz="0" w:space="0" w:color="auto"/>
        <w:bottom w:val="none" w:sz="0" w:space="0" w:color="auto"/>
        <w:right w:val="none" w:sz="0" w:space="0" w:color="auto"/>
      </w:divBdr>
    </w:div>
    <w:div w:id="719473487">
      <w:bodyDiv w:val="1"/>
      <w:marLeft w:val="0"/>
      <w:marRight w:val="0"/>
      <w:marTop w:val="0"/>
      <w:marBottom w:val="0"/>
      <w:divBdr>
        <w:top w:val="none" w:sz="0" w:space="0" w:color="auto"/>
        <w:left w:val="none" w:sz="0" w:space="0" w:color="auto"/>
        <w:bottom w:val="none" w:sz="0" w:space="0" w:color="auto"/>
        <w:right w:val="none" w:sz="0" w:space="0" w:color="auto"/>
      </w:divBdr>
    </w:div>
    <w:div w:id="793211415">
      <w:bodyDiv w:val="1"/>
      <w:marLeft w:val="0"/>
      <w:marRight w:val="0"/>
      <w:marTop w:val="0"/>
      <w:marBottom w:val="0"/>
      <w:divBdr>
        <w:top w:val="none" w:sz="0" w:space="0" w:color="auto"/>
        <w:left w:val="none" w:sz="0" w:space="0" w:color="auto"/>
        <w:bottom w:val="none" w:sz="0" w:space="0" w:color="auto"/>
        <w:right w:val="none" w:sz="0" w:space="0" w:color="auto"/>
      </w:divBdr>
      <w:divsChild>
        <w:div w:id="795414750">
          <w:marLeft w:val="0"/>
          <w:marRight w:val="0"/>
          <w:marTop w:val="0"/>
          <w:marBottom w:val="0"/>
          <w:divBdr>
            <w:top w:val="none" w:sz="0" w:space="0" w:color="auto"/>
            <w:left w:val="none" w:sz="0" w:space="0" w:color="auto"/>
            <w:bottom w:val="none" w:sz="0" w:space="0" w:color="auto"/>
            <w:right w:val="none" w:sz="0" w:space="0" w:color="auto"/>
          </w:divBdr>
          <w:divsChild>
            <w:div w:id="26879864">
              <w:marLeft w:val="0"/>
              <w:marRight w:val="0"/>
              <w:marTop w:val="0"/>
              <w:marBottom w:val="0"/>
              <w:divBdr>
                <w:top w:val="none" w:sz="0" w:space="0" w:color="auto"/>
                <w:left w:val="none" w:sz="0" w:space="0" w:color="auto"/>
                <w:bottom w:val="none" w:sz="0" w:space="0" w:color="auto"/>
                <w:right w:val="none" w:sz="0" w:space="0" w:color="auto"/>
              </w:divBdr>
              <w:divsChild>
                <w:div w:id="457407663">
                  <w:marLeft w:val="0"/>
                  <w:marRight w:val="0"/>
                  <w:marTop w:val="0"/>
                  <w:marBottom w:val="0"/>
                  <w:divBdr>
                    <w:top w:val="single" w:sz="6" w:space="0" w:color="CCCCCC"/>
                    <w:left w:val="single" w:sz="6" w:space="0" w:color="CCCCCC"/>
                    <w:bottom w:val="single" w:sz="6" w:space="0" w:color="CCCCCC"/>
                    <w:right w:val="single" w:sz="6" w:space="0" w:color="CCCCCC"/>
                  </w:divBdr>
                  <w:divsChild>
                    <w:div w:id="1747533485">
                      <w:marLeft w:val="0"/>
                      <w:marRight w:val="0"/>
                      <w:marTop w:val="0"/>
                      <w:marBottom w:val="0"/>
                      <w:divBdr>
                        <w:top w:val="none" w:sz="0" w:space="0" w:color="auto"/>
                        <w:left w:val="none" w:sz="0" w:space="0" w:color="auto"/>
                        <w:bottom w:val="none" w:sz="0" w:space="0" w:color="auto"/>
                        <w:right w:val="none" w:sz="0" w:space="0" w:color="auto"/>
                      </w:divBdr>
                      <w:divsChild>
                        <w:div w:id="1915165414">
                          <w:marLeft w:val="0"/>
                          <w:marRight w:val="0"/>
                          <w:marTop w:val="0"/>
                          <w:marBottom w:val="0"/>
                          <w:divBdr>
                            <w:top w:val="none" w:sz="0" w:space="0" w:color="auto"/>
                            <w:left w:val="none" w:sz="0" w:space="0" w:color="auto"/>
                            <w:bottom w:val="none" w:sz="0" w:space="0" w:color="auto"/>
                            <w:right w:val="none" w:sz="0" w:space="0" w:color="auto"/>
                          </w:divBdr>
                          <w:divsChild>
                            <w:div w:id="638615097">
                              <w:marLeft w:val="0"/>
                              <w:marRight w:val="0"/>
                              <w:marTop w:val="0"/>
                              <w:marBottom w:val="0"/>
                              <w:divBdr>
                                <w:top w:val="none" w:sz="0" w:space="0" w:color="auto"/>
                                <w:left w:val="none" w:sz="0" w:space="0" w:color="auto"/>
                                <w:bottom w:val="none" w:sz="0" w:space="0" w:color="auto"/>
                                <w:right w:val="none" w:sz="0" w:space="0" w:color="auto"/>
                              </w:divBdr>
                              <w:divsChild>
                                <w:div w:id="32344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5954490">
      <w:bodyDiv w:val="1"/>
      <w:marLeft w:val="0"/>
      <w:marRight w:val="0"/>
      <w:marTop w:val="0"/>
      <w:marBottom w:val="0"/>
      <w:divBdr>
        <w:top w:val="none" w:sz="0" w:space="0" w:color="auto"/>
        <w:left w:val="none" w:sz="0" w:space="0" w:color="auto"/>
        <w:bottom w:val="none" w:sz="0" w:space="0" w:color="auto"/>
        <w:right w:val="none" w:sz="0" w:space="0" w:color="auto"/>
      </w:divBdr>
      <w:divsChild>
        <w:div w:id="65150415">
          <w:marLeft w:val="0"/>
          <w:marRight w:val="0"/>
          <w:marTop w:val="0"/>
          <w:marBottom w:val="0"/>
          <w:divBdr>
            <w:top w:val="none" w:sz="0" w:space="0" w:color="auto"/>
            <w:left w:val="none" w:sz="0" w:space="0" w:color="auto"/>
            <w:bottom w:val="none" w:sz="0" w:space="0" w:color="auto"/>
            <w:right w:val="none" w:sz="0" w:space="0" w:color="auto"/>
          </w:divBdr>
          <w:divsChild>
            <w:div w:id="336998794">
              <w:marLeft w:val="0"/>
              <w:marRight w:val="0"/>
              <w:marTop w:val="0"/>
              <w:marBottom w:val="0"/>
              <w:divBdr>
                <w:top w:val="none" w:sz="0" w:space="0" w:color="auto"/>
                <w:left w:val="none" w:sz="0" w:space="0" w:color="auto"/>
                <w:bottom w:val="none" w:sz="0" w:space="0" w:color="auto"/>
                <w:right w:val="none" w:sz="0" w:space="0" w:color="auto"/>
              </w:divBdr>
              <w:divsChild>
                <w:div w:id="710495531">
                  <w:marLeft w:val="0"/>
                  <w:marRight w:val="0"/>
                  <w:marTop w:val="0"/>
                  <w:marBottom w:val="0"/>
                  <w:divBdr>
                    <w:top w:val="single" w:sz="6" w:space="0" w:color="CCCCCC"/>
                    <w:left w:val="single" w:sz="6" w:space="0" w:color="CCCCCC"/>
                    <w:bottom w:val="single" w:sz="6" w:space="0" w:color="CCCCCC"/>
                    <w:right w:val="single" w:sz="6" w:space="0" w:color="CCCCCC"/>
                  </w:divBdr>
                  <w:divsChild>
                    <w:div w:id="550195644">
                      <w:marLeft w:val="0"/>
                      <w:marRight w:val="0"/>
                      <w:marTop w:val="0"/>
                      <w:marBottom w:val="0"/>
                      <w:divBdr>
                        <w:top w:val="none" w:sz="0" w:space="0" w:color="auto"/>
                        <w:left w:val="none" w:sz="0" w:space="0" w:color="auto"/>
                        <w:bottom w:val="none" w:sz="0" w:space="0" w:color="auto"/>
                        <w:right w:val="none" w:sz="0" w:space="0" w:color="auto"/>
                      </w:divBdr>
                      <w:divsChild>
                        <w:div w:id="2119137806">
                          <w:marLeft w:val="0"/>
                          <w:marRight w:val="0"/>
                          <w:marTop w:val="0"/>
                          <w:marBottom w:val="0"/>
                          <w:divBdr>
                            <w:top w:val="none" w:sz="0" w:space="0" w:color="auto"/>
                            <w:left w:val="none" w:sz="0" w:space="0" w:color="auto"/>
                            <w:bottom w:val="none" w:sz="0" w:space="0" w:color="auto"/>
                            <w:right w:val="none" w:sz="0" w:space="0" w:color="auto"/>
                          </w:divBdr>
                          <w:divsChild>
                            <w:div w:id="1559902999">
                              <w:marLeft w:val="0"/>
                              <w:marRight w:val="0"/>
                              <w:marTop w:val="0"/>
                              <w:marBottom w:val="0"/>
                              <w:divBdr>
                                <w:top w:val="none" w:sz="0" w:space="0" w:color="auto"/>
                                <w:left w:val="none" w:sz="0" w:space="0" w:color="auto"/>
                                <w:bottom w:val="none" w:sz="0" w:space="0" w:color="auto"/>
                                <w:right w:val="none" w:sz="0" w:space="0" w:color="auto"/>
                              </w:divBdr>
                              <w:divsChild>
                                <w:div w:id="1705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559520">
      <w:bodyDiv w:val="1"/>
      <w:marLeft w:val="0"/>
      <w:marRight w:val="0"/>
      <w:marTop w:val="0"/>
      <w:marBottom w:val="0"/>
      <w:divBdr>
        <w:top w:val="none" w:sz="0" w:space="0" w:color="auto"/>
        <w:left w:val="none" w:sz="0" w:space="0" w:color="auto"/>
        <w:bottom w:val="none" w:sz="0" w:space="0" w:color="auto"/>
        <w:right w:val="none" w:sz="0" w:space="0" w:color="auto"/>
      </w:divBdr>
      <w:divsChild>
        <w:div w:id="1815902621">
          <w:marLeft w:val="0"/>
          <w:marRight w:val="0"/>
          <w:marTop w:val="0"/>
          <w:marBottom w:val="0"/>
          <w:divBdr>
            <w:top w:val="none" w:sz="0" w:space="0" w:color="auto"/>
            <w:left w:val="none" w:sz="0" w:space="0" w:color="auto"/>
            <w:bottom w:val="none" w:sz="0" w:space="0" w:color="auto"/>
            <w:right w:val="none" w:sz="0" w:space="0" w:color="auto"/>
          </w:divBdr>
          <w:divsChild>
            <w:div w:id="588806669">
              <w:marLeft w:val="0"/>
              <w:marRight w:val="0"/>
              <w:marTop w:val="0"/>
              <w:marBottom w:val="0"/>
              <w:divBdr>
                <w:top w:val="none" w:sz="0" w:space="0" w:color="auto"/>
                <w:left w:val="none" w:sz="0" w:space="0" w:color="auto"/>
                <w:bottom w:val="none" w:sz="0" w:space="0" w:color="auto"/>
                <w:right w:val="none" w:sz="0" w:space="0" w:color="auto"/>
              </w:divBdr>
              <w:divsChild>
                <w:div w:id="1060641254">
                  <w:marLeft w:val="0"/>
                  <w:marRight w:val="0"/>
                  <w:marTop w:val="0"/>
                  <w:marBottom w:val="0"/>
                  <w:divBdr>
                    <w:top w:val="single" w:sz="6" w:space="0" w:color="CCCCCC"/>
                    <w:left w:val="single" w:sz="6" w:space="0" w:color="CCCCCC"/>
                    <w:bottom w:val="single" w:sz="6" w:space="0" w:color="CCCCCC"/>
                    <w:right w:val="single" w:sz="6" w:space="0" w:color="CCCCCC"/>
                  </w:divBdr>
                  <w:divsChild>
                    <w:div w:id="307983076">
                      <w:marLeft w:val="0"/>
                      <w:marRight w:val="0"/>
                      <w:marTop w:val="0"/>
                      <w:marBottom w:val="0"/>
                      <w:divBdr>
                        <w:top w:val="none" w:sz="0" w:space="0" w:color="auto"/>
                        <w:left w:val="none" w:sz="0" w:space="0" w:color="auto"/>
                        <w:bottom w:val="none" w:sz="0" w:space="0" w:color="auto"/>
                        <w:right w:val="none" w:sz="0" w:space="0" w:color="auto"/>
                      </w:divBdr>
                      <w:divsChild>
                        <w:div w:id="1394156233">
                          <w:marLeft w:val="0"/>
                          <w:marRight w:val="0"/>
                          <w:marTop w:val="0"/>
                          <w:marBottom w:val="0"/>
                          <w:divBdr>
                            <w:top w:val="none" w:sz="0" w:space="0" w:color="auto"/>
                            <w:left w:val="none" w:sz="0" w:space="0" w:color="auto"/>
                            <w:bottom w:val="none" w:sz="0" w:space="0" w:color="auto"/>
                            <w:right w:val="none" w:sz="0" w:space="0" w:color="auto"/>
                          </w:divBdr>
                          <w:divsChild>
                            <w:div w:id="1868904134">
                              <w:marLeft w:val="0"/>
                              <w:marRight w:val="0"/>
                              <w:marTop w:val="0"/>
                              <w:marBottom w:val="0"/>
                              <w:divBdr>
                                <w:top w:val="none" w:sz="0" w:space="0" w:color="auto"/>
                                <w:left w:val="none" w:sz="0" w:space="0" w:color="auto"/>
                                <w:bottom w:val="none" w:sz="0" w:space="0" w:color="auto"/>
                                <w:right w:val="none" w:sz="0" w:space="0" w:color="auto"/>
                              </w:divBdr>
                              <w:divsChild>
                                <w:div w:id="177081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8591672">
      <w:bodyDiv w:val="1"/>
      <w:marLeft w:val="0"/>
      <w:marRight w:val="0"/>
      <w:marTop w:val="0"/>
      <w:marBottom w:val="0"/>
      <w:divBdr>
        <w:top w:val="none" w:sz="0" w:space="0" w:color="auto"/>
        <w:left w:val="none" w:sz="0" w:space="0" w:color="auto"/>
        <w:bottom w:val="none" w:sz="0" w:space="0" w:color="auto"/>
        <w:right w:val="none" w:sz="0" w:space="0" w:color="auto"/>
      </w:divBdr>
    </w:div>
    <w:div w:id="1034770665">
      <w:bodyDiv w:val="1"/>
      <w:marLeft w:val="0"/>
      <w:marRight w:val="0"/>
      <w:marTop w:val="0"/>
      <w:marBottom w:val="0"/>
      <w:divBdr>
        <w:top w:val="none" w:sz="0" w:space="0" w:color="auto"/>
        <w:left w:val="none" w:sz="0" w:space="0" w:color="auto"/>
        <w:bottom w:val="none" w:sz="0" w:space="0" w:color="auto"/>
        <w:right w:val="none" w:sz="0" w:space="0" w:color="auto"/>
      </w:divBdr>
    </w:div>
    <w:div w:id="1038747021">
      <w:bodyDiv w:val="1"/>
      <w:marLeft w:val="0"/>
      <w:marRight w:val="0"/>
      <w:marTop w:val="0"/>
      <w:marBottom w:val="0"/>
      <w:divBdr>
        <w:top w:val="none" w:sz="0" w:space="0" w:color="auto"/>
        <w:left w:val="none" w:sz="0" w:space="0" w:color="auto"/>
        <w:bottom w:val="none" w:sz="0" w:space="0" w:color="auto"/>
        <w:right w:val="none" w:sz="0" w:space="0" w:color="auto"/>
      </w:divBdr>
      <w:divsChild>
        <w:div w:id="147980636">
          <w:marLeft w:val="0"/>
          <w:marRight w:val="0"/>
          <w:marTop w:val="0"/>
          <w:marBottom w:val="0"/>
          <w:divBdr>
            <w:top w:val="none" w:sz="0" w:space="0" w:color="auto"/>
            <w:left w:val="none" w:sz="0" w:space="0" w:color="auto"/>
            <w:bottom w:val="none" w:sz="0" w:space="0" w:color="auto"/>
            <w:right w:val="none" w:sz="0" w:space="0" w:color="auto"/>
          </w:divBdr>
          <w:divsChild>
            <w:div w:id="2088336259">
              <w:marLeft w:val="0"/>
              <w:marRight w:val="0"/>
              <w:marTop w:val="0"/>
              <w:marBottom w:val="0"/>
              <w:divBdr>
                <w:top w:val="none" w:sz="0" w:space="0" w:color="auto"/>
                <w:left w:val="none" w:sz="0" w:space="0" w:color="auto"/>
                <w:bottom w:val="none" w:sz="0" w:space="0" w:color="auto"/>
                <w:right w:val="none" w:sz="0" w:space="0" w:color="auto"/>
              </w:divBdr>
              <w:divsChild>
                <w:div w:id="675882280">
                  <w:marLeft w:val="0"/>
                  <w:marRight w:val="0"/>
                  <w:marTop w:val="0"/>
                  <w:marBottom w:val="0"/>
                  <w:divBdr>
                    <w:top w:val="single" w:sz="6" w:space="0" w:color="CCCCCC"/>
                    <w:left w:val="single" w:sz="6" w:space="0" w:color="CCCCCC"/>
                    <w:bottom w:val="single" w:sz="6" w:space="0" w:color="CCCCCC"/>
                    <w:right w:val="single" w:sz="6" w:space="0" w:color="CCCCCC"/>
                  </w:divBdr>
                  <w:divsChild>
                    <w:div w:id="252083613">
                      <w:marLeft w:val="0"/>
                      <w:marRight w:val="0"/>
                      <w:marTop w:val="0"/>
                      <w:marBottom w:val="0"/>
                      <w:divBdr>
                        <w:top w:val="none" w:sz="0" w:space="0" w:color="auto"/>
                        <w:left w:val="none" w:sz="0" w:space="0" w:color="auto"/>
                        <w:bottom w:val="none" w:sz="0" w:space="0" w:color="auto"/>
                        <w:right w:val="none" w:sz="0" w:space="0" w:color="auto"/>
                      </w:divBdr>
                      <w:divsChild>
                        <w:div w:id="524439441">
                          <w:marLeft w:val="0"/>
                          <w:marRight w:val="0"/>
                          <w:marTop w:val="0"/>
                          <w:marBottom w:val="0"/>
                          <w:divBdr>
                            <w:top w:val="none" w:sz="0" w:space="0" w:color="auto"/>
                            <w:left w:val="none" w:sz="0" w:space="0" w:color="auto"/>
                            <w:bottom w:val="none" w:sz="0" w:space="0" w:color="auto"/>
                            <w:right w:val="none" w:sz="0" w:space="0" w:color="auto"/>
                          </w:divBdr>
                          <w:divsChild>
                            <w:div w:id="2094006880">
                              <w:marLeft w:val="0"/>
                              <w:marRight w:val="0"/>
                              <w:marTop w:val="0"/>
                              <w:marBottom w:val="0"/>
                              <w:divBdr>
                                <w:top w:val="none" w:sz="0" w:space="0" w:color="auto"/>
                                <w:left w:val="none" w:sz="0" w:space="0" w:color="auto"/>
                                <w:bottom w:val="none" w:sz="0" w:space="0" w:color="auto"/>
                                <w:right w:val="none" w:sz="0" w:space="0" w:color="auto"/>
                              </w:divBdr>
                              <w:divsChild>
                                <w:div w:id="10785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731880">
      <w:bodyDiv w:val="1"/>
      <w:marLeft w:val="0"/>
      <w:marRight w:val="0"/>
      <w:marTop w:val="0"/>
      <w:marBottom w:val="0"/>
      <w:divBdr>
        <w:top w:val="none" w:sz="0" w:space="0" w:color="auto"/>
        <w:left w:val="none" w:sz="0" w:space="0" w:color="auto"/>
        <w:bottom w:val="none" w:sz="0" w:space="0" w:color="auto"/>
        <w:right w:val="none" w:sz="0" w:space="0" w:color="auto"/>
      </w:divBdr>
    </w:div>
    <w:div w:id="1051735419">
      <w:bodyDiv w:val="1"/>
      <w:marLeft w:val="0"/>
      <w:marRight w:val="0"/>
      <w:marTop w:val="0"/>
      <w:marBottom w:val="0"/>
      <w:divBdr>
        <w:top w:val="none" w:sz="0" w:space="0" w:color="auto"/>
        <w:left w:val="none" w:sz="0" w:space="0" w:color="auto"/>
        <w:bottom w:val="none" w:sz="0" w:space="0" w:color="auto"/>
        <w:right w:val="none" w:sz="0" w:space="0" w:color="auto"/>
      </w:divBdr>
    </w:div>
    <w:div w:id="1105878851">
      <w:bodyDiv w:val="1"/>
      <w:marLeft w:val="0"/>
      <w:marRight w:val="0"/>
      <w:marTop w:val="0"/>
      <w:marBottom w:val="0"/>
      <w:divBdr>
        <w:top w:val="none" w:sz="0" w:space="0" w:color="auto"/>
        <w:left w:val="none" w:sz="0" w:space="0" w:color="auto"/>
        <w:bottom w:val="none" w:sz="0" w:space="0" w:color="auto"/>
        <w:right w:val="none" w:sz="0" w:space="0" w:color="auto"/>
      </w:divBdr>
    </w:div>
    <w:div w:id="1134100514">
      <w:bodyDiv w:val="1"/>
      <w:marLeft w:val="0"/>
      <w:marRight w:val="0"/>
      <w:marTop w:val="0"/>
      <w:marBottom w:val="0"/>
      <w:divBdr>
        <w:top w:val="none" w:sz="0" w:space="0" w:color="auto"/>
        <w:left w:val="none" w:sz="0" w:space="0" w:color="auto"/>
        <w:bottom w:val="none" w:sz="0" w:space="0" w:color="auto"/>
        <w:right w:val="none" w:sz="0" w:space="0" w:color="auto"/>
      </w:divBdr>
    </w:div>
    <w:div w:id="1238251931">
      <w:bodyDiv w:val="1"/>
      <w:marLeft w:val="0"/>
      <w:marRight w:val="0"/>
      <w:marTop w:val="0"/>
      <w:marBottom w:val="0"/>
      <w:divBdr>
        <w:top w:val="none" w:sz="0" w:space="0" w:color="auto"/>
        <w:left w:val="none" w:sz="0" w:space="0" w:color="auto"/>
        <w:bottom w:val="none" w:sz="0" w:space="0" w:color="auto"/>
        <w:right w:val="none" w:sz="0" w:space="0" w:color="auto"/>
      </w:divBdr>
    </w:div>
    <w:div w:id="1304189990">
      <w:bodyDiv w:val="1"/>
      <w:marLeft w:val="0"/>
      <w:marRight w:val="0"/>
      <w:marTop w:val="0"/>
      <w:marBottom w:val="0"/>
      <w:divBdr>
        <w:top w:val="none" w:sz="0" w:space="0" w:color="auto"/>
        <w:left w:val="none" w:sz="0" w:space="0" w:color="auto"/>
        <w:bottom w:val="none" w:sz="0" w:space="0" w:color="auto"/>
        <w:right w:val="none" w:sz="0" w:space="0" w:color="auto"/>
      </w:divBdr>
    </w:div>
    <w:div w:id="1361013304">
      <w:bodyDiv w:val="1"/>
      <w:marLeft w:val="0"/>
      <w:marRight w:val="0"/>
      <w:marTop w:val="0"/>
      <w:marBottom w:val="0"/>
      <w:divBdr>
        <w:top w:val="none" w:sz="0" w:space="0" w:color="auto"/>
        <w:left w:val="none" w:sz="0" w:space="0" w:color="auto"/>
        <w:bottom w:val="none" w:sz="0" w:space="0" w:color="auto"/>
        <w:right w:val="none" w:sz="0" w:space="0" w:color="auto"/>
      </w:divBdr>
      <w:divsChild>
        <w:div w:id="355808722">
          <w:marLeft w:val="0"/>
          <w:marRight w:val="0"/>
          <w:marTop w:val="0"/>
          <w:marBottom w:val="0"/>
          <w:divBdr>
            <w:top w:val="none" w:sz="0" w:space="0" w:color="auto"/>
            <w:left w:val="none" w:sz="0" w:space="0" w:color="auto"/>
            <w:bottom w:val="none" w:sz="0" w:space="0" w:color="auto"/>
            <w:right w:val="none" w:sz="0" w:space="0" w:color="auto"/>
          </w:divBdr>
          <w:divsChild>
            <w:div w:id="1518155774">
              <w:marLeft w:val="0"/>
              <w:marRight w:val="0"/>
              <w:marTop w:val="0"/>
              <w:marBottom w:val="0"/>
              <w:divBdr>
                <w:top w:val="none" w:sz="0" w:space="0" w:color="auto"/>
                <w:left w:val="none" w:sz="0" w:space="0" w:color="auto"/>
                <w:bottom w:val="none" w:sz="0" w:space="0" w:color="auto"/>
                <w:right w:val="none" w:sz="0" w:space="0" w:color="auto"/>
              </w:divBdr>
              <w:divsChild>
                <w:div w:id="1326319956">
                  <w:marLeft w:val="0"/>
                  <w:marRight w:val="0"/>
                  <w:marTop w:val="0"/>
                  <w:marBottom w:val="0"/>
                  <w:divBdr>
                    <w:top w:val="single" w:sz="6" w:space="0" w:color="CCCCCC"/>
                    <w:left w:val="single" w:sz="6" w:space="0" w:color="CCCCCC"/>
                    <w:bottom w:val="single" w:sz="6" w:space="0" w:color="CCCCCC"/>
                    <w:right w:val="single" w:sz="6" w:space="0" w:color="CCCCCC"/>
                  </w:divBdr>
                  <w:divsChild>
                    <w:div w:id="597980374">
                      <w:marLeft w:val="0"/>
                      <w:marRight w:val="0"/>
                      <w:marTop w:val="0"/>
                      <w:marBottom w:val="0"/>
                      <w:divBdr>
                        <w:top w:val="none" w:sz="0" w:space="0" w:color="auto"/>
                        <w:left w:val="none" w:sz="0" w:space="0" w:color="auto"/>
                        <w:bottom w:val="none" w:sz="0" w:space="0" w:color="auto"/>
                        <w:right w:val="none" w:sz="0" w:space="0" w:color="auto"/>
                      </w:divBdr>
                      <w:divsChild>
                        <w:div w:id="696194417">
                          <w:marLeft w:val="0"/>
                          <w:marRight w:val="0"/>
                          <w:marTop w:val="0"/>
                          <w:marBottom w:val="0"/>
                          <w:divBdr>
                            <w:top w:val="none" w:sz="0" w:space="0" w:color="auto"/>
                            <w:left w:val="none" w:sz="0" w:space="0" w:color="auto"/>
                            <w:bottom w:val="none" w:sz="0" w:space="0" w:color="auto"/>
                            <w:right w:val="none" w:sz="0" w:space="0" w:color="auto"/>
                          </w:divBdr>
                          <w:divsChild>
                            <w:div w:id="480004669">
                              <w:marLeft w:val="0"/>
                              <w:marRight w:val="0"/>
                              <w:marTop w:val="0"/>
                              <w:marBottom w:val="0"/>
                              <w:divBdr>
                                <w:top w:val="none" w:sz="0" w:space="0" w:color="auto"/>
                                <w:left w:val="none" w:sz="0" w:space="0" w:color="auto"/>
                                <w:bottom w:val="none" w:sz="0" w:space="0" w:color="auto"/>
                                <w:right w:val="none" w:sz="0" w:space="0" w:color="auto"/>
                              </w:divBdr>
                              <w:divsChild>
                                <w:div w:id="190109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7049984">
      <w:bodyDiv w:val="1"/>
      <w:marLeft w:val="0"/>
      <w:marRight w:val="0"/>
      <w:marTop w:val="0"/>
      <w:marBottom w:val="0"/>
      <w:divBdr>
        <w:top w:val="none" w:sz="0" w:space="0" w:color="auto"/>
        <w:left w:val="none" w:sz="0" w:space="0" w:color="auto"/>
        <w:bottom w:val="none" w:sz="0" w:space="0" w:color="auto"/>
        <w:right w:val="none" w:sz="0" w:space="0" w:color="auto"/>
      </w:divBdr>
      <w:divsChild>
        <w:div w:id="441416641">
          <w:marLeft w:val="0"/>
          <w:marRight w:val="0"/>
          <w:marTop w:val="0"/>
          <w:marBottom w:val="0"/>
          <w:divBdr>
            <w:top w:val="none" w:sz="0" w:space="0" w:color="auto"/>
            <w:left w:val="none" w:sz="0" w:space="0" w:color="auto"/>
            <w:bottom w:val="none" w:sz="0" w:space="0" w:color="auto"/>
            <w:right w:val="none" w:sz="0" w:space="0" w:color="auto"/>
          </w:divBdr>
          <w:divsChild>
            <w:div w:id="482234361">
              <w:marLeft w:val="0"/>
              <w:marRight w:val="0"/>
              <w:marTop w:val="0"/>
              <w:marBottom w:val="0"/>
              <w:divBdr>
                <w:top w:val="none" w:sz="0" w:space="0" w:color="auto"/>
                <w:left w:val="none" w:sz="0" w:space="0" w:color="auto"/>
                <w:bottom w:val="none" w:sz="0" w:space="0" w:color="auto"/>
                <w:right w:val="none" w:sz="0" w:space="0" w:color="auto"/>
              </w:divBdr>
              <w:divsChild>
                <w:div w:id="1384014398">
                  <w:marLeft w:val="0"/>
                  <w:marRight w:val="0"/>
                  <w:marTop w:val="0"/>
                  <w:marBottom w:val="0"/>
                  <w:divBdr>
                    <w:top w:val="single" w:sz="6" w:space="0" w:color="CCCCCC"/>
                    <w:left w:val="single" w:sz="6" w:space="0" w:color="CCCCCC"/>
                    <w:bottom w:val="single" w:sz="6" w:space="0" w:color="CCCCCC"/>
                    <w:right w:val="single" w:sz="6" w:space="0" w:color="CCCCCC"/>
                  </w:divBdr>
                  <w:divsChild>
                    <w:div w:id="1477837863">
                      <w:marLeft w:val="0"/>
                      <w:marRight w:val="0"/>
                      <w:marTop w:val="0"/>
                      <w:marBottom w:val="0"/>
                      <w:divBdr>
                        <w:top w:val="none" w:sz="0" w:space="0" w:color="auto"/>
                        <w:left w:val="none" w:sz="0" w:space="0" w:color="auto"/>
                        <w:bottom w:val="none" w:sz="0" w:space="0" w:color="auto"/>
                        <w:right w:val="none" w:sz="0" w:space="0" w:color="auto"/>
                      </w:divBdr>
                      <w:divsChild>
                        <w:div w:id="210120116">
                          <w:marLeft w:val="0"/>
                          <w:marRight w:val="0"/>
                          <w:marTop w:val="0"/>
                          <w:marBottom w:val="0"/>
                          <w:divBdr>
                            <w:top w:val="none" w:sz="0" w:space="0" w:color="auto"/>
                            <w:left w:val="none" w:sz="0" w:space="0" w:color="auto"/>
                            <w:bottom w:val="none" w:sz="0" w:space="0" w:color="auto"/>
                            <w:right w:val="none" w:sz="0" w:space="0" w:color="auto"/>
                          </w:divBdr>
                          <w:divsChild>
                            <w:div w:id="1059984909">
                              <w:marLeft w:val="0"/>
                              <w:marRight w:val="0"/>
                              <w:marTop w:val="0"/>
                              <w:marBottom w:val="0"/>
                              <w:divBdr>
                                <w:top w:val="none" w:sz="0" w:space="0" w:color="auto"/>
                                <w:left w:val="none" w:sz="0" w:space="0" w:color="auto"/>
                                <w:bottom w:val="none" w:sz="0" w:space="0" w:color="auto"/>
                                <w:right w:val="none" w:sz="0" w:space="0" w:color="auto"/>
                              </w:divBdr>
                              <w:divsChild>
                                <w:div w:id="10007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0466076">
      <w:bodyDiv w:val="1"/>
      <w:marLeft w:val="0"/>
      <w:marRight w:val="0"/>
      <w:marTop w:val="0"/>
      <w:marBottom w:val="0"/>
      <w:divBdr>
        <w:top w:val="none" w:sz="0" w:space="0" w:color="auto"/>
        <w:left w:val="none" w:sz="0" w:space="0" w:color="auto"/>
        <w:bottom w:val="none" w:sz="0" w:space="0" w:color="auto"/>
        <w:right w:val="none" w:sz="0" w:space="0" w:color="auto"/>
      </w:divBdr>
    </w:div>
    <w:div w:id="1492866859">
      <w:bodyDiv w:val="1"/>
      <w:marLeft w:val="0"/>
      <w:marRight w:val="0"/>
      <w:marTop w:val="0"/>
      <w:marBottom w:val="0"/>
      <w:divBdr>
        <w:top w:val="none" w:sz="0" w:space="0" w:color="auto"/>
        <w:left w:val="none" w:sz="0" w:space="0" w:color="auto"/>
        <w:bottom w:val="none" w:sz="0" w:space="0" w:color="auto"/>
        <w:right w:val="none" w:sz="0" w:space="0" w:color="auto"/>
      </w:divBdr>
    </w:div>
    <w:div w:id="1704672261">
      <w:bodyDiv w:val="1"/>
      <w:marLeft w:val="0"/>
      <w:marRight w:val="0"/>
      <w:marTop w:val="0"/>
      <w:marBottom w:val="0"/>
      <w:divBdr>
        <w:top w:val="none" w:sz="0" w:space="0" w:color="auto"/>
        <w:left w:val="none" w:sz="0" w:space="0" w:color="auto"/>
        <w:bottom w:val="none" w:sz="0" w:space="0" w:color="auto"/>
        <w:right w:val="none" w:sz="0" w:space="0" w:color="auto"/>
      </w:divBdr>
    </w:div>
    <w:div w:id="1708406125">
      <w:bodyDiv w:val="1"/>
      <w:marLeft w:val="0"/>
      <w:marRight w:val="0"/>
      <w:marTop w:val="0"/>
      <w:marBottom w:val="0"/>
      <w:divBdr>
        <w:top w:val="none" w:sz="0" w:space="0" w:color="auto"/>
        <w:left w:val="none" w:sz="0" w:space="0" w:color="auto"/>
        <w:bottom w:val="none" w:sz="0" w:space="0" w:color="auto"/>
        <w:right w:val="none" w:sz="0" w:space="0" w:color="auto"/>
      </w:divBdr>
      <w:divsChild>
        <w:div w:id="2073960596">
          <w:marLeft w:val="0"/>
          <w:marRight w:val="0"/>
          <w:marTop w:val="0"/>
          <w:marBottom w:val="0"/>
          <w:divBdr>
            <w:top w:val="none" w:sz="0" w:space="0" w:color="auto"/>
            <w:left w:val="none" w:sz="0" w:space="0" w:color="auto"/>
            <w:bottom w:val="none" w:sz="0" w:space="0" w:color="auto"/>
            <w:right w:val="none" w:sz="0" w:space="0" w:color="auto"/>
          </w:divBdr>
        </w:div>
      </w:divsChild>
    </w:div>
    <w:div w:id="1792018374">
      <w:bodyDiv w:val="1"/>
      <w:marLeft w:val="0"/>
      <w:marRight w:val="0"/>
      <w:marTop w:val="0"/>
      <w:marBottom w:val="0"/>
      <w:divBdr>
        <w:top w:val="none" w:sz="0" w:space="0" w:color="auto"/>
        <w:left w:val="none" w:sz="0" w:space="0" w:color="auto"/>
        <w:bottom w:val="none" w:sz="0" w:space="0" w:color="auto"/>
        <w:right w:val="none" w:sz="0" w:space="0" w:color="auto"/>
      </w:divBdr>
    </w:div>
    <w:div w:id="1803376913">
      <w:bodyDiv w:val="1"/>
      <w:marLeft w:val="0"/>
      <w:marRight w:val="0"/>
      <w:marTop w:val="0"/>
      <w:marBottom w:val="0"/>
      <w:divBdr>
        <w:top w:val="none" w:sz="0" w:space="0" w:color="auto"/>
        <w:left w:val="none" w:sz="0" w:space="0" w:color="auto"/>
        <w:bottom w:val="none" w:sz="0" w:space="0" w:color="auto"/>
        <w:right w:val="none" w:sz="0" w:space="0" w:color="auto"/>
      </w:divBdr>
    </w:div>
    <w:div w:id="1811897881">
      <w:bodyDiv w:val="1"/>
      <w:marLeft w:val="0"/>
      <w:marRight w:val="0"/>
      <w:marTop w:val="0"/>
      <w:marBottom w:val="0"/>
      <w:divBdr>
        <w:top w:val="none" w:sz="0" w:space="0" w:color="auto"/>
        <w:left w:val="none" w:sz="0" w:space="0" w:color="auto"/>
        <w:bottom w:val="none" w:sz="0" w:space="0" w:color="auto"/>
        <w:right w:val="none" w:sz="0" w:space="0" w:color="auto"/>
      </w:divBdr>
      <w:divsChild>
        <w:div w:id="444809169">
          <w:marLeft w:val="0"/>
          <w:marRight w:val="0"/>
          <w:marTop w:val="0"/>
          <w:marBottom w:val="0"/>
          <w:divBdr>
            <w:top w:val="none" w:sz="0" w:space="0" w:color="auto"/>
            <w:left w:val="none" w:sz="0" w:space="0" w:color="auto"/>
            <w:bottom w:val="none" w:sz="0" w:space="0" w:color="auto"/>
            <w:right w:val="none" w:sz="0" w:space="0" w:color="auto"/>
          </w:divBdr>
        </w:div>
      </w:divsChild>
    </w:div>
    <w:div w:id="1823499698">
      <w:bodyDiv w:val="1"/>
      <w:marLeft w:val="0"/>
      <w:marRight w:val="0"/>
      <w:marTop w:val="0"/>
      <w:marBottom w:val="0"/>
      <w:divBdr>
        <w:top w:val="none" w:sz="0" w:space="0" w:color="auto"/>
        <w:left w:val="none" w:sz="0" w:space="0" w:color="auto"/>
        <w:bottom w:val="none" w:sz="0" w:space="0" w:color="auto"/>
        <w:right w:val="none" w:sz="0" w:space="0" w:color="auto"/>
      </w:divBdr>
    </w:div>
    <w:div w:id="1854607992">
      <w:bodyDiv w:val="1"/>
      <w:marLeft w:val="0"/>
      <w:marRight w:val="0"/>
      <w:marTop w:val="0"/>
      <w:marBottom w:val="0"/>
      <w:divBdr>
        <w:top w:val="none" w:sz="0" w:space="0" w:color="auto"/>
        <w:left w:val="none" w:sz="0" w:space="0" w:color="auto"/>
        <w:bottom w:val="none" w:sz="0" w:space="0" w:color="auto"/>
        <w:right w:val="none" w:sz="0" w:space="0" w:color="auto"/>
      </w:divBdr>
      <w:divsChild>
        <w:div w:id="640310822">
          <w:marLeft w:val="0"/>
          <w:marRight w:val="0"/>
          <w:marTop w:val="0"/>
          <w:marBottom w:val="0"/>
          <w:divBdr>
            <w:top w:val="none" w:sz="0" w:space="0" w:color="auto"/>
            <w:left w:val="none" w:sz="0" w:space="0" w:color="auto"/>
            <w:bottom w:val="none" w:sz="0" w:space="0" w:color="auto"/>
            <w:right w:val="none" w:sz="0" w:space="0" w:color="auto"/>
          </w:divBdr>
          <w:divsChild>
            <w:div w:id="695540545">
              <w:marLeft w:val="0"/>
              <w:marRight w:val="0"/>
              <w:marTop w:val="0"/>
              <w:marBottom w:val="0"/>
              <w:divBdr>
                <w:top w:val="none" w:sz="0" w:space="0" w:color="auto"/>
                <w:left w:val="none" w:sz="0" w:space="0" w:color="auto"/>
                <w:bottom w:val="none" w:sz="0" w:space="0" w:color="auto"/>
                <w:right w:val="none" w:sz="0" w:space="0" w:color="auto"/>
              </w:divBdr>
              <w:divsChild>
                <w:div w:id="801730242">
                  <w:marLeft w:val="0"/>
                  <w:marRight w:val="0"/>
                  <w:marTop w:val="0"/>
                  <w:marBottom w:val="0"/>
                  <w:divBdr>
                    <w:top w:val="single" w:sz="6" w:space="0" w:color="CCCCCC"/>
                    <w:left w:val="single" w:sz="6" w:space="0" w:color="CCCCCC"/>
                    <w:bottom w:val="single" w:sz="6" w:space="0" w:color="CCCCCC"/>
                    <w:right w:val="single" w:sz="6" w:space="0" w:color="CCCCCC"/>
                  </w:divBdr>
                  <w:divsChild>
                    <w:div w:id="1881672312">
                      <w:marLeft w:val="0"/>
                      <w:marRight w:val="0"/>
                      <w:marTop w:val="0"/>
                      <w:marBottom w:val="0"/>
                      <w:divBdr>
                        <w:top w:val="none" w:sz="0" w:space="0" w:color="auto"/>
                        <w:left w:val="none" w:sz="0" w:space="0" w:color="auto"/>
                        <w:bottom w:val="none" w:sz="0" w:space="0" w:color="auto"/>
                        <w:right w:val="none" w:sz="0" w:space="0" w:color="auto"/>
                      </w:divBdr>
                      <w:divsChild>
                        <w:div w:id="986591772">
                          <w:marLeft w:val="0"/>
                          <w:marRight w:val="0"/>
                          <w:marTop w:val="0"/>
                          <w:marBottom w:val="0"/>
                          <w:divBdr>
                            <w:top w:val="none" w:sz="0" w:space="0" w:color="auto"/>
                            <w:left w:val="none" w:sz="0" w:space="0" w:color="auto"/>
                            <w:bottom w:val="none" w:sz="0" w:space="0" w:color="auto"/>
                            <w:right w:val="none" w:sz="0" w:space="0" w:color="auto"/>
                          </w:divBdr>
                          <w:divsChild>
                            <w:div w:id="1850481681">
                              <w:marLeft w:val="0"/>
                              <w:marRight w:val="0"/>
                              <w:marTop w:val="0"/>
                              <w:marBottom w:val="0"/>
                              <w:divBdr>
                                <w:top w:val="none" w:sz="0" w:space="0" w:color="auto"/>
                                <w:left w:val="none" w:sz="0" w:space="0" w:color="auto"/>
                                <w:bottom w:val="none" w:sz="0" w:space="0" w:color="auto"/>
                                <w:right w:val="none" w:sz="0" w:space="0" w:color="auto"/>
                              </w:divBdr>
                              <w:divsChild>
                                <w:div w:id="1213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776654">
      <w:bodyDiv w:val="1"/>
      <w:marLeft w:val="0"/>
      <w:marRight w:val="0"/>
      <w:marTop w:val="0"/>
      <w:marBottom w:val="0"/>
      <w:divBdr>
        <w:top w:val="none" w:sz="0" w:space="0" w:color="auto"/>
        <w:left w:val="none" w:sz="0" w:space="0" w:color="auto"/>
        <w:bottom w:val="none" w:sz="0" w:space="0" w:color="auto"/>
        <w:right w:val="none" w:sz="0" w:space="0" w:color="auto"/>
      </w:divBdr>
    </w:div>
    <w:div w:id="2050110032">
      <w:bodyDiv w:val="1"/>
      <w:marLeft w:val="0"/>
      <w:marRight w:val="0"/>
      <w:marTop w:val="0"/>
      <w:marBottom w:val="0"/>
      <w:divBdr>
        <w:top w:val="none" w:sz="0" w:space="0" w:color="auto"/>
        <w:left w:val="none" w:sz="0" w:space="0" w:color="auto"/>
        <w:bottom w:val="none" w:sz="0" w:space="0" w:color="auto"/>
        <w:right w:val="none" w:sz="0" w:space="0" w:color="auto"/>
      </w:divBdr>
      <w:divsChild>
        <w:div w:id="1765225425">
          <w:marLeft w:val="0"/>
          <w:marRight w:val="0"/>
          <w:marTop w:val="0"/>
          <w:marBottom w:val="0"/>
          <w:divBdr>
            <w:top w:val="none" w:sz="0" w:space="0" w:color="auto"/>
            <w:left w:val="none" w:sz="0" w:space="0" w:color="auto"/>
            <w:bottom w:val="none" w:sz="0" w:space="0" w:color="auto"/>
            <w:right w:val="none" w:sz="0" w:space="0" w:color="auto"/>
          </w:divBdr>
          <w:divsChild>
            <w:div w:id="1396854916">
              <w:marLeft w:val="0"/>
              <w:marRight w:val="0"/>
              <w:marTop w:val="0"/>
              <w:marBottom w:val="0"/>
              <w:divBdr>
                <w:top w:val="none" w:sz="0" w:space="0" w:color="auto"/>
                <w:left w:val="none" w:sz="0" w:space="0" w:color="auto"/>
                <w:bottom w:val="none" w:sz="0" w:space="0" w:color="auto"/>
                <w:right w:val="none" w:sz="0" w:space="0" w:color="auto"/>
              </w:divBdr>
              <w:divsChild>
                <w:div w:id="1136754582">
                  <w:marLeft w:val="0"/>
                  <w:marRight w:val="0"/>
                  <w:marTop w:val="0"/>
                  <w:marBottom w:val="0"/>
                  <w:divBdr>
                    <w:top w:val="single" w:sz="6" w:space="0" w:color="CCCCCC"/>
                    <w:left w:val="single" w:sz="6" w:space="0" w:color="CCCCCC"/>
                    <w:bottom w:val="single" w:sz="6" w:space="0" w:color="CCCCCC"/>
                    <w:right w:val="single" w:sz="6" w:space="0" w:color="CCCCCC"/>
                  </w:divBdr>
                  <w:divsChild>
                    <w:div w:id="20517104">
                      <w:marLeft w:val="0"/>
                      <w:marRight w:val="0"/>
                      <w:marTop w:val="0"/>
                      <w:marBottom w:val="0"/>
                      <w:divBdr>
                        <w:top w:val="none" w:sz="0" w:space="0" w:color="auto"/>
                        <w:left w:val="none" w:sz="0" w:space="0" w:color="auto"/>
                        <w:bottom w:val="none" w:sz="0" w:space="0" w:color="auto"/>
                        <w:right w:val="none" w:sz="0" w:space="0" w:color="auto"/>
                      </w:divBdr>
                      <w:divsChild>
                        <w:div w:id="1434206776">
                          <w:marLeft w:val="0"/>
                          <w:marRight w:val="0"/>
                          <w:marTop w:val="0"/>
                          <w:marBottom w:val="0"/>
                          <w:divBdr>
                            <w:top w:val="none" w:sz="0" w:space="0" w:color="auto"/>
                            <w:left w:val="none" w:sz="0" w:space="0" w:color="auto"/>
                            <w:bottom w:val="none" w:sz="0" w:space="0" w:color="auto"/>
                            <w:right w:val="none" w:sz="0" w:space="0" w:color="auto"/>
                          </w:divBdr>
                          <w:divsChild>
                            <w:div w:id="283931558">
                              <w:marLeft w:val="0"/>
                              <w:marRight w:val="0"/>
                              <w:marTop w:val="0"/>
                              <w:marBottom w:val="0"/>
                              <w:divBdr>
                                <w:top w:val="none" w:sz="0" w:space="0" w:color="auto"/>
                                <w:left w:val="none" w:sz="0" w:space="0" w:color="auto"/>
                                <w:bottom w:val="none" w:sz="0" w:space="0" w:color="auto"/>
                                <w:right w:val="none" w:sz="0" w:space="0" w:color="auto"/>
                              </w:divBdr>
                              <w:divsChild>
                                <w:div w:id="10822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5058741">
      <w:bodyDiv w:val="1"/>
      <w:marLeft w:val="0"/>
      <w:marRight w:val="0"/>
      <w:marTop w:val="0"/>
      <w:marBottom w:val="0"/>
      <w:divBdr>
        <w:top w:val="none" w:sz="0" w:space="0" w:color="auto"/>
        <w:left w:val="none" w:sz="0" w:space="0" w:color="auto"/>
        <w:bottom w:val="none" w:sz="0" w:space="0" w:color="auto"/>
        <w:right w:val="none" w:sz="0" w:space="0" w:color="auto"/>
      </w:divBdr>
      <w:divsChild>
        <w:div w:id="385615509">
          <w:marLeft w:val="0"/>
          <w:marRight w:val="0"/>
          <w:marTop w:val="0"/>
          <w:marBottom w:val="0"/>
          <w:divBdr>
            <w:top w:val="none" w:sz="0" w:space="0" w:color="auto"/>
            <w:left w:val="none" w:sz="0" w:space="0" w:color="auto"/>
            <w:bottom w:val="none" w:sz="0" w:space="0" w:color="auto"/>
            <w:right w:val="none" w:sz="0" w:space="0" w:color="auto"/>
          </w:divBdr>
          <w:divsChild>
            <w:div w:id="1156720763">
              <w:marLeft w:val="0"/>
              <w:marRight w:val="0"/>
              <w:marTop w:val="0"/>
              <w:marBottom w:val="0"/>
              <w:divBdr>
                <w:top w:val="none" w:sz="0" w:space="0" w:color="auto"/>
                <w:left w:val="none" w:sz="0" w:space="0" w:color="auto"/>
                <w:bottom w:val="none" w:sz="0" w:space="0" w:color="auto"/>
                <w:right w:val="none" w:sz="0" w:space="0" w:color="auto"/>
              </w:divBdr>
              <w:divsChild>
                <w:div w:id="406457900">
                  <w:marLeft w:val="0"/>
                  <w:marRight w:val="0"/>
                  <w:marTop w:val="0"/>
                  <w:marBottom w:val="0"/>
                  <w:divBdr>
                    <w:top w:val="single" w:sz="6" w:space="0" w:color="CCCCCC"/>
                    <w:left w:val="single" w:sz="6" w:space="0" w:color="CCCCCC"/>
                    <w:bottom w:val="single" w:sz="6" w:space="0" w:color="CCCCCC"/>
                    <w:right w:val="single" w:sz="6" w:space="0" w:color="CCCCCC"/>
                  </w:divBdr>
                  <w:divsChild>
                    <w:div w:id="1744792781">
                      <w:marLeft w:val="0"/>
                      <w:marRight w:val="0"/>
                      <w:marTop w:val="0"/>
                      <w:marBottom w:val="0"/>
                      <w:divBdr>
                        <w:top w:val="none" w:sz="0" w:space="0" w:color="auto"/>
                        <w:left w:val="none" w:sz="0" w:space="0" w:color="auto"/>
                        <w:bottom w:val="none" w:sz="0" w:space="0" w:color="auto"/>
                        <w:right w:val="none" w:sz="0" w:space="0" w:color="auto"/>
                      </w:divBdr>
                      <w:divsChild>
                        <w:div w:id="249117519">
                          <w:marLeft w:val="0"/>
                          <w:marRight w:val="0"/>
                          <w:marTop w:val="0"/>
                          <w:marBottom w:val="0"/>
                          <w:divBdr>
                            <w:top w:val="none" w:sz="0" w:space="0" w:color="auto"/>
                            <w:left w:val="none" w:sz="0" w:space="0" w:color="auto"/>
                            <w:bottom w:val="none" w:sz="0" w:space="0" w:color="auto"/>
                            <w:right w:val="none" w:sz="0" w:space="0" w:color="auto"/>
                          </w:divBdr>
                          <w:divsChild>
                            <w:div w:id="52583334">
                              <w:marLeft w:val="0"/>
                              <w:marRight w:val="0"/>
                              <w:marTop w:val="0"/>
                              <w:marBottom w:val="0"/>
                              <w:divBdr>
                                <w:top w:val="none" w:sz="0" w:space="0" w:color="auto"/>
                                <w:left w:val="none" w:sz="0" w:space="0" w:color="auto"/>
                                <w:bottom w:val="none" w:sz="0" w:space="0" w:color="auto"/>
                                <w:right w:val="none" w:sz="0" w:space="0" w:color="auto"/>
                              </w:divBdr>
                              <w:divsChild>
                                <w:div w:id="186629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299343">
      <w:bodyDiv w:val="1"/>
      <w:marLeft w:val="0"/>
      <w:marRight w:val="0"/>
      <w:marTop w:val="0"/>
      <w:marBottom w:val="0"/>
      <w:divBdr>
        <w:top w:val="none" w:sz="0" w:space="0" w:color="auto"/>
        <w:left w:val="none" w:sz="0" w:space="0" w:color="auto"/>
        <w:bottom w:val="none" w:sz="0" w:space="0" w:color="auto"/>
        <w:right w:val="none" w:sz="0" w:space="0" w:color="auto"/>
      </w:divBdr>
      <w:divsChild>
        <w:div w:id="1615942385">
          <w:marLeft w:val="0"/>
          <w:marRight w:val="0"/>
          <w:marTop w:val="0"/>
          <w:marBottom w:val="0"/>
          <w:divBdr>
            <w:top w:val="none" w:sz="0" w:space="0" w:color="auto"/>
            <w:left w:val="none" w:sz="0" w:space="0" w:color="auto"/>
            <w:bottom w:val="none" w:sz="0" w:space="0" w:color="auto"/>
            <w:right w:val="none" w:sz="0" w:space="0" w:color="auto"/>
          </w:divBdr>
        </w:div>
      </w:divsChild>
    </w:div>
    <w:div w:id="213005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mortality.org/" TargetMode="External"/><Relationship Id="rId26" Type="http://schemas.openxmlformats.org/officeDocument/2006/relationships/hyperlink" Target="https://nccd.cdc.gov/dph_ardi/Info/ICDCodes.aspx" TargetMode="External"/><Relationship Id="rId3" Type="http://schemas.openxmlformats.org/officeDocument/2006/relationships/styles" Target="styles.xml"/><Relationship Id="rId21" Type="http://schemas.openxmlformats.org/officeDocument/2006/relationships/hyperlink" Target="http://www.mortality.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mortality.org/" TargetMode="External"/><Relationship Id="rId25" Type="http://schemas.openxmlformats.org/officeDocument/2006/relationships/hyperlink" Target="https://demographs.shinyapps.io/CEE_Ap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mortality.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mortality.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mortality.org/"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www.mortality.org/" TargetMode="External"/><Relationship Id="rId4" Type="http://schemas.openxmlformats.org/officeDocument/2006/relationships/settings" Target="settings.xml"/><Relationship Id="rId9" Type="http://schemas.openxmlformats.org/officeDocument/2006/relationships/hyperlink" Target="https://demographs.shinyapps.io/CEE_App/" TargetMode="External"/><Relationship Id="rId14" Type="http://schemas.openxmlformats.org/officeDocument/2006/relationships/image" Target="media/image6.png"/><Relationship Id="rId22" Type="http://schemas.openxmlformats.org/officeDocument/2006/relationships/hyperlink" Target="http://www.mortality.org/" TargetMode="External"/><Relationship Id="rId27" Type="http://schemas.openxmlformats.org/officeDocument/2006/relationships/hyperlink" Target="https://demographs.shinyapps.io/CEE_App/"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440AC-25C9-4AAE-9181-07FF1AC8A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11382</Words>
  <Characters>64880</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Univ of Wisc-Madison</Company>
  <LinksUpToDate>false</LinksUpToDate>
  <CharactersWithSpaces>76110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Hiram Beltran-Sanchez</dc:creator>
  <cp:lastModifiedBy>José Manuel Aburto</cp:lastModifiedBy>
  <cp:revision>4</cp:revision>
  <dcterms:created xsi:type="dcterms:W3CDTF">2018-04-03T07:09:00Z</dcterms:created>
  <dcterms:modified xsi:type="dcterms:W3CDTF">2018-04-03T12:54:00Z</dcterms:modified>
</cp:coreProperties>
</file>