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Comparison with Grigorev et al 2014, PDR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compare results with changes in Russian and Estonian life expectancy using Horiuchi et al (2008) method.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Grigorev et al classified causes of death in four following ICD-10 (except for Russia!!!):</w:t>
      </w:r>
    </w:p>
    <w:p>
      <w:pPr/>
      <w:r>
        <w:rPr>
          <w:rFonts w:ascii="Helvetica" w:hAnsi="Helvetica" w:cs="Helvetica"/>
          <w:sz w:val="24"/>
          <w:sz-cs w:val="24"/>
        </w:rPr>
        <w:t xml:space="preserve">1) Heart diseases: I00-I159,I20-I259</w:t>
      </w:r>
    </w:p>
    <w:p>
      <w:pPr/>
      <w:r>
        <w:rPr>
          <w:rFonts w:ascii="Helvetica" w:hAnsi="Helvetica" w:cs="Helvetica"/>
          <w:sz w:val="24"/>
          <w:sz-cs w:val="24"/>
        </w:rPr>
        <w:t xml:space="preserve">2) Cerebrovascular diseases: I60-I999, G45-G459</w:t>
      </w:r>
    </w:p>
    <w:p>
      <w:pPr/>
      <w:r>
        <w:rPr>
          <w:rFonts w:ascii="Helvetica" w:hAnsi="Helvetica" w:cs="Helvetica"/>
          <w:sz w:val="24"/>
          <w:sz-cs w:val="24"/>
        </w:rPr>
        <w:t xml:space="preserve">3) Injury and poisoning: V01-Z999</w:t>
      </w:r>
    </w:p>
    <w:p>
      <w:pPr/>
      <w:r>
        <w:rPr>
          <w:rFonts w:ascii="Helvetica" w:hAnsi="Helvetica" w:cs="Helvetica"/>
          <w:sz w:val="24"/>
          <w:sz-cs w:val="24"/>
        </w:rPr>
        <w:t xml:space="preserve">4) Rest of causes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classified following them but using HcO. From the intermediate list, the categories are as follows:</w:t>
      </w:r>
    </w:p>
    <w:p>
      <w:pPr/>
      <w:r>
        <w:rPr>
          <w:rFonts w:ascii="Helvetica" w:hAnsi="Helvetica" w:cs="Helvetica"/>
          <w:sz w:val="24"/>
          <w:sz-cs w:val="24"/>
        </w:rPr>
        <w:t xml:space="preserve">1) 48-58 (this even include more heart diseases)</w:t>
      </w:r>
    </w:p>
    <w:p>
      <w:pPr/>
      <w:r>
        <w:rPr>
          <w:rFonts w:ascii="Helvetica" w:hAnsi="Helvetica" w:cs="Helvetica"/>
          <w:sz w:val="24"/>
          <w:sz-cs w:val="24"/>
        </w:rPr>
        <w:t xml:space="preserve">2) 59-64</w:t>
      </w:r>
    </w:p>
    <w:p>
      <w:pPr/>
      <w:r>
        <w:rPr>
          <w:rFonts w:ascii="Helvetica" w:hAnsi="Helvetica" w:cs="Helvetica"/>
          <w:sz w:val="24"/>
          <w:sz-cs w:val="24"/>
        </w:rPr>
        <w:t xml:space="preserve">3) 93-104 </w:t>
      </w:r>
    </w:p>
    <w:p>
      <w:pPr/>
      <w:r>
        <w:rPr>
          <w:rFonts w:ascii="Helvetica" w:hAnsi="Helvetica" w:cs="Helvetica"/>
          <w:sz w:val="24"/>
          <w:sz-cs w:val="24"/>
        </w:rPr>
        <w:t xml:space="preserve">4) the rest and above age 85.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