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93AF"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 xml:space="preserve">Authors </w:t>
      </w:r>
    </w:p>
    <w:p w14:paraId="2DFA5985" w14:textId="28FAD7C2" w:rsidR="00061BE3" w:rsidRDefault="00061BE3" w:rsidP="00F9352A">
      <w:pPr>
        <w:pStyle w:val="NoSpacing"/>
        <w:rPr>
          <w:rFonts w:ascii="Times New Roman" w:hAnsi="Times New Roman" w:cs="Times New Roman"/>
          <w:sz w:val="25"/>
          <w:szCs w:val="25"/>
        </w:rPr>
      </w:pPr>
      <w:r w:rsidRPr="002C7906">
        <w:rPr>
          <w:rFonts w:ascii="Times New Roman" w:hAnsi="Times New Roman" w:cs="Times New Roman"/>
          <w:sz w:val="25"/>
          <w:szCs w:val="25"/>
        </w:rPr>
        <w:t>José Manuel Aburto</w:t>
      </w:r>
      <w:r w:rsidR="00AE77FC" w:rsidRPr="002C7906">
        <w:rPr>
          <w:rFonts w:ascii="Times New Roman" w:hAnsi="Times New Roman" w:cs="Times New Roman"/>
          <w:sz w:val="25"/>
          <w:szCs w:val="25"/>
        </w:rPr>
        <w:t xml:space="preserve">. </w:t>
      </w:r>
      <w:r w:rsidR="00AE77FC" w:rsidRPr="00AE77FC">
        <w:rPr>
          <w:rFonts w:ascii="Times New Roman" w:hAnsi="Times New Roman" w:cs="Times New Roman"/>
          <w:sz w:val="25"/>
          <w:szCs w:val="25"/>
        </w:rPr>
        <w:t>Newton Inte</w:t>
      </w:r>
      <w:r w:rsidR="00AE77FC">
        <w:rPr>
          <w:rFonts w:ascii="Times New Roman" w:hAnsi="Times New Roman" w:cs="Times New Roman"/>
          <w:sz w:val="25"/>
          <w:szCs w:val="25"/>
        </w:rPr>
        <w:t xml:space="preserve">rnational fellow at the </w:t>
      </w:r>
      <w:r w:rsidR="00AE77FC" w:rsidRPr="004F6DAA">
        <w:rPr>
          <w:rFonts w:ascii="Times New Roman" w:hAnsi="Times New Roman" w:cs="Times New Roman"/>
          <w:sz w:val="25"/>
          <w:szCs w:val="25"/>
        </w:rPr>
        <w:t>Department of Sociology &amp; Leverhulme Centre for Demographic Science, University of Oxford</w:t>
      </w:r>
      <w:r w:rsidR="00AE77FC">
        <w:rPr>
          <w:rFonts w:ascii="Times New Roman" w:hAnsi="Times New Roman" w:cs="Times New Roman"/>
          <w:sz w:val="25"/>
          <w:szCs w:val="25"/>
        </w:rPr>
        <w:t xml:space="preserve">; and Research Associate at </w:t>
      </w:r>
      <w:r w:rsidR="00AE77FC" w:rsidRPr="004F6DAA">
        <w:rPr>
          <w:rFonts w:ascii="Times New Roman" w:hAnsi="Times New Roman" w:cs="Times New Roman"/>
          <w:sz w:val="25"/>
          <w:szCs w:val="25"/>
        </w:rPr>
        <w:t>Interdisciplinary Centre on Population Dynamics, University of Southern Denmark.</w:t>
      </w:r>
    </w:p>
    <w:p w14:paraId="3A33F15D" w14:textId="77777777" w:rsidR="00AE77FC" w:rsidRPr="00AE77FC" w:rsidRDefault="00AE77FC" w:rsidP="00F9352A">
      <w:pPr>
        <w:pStyle w:val="NoSpacing"/>
        <w:rPr>
          <w:rFonts w:ascii="Times New Roman" w:hAnsi="Times New Roman" w:cs="Times New Roman"/>
          <w:sz w:val="25"/>
          <w:szCs w:val="25"/>
        </w:rPr>
      </w:pPr>
    </w:p>
    <w:p w14:paraId="14895861" w14:textId="1593ADBE" w:rsidR="00AE77FC" w:rsidRPr="004F6DAA" w:rsidRDefault="00061BE3" w:rsidP="00AE77FC">
      <w:pPr>
        <w:pStyle w:val="NoSpacing"/>
        <w:rPr>
          <w:rFonts w:ascii="Times New Roman" w:hAnsi="Times New Roman" w:cs="Times New Roman"/>
          <w:sz w:val="25"/>
          <w:szCs w:val="25"/>
          <w:vertAlign w:val="superscript"/>
        </w:rPr>
      </w:pPr>
      <w:r w:rsidRPr="00AE77FC">
        <w:rPr>
          <w:rFonts w:ascii="Times New Roman" w:hAnsi="Times New Roman" w:cs="Times New Roman"/>
          <w:sz w:val="25"/>
          <w:szCs w:val="25"/>
        </w:rPr>
        <w:t>Ginevra Floridi</w:t>
      </w:r>
      <w:r w:rsidR="00AE77FC">
        <w:rPr>
          <w:rFonts w:ascii="Times New Roman" w:hAnsi="Times New Roman" w:cs="Times New Roman"/>
          <w:sz w:val="25"/>
          <w:szCs w:val="25"/>
        </w:rPr>
        <w:t xml:space="preserve">. </w:t>
      </w:r>
      <w:r w:rsidR="002C7906">
        <w:rPr>
          <w:rFonts w:ascii="Times New Roman" w:hAnsi="Times New Roman" w:cs="Times New Roman"/>
          <w:sz w:val="25"/>
          <w:szCs w:val="25"/>
        </w:rPr>
        <w:t xml:space="preserve">Research Associate at the </w:t>
      </w:r>
      <w:r w:rsidR="00AE77FC" w:rsidRPr="004F6DAA">
        <w:rPr>
          <w:rFonts w:ascii="Times New Roman" w:hAnsi="Times New Roman" w:cs="Times New Roman"/>
          <w:sz w:val="25"/>
          <w:szCs w:val="25"/>
        </w:rPr>
        <w:t>Department of Global Health &amp; Social Medicine, King’s College London.</w:t>
      </w:r>
    </w:p>
    <w:p w14:paraId="78491EF3" w14:textId="47D369A9" w:rsidR="00061BE3" w:rsidRPr="00AE77FC" w:rsidRDefault="00061BE3" w:rsidP="00F9352A">
      <w:pPr>
        <w:pStyle w:val="NoSpacing"/>
        <w:rPr>
          <w:rFonts w:ascii="Times New Roman" w:hAnsi="Times New Roman" w:cs="Times New Roman"/>
          <w:sz w:val="25"/>
          <w:szCs w:val="25"/>
        </w:rPr>
      </w:pPr>
    </w:p>
    <w:p w14:paraId="6FA31398" w14:textId="4C51F780"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Ella Fegitz</w:t>
      </w:r>
      <w:r w:rsidR="00AE77FC">
        <w:rPr>
          <w:rFonts w:ascii="Times New Roman" w:hAnsi="Times New Roman" w:cs="Times New Roman"/>
          <w:sz w:val="25"/>
          <w:szCs w:val="25"/>
        </w:rPr>
        <w:t xml:space="preserve">. </w:t>
      </w:r>
      <w:r w:rsidR="00DA1145">
        <w:rPr>
          <w:rFonts w:ascii="Times New Roman" w:hAnsi="Times New Roman" w:cs="Times New Roman"/>
          <w:sz w:val="25"/>
          <w:szCs w:val="25"/>
        </w:rPr>
        <w:t>Postdoctoral Research Fellow at the</w:t>
      </w:r>
      <w:r w:rsidR="00DA1145" w:rsidRPr="00DA1145">
        <w:rPr>
          <w:rFonts w:ascii="Times New Roman" w:hAnsi="Times New Roman" w:cs="Times New Roman"/>
          <w:sz w:val="25"/>
          <w:szCs w:val="25"/>
        </w:rPr>
        <w:t xml:space="preserve"> </w:t>
      </w:r>
      <w:r w:rsidR="00DA1145" w:rsidRPr="004F6DAA">
        <w:rPr>
          <w:rFonts w:ascii="Times New Roman" w:hAnsi="Times New Roman" w:cs="Times New Roman"/>
          <w:sz w:val="25"/>
          <w:szCs w:val="25"/>
        </w:rPr>
        <w:t>Department for the Study of Culture</w:t>
      </w:r>
      <w:r w:rsidR="00DA1145">
        <w:rPr>
          <w:rFonts w:ascii="Times New Roman" w:hAnsi="Times New Roman" w:cs="Times New Roman"/>
          <w:sz w:val="25"/>
          <w:szCs w:val="25"/>
        </w:rPr>
        <w:t xml:space="preserve"> &amp; </w:t>
      </w:r>
      <w:r w:rsidR="00AE77FC" w:rsidRPr="004F6DAA">
        <w:rPr>
          <w:rFonts w:ascii="Times New Roman" w:hAnsi="Times New Roman" w:cs="Times New Roman"/>
          <w:sz w:val="25"/>
          <w:szCs w:val="25"/>
        </w:rPr>
        <w:t>Interdisciplinary Centre on Population Dynamics</w:t>
      </w:r>
      <w:r w:rsidR="00DA1145">
        <w:rPr>
          <w:rFonts w:ascii="Times New Roman" w:hAnsi="Times New Roman" w:cs="Times New Roman"/>
          <w:sz w:val="25"/>
          <w:szCs w:val="25"/>
        </w:rPr>
        <w:t>,</w:t>
      </w:r>
      <w:r w:rsidR="00AE77FC" w:rsidRPr="004F6DAA">
        <w:rPr>
          <w:rFonts w:ascii="Times New Roman" w:hAnsi="Times New Roman" w:cs="Times New Roman"/>
          <w:sz w:val="25"/>
          <w:szCs w:val="25"/>
        </w:rPr>
        <w:t xml:space="preserve"> University of Southern Denmark.</w:t>
      </w:r>
    </w:p>
    <w:p w14:paraId="5E33A5A7" w14:textId="77777777" w:rsidR="00061BE3" w:rsidRPr="004F6DAA" w:rsidRDefault="00061BE3" w:rsidP="00F9352A">
      <w:pPr>
        <w:pStyle w:val="NoSpacing"/>
        <w:rPr>
          <w:rFonts w:ascii="Times New Roman" w:hAnsi="Times New Roman" w:cs="Times New Roman"/>
          <w:sz w:val="25"/>
          <w:szCs w:val="25"/>
        </w:rPr>
      </w:pPr>
      <w:bookmarkStart w:id="0" w:name="_GoBack"/>
      <w:bookmarkEnd w:id="0"/>
    </w:p>
    <w:p w14:paraId="7E66E62F" w14:textId="77777777" w:rsidR="00061BE3" w:rsidRPr="004F6DAA" w:rsidRDefault="00061BE3" w:rsidP="00857708">
      <w:pPr>
        <w:pStyle w:val="NoSpacing"/>
        <w:rPr>
          <w:rFonts w:ascii="Times New Roman" w:hAnsi="Times New Roman" w:cs="Times New Roman"/>
          <w:b/>
          <w:sz w:val="25"/>
          <w:szCs w:val="25"/>
        </w:rPr>
      </w:pPr>
      <w:r w:rsidRPr="004F6DAA">
        <w:rPr>
          <w:rFonts w:ascii="Times New Roman" w:hAnsi="Times New Roman" w:cs="Times New Roman"/>
          <w:b/>
          <w:sz w:val="25"/>
          <w:szCs w:val="25"/>
        </w:rPr>
        <w:t>Title: Implications of the (changing) relationship between life expectancy and lifespan inequality</w:t>
      </w:r>
    </w:p>
    <w:p w14:paraId="4C999634" w14:textId="77777777" w:rsidR="00061BE3" w:rsidRPr="004F6DAA" w:rsidRDefault="00061BE3" w:rsidP="00857708">
      <w:pPr>
        <w:pStyle w:val="NoSpacing"/>
        <w:rPr>
          <w:rFonts w:ascii="Times New Roman" w:hAnsi="Times New Roman" w:cs="Times New Roman"/>
          <w:b/>
          <w:sz w:val="25"/>
          <w:szCs w:val="25"/>
        </w:rPr>
      </w:pPr>
    </w:p>
    <w:p w14:paraId="3B242FEB" w14:textId="2C23DD4C"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b/>
          <w:bCs/>
          <w:sz w:val="25"/>
          <w:szCs w:val="25"/>
        </w:rPr>
        <w:t>Synopsys:</w:t>
      </w:r>
      <w:r w:rsidRPr="004F6DAA">
        <w:rPr>
          <w:rFonts w:ascii="Times New Roman" w:hAnsi="Times New Roman" w:cs="Times New Roman"/>
          <w:sz w:val="25"/>
          <w:szCs w:val="25"/>
        </w:rPr>
        <w:t xml:space="preserve"> Life expectancy at birth is widely employed to measure longevity, but it fails to account for inequality in </w:t>
      </w:r>
      <w:r w:rsidR="00504AF2">
        <w:rPr>
          <w:rFonts w:ascii="Times New Roman" w:hAnsi="Times New Roman" w:cs="Times New Roman"/>
          <w:sz w:val="25"/>
          <w:szCs w:val="25"/>
        </w:rPr>
        <w:t xml:space="preserve">the </w:t>
      </w:r>
      <w:r w:rsidRPr="004F6DAA">
        <w:rPr>
          <w:rFonts w:ascii="Times New Roman" w:hAnsi="Times New Roman" w:cs="Times New Roman"/>
          <w:sz w:val="25"/>
          <w:szCs w:val="25"/>
        </w:rPr>
        <w:t xml:space="preserve">length of life. New </w:t>
      </w:r>
      <w:hyperlink r:id="rId7" w:history="1">
        <w:r w:rsidRPr="004F6DAA">
          <w:rPr>
            <w:rStyle w:val="Hyperlink"/>
            <w:rFonts w:ascii="Times New Roman" w:hAnsi="Times New Roman" w:cs="Times New Roman"/>
            <w:sz w:val="25"/>
            <w:szCs w:val="25"/>
          </w:rPr>
          <w:t>research</w:t>
        </w:r>
      </w:hyperlink>
      <w:r w:rsidRPr="004F6DAA">
        <w:rPr>
          <w:rFonts w:ascii="Times New Roman" w:hAnsi="Times New Roman" w:cs="Times New Roman"/>
          <w:sz w:val="25"/>
          <w:szCs w:val="25"/>
        </w:rPr>
        <w:t xml:space="preserve"> in the field of demography highlights the importance of employing both life expectancy and lifespan inequality in health research and policy concerning longevity.</w:t>
      </w:r>
    </w:p>
    <w:p w14:paraId="764F1AD7" w14:textId="77777777" w:rsidR="00061BE3" w:rsidRPr="004F6DAA" w:rsidRDefault="00061BE3" w:rsidP="00F9352A">
      <w:pPr>
        <w:pStyle w:val="NoSpacing"/>
        <w:rPr>
          <w:rFonts w:ascii="Times New Roman" w:hAnsi="Times New Roman" w:cs="Times New Roman"/>
          <w:sz w:val="25"/>
          <w:szCs w:val="25"/>
        </w:rPr>
      </w:pPr>
    </w:p>
    <w:p w14:paraId="53C5AD74"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Main text</w:t>
      </w:r>
    </w:p>
    <w:p w14:paraId="619C2503" w14:textId="77777777" w:rsidR="00061BE3" w:rsidRPr="004F6DAA" w:rsidRDefault="00061BE3" w:rsidP="00F9352A">
      <w:pPr>
        <w:pStyle w:val="NoSpacing"/>
        <w:rPr>
          <w:rFonts w:ascii="Times New Roman" w:hAnsi="Times New Roman" w:cs="Times New Roman"/>
          <w:sz w:val="25"/>
          <w:szCs w:val="25"/>
        </w:rPr>
      </w:pPr>
    </w:p>
    <w:p w14:paraId="3E44D72E" w14:textId="763B357F" w:rsidR="00061BE3" w:rsidRPr="004F6DAA" w:rsidRDefault="00061BE3" w:rsidP="007A395F">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Improvements in life expectancy at birth have been a fundamental goal of every country, and the past century has witnessed exceptional progress in reducing mortality </w:t>
      </w:r>
      <w:r w:rsidRPr="004F6DAA">
        <w:rPr>
          <w:rFonts w:ascii="Times New Roman" w:hAnsi="Times New Roman" w:cs="Times New Roman"/>
          <w:noProof/>
          <w:sz w:val="25"/>
          <w:szCs w:val="25"/>
        </w:rPr>
        <w:t>(Riley, 2001)</w:t>
      </w:r>
      <w:r w:rsidRPr="004F6DAA">
        <w:rPr>
          <w:rFonts w:ascii="Times New Roman" w:hAnsi="Times New Roman" w:cs="Times New Roman"/>
          <w:sz w:val="25"/>
          <w:szCs w:val="25"/>
        </w:rPr>
        <w:t>. However, this widely employed metric is unable to reveal the distribution of these improvements. Thus, a crucial question with social and public health implications for demographers and policy makers is</w:t>
      </w:r>
      <w:r w:rsidRPr="004F6DAA">
        <w:rPr>
          <w:rFonts w:ascii="Times New Roman" w:hAnsi="Times New Roman" w:cs="Times New Roman"/>
          <w:color w:val="FF0000"/>
          <w:sz w:val="25"/>
          <w:szCs w:val="25"/>
        </w:rPr>
        <w:t xml:space="preserve"> </w:t>
      </w:r>
      <w:r w:rsidRPr="004F6DAA">
        <w:rPr>
          <w:rFonts w:ascii="Times New Roman" w:hAnsi="Times New Roman" w:cs="Times New Roman"/>
          <w:color w:val="000000" w:themeColor="text1"/>
          <w:sz w:val="25"/>
          <w:szCs w:val="25"/>
        </w:rPr>
        <w:t>w</w:t>
      </w:r>
      <w:r w:rsidR="00504AF2">
        <w:rPr>
          <w:rFonts w:ascii="Times New Roman" w:hAnsi="Times New Roman" w:cs="Times New Roman"/>
          <w:color w:val="000000" w:themeColor="text1"/>
          <w:sz w:val="25"/>
          <w:szCs w:val="25"/>
        </w:rPr>
        <w:t>he</w:t>
      </w:r>
      <w:r w:rsidRPr="004F6DAA">
        <w:rPr>
          <w:rFonts w:ascii="Times New Roman" w:hAnsi="Times New Roman" w:cs="Times New Roman"/>
          <w:color w:val="000000" w:themeColor="text1"/>
          <w:sz w:val="25"/>
          <w:szCs w:val="25"/>
        </w:rPr>
        <w:t>ther these improvements are equally shared among individuals. The concept of lifespan inequality can shed light on this variation and on how it may contribute to existing socio-economic inequalities.</w:t>
      </w:r>
    </w:p>
    <w:p w14:paraId="43265F3A" w14:textId="77777777" w:rsidR="0074638C" w:rsidRDefault="0074638C" w:rsidP="006F3301">
      <w:pPr>
        <w:pStyle w:val="NoSpacing"/>
        <w:rPr>
          <w:rFonts w:ascii="Times New Roman" w:hAnsi="Times New Roman" w:cs="Times New Roman"/>
          <w:sz w:val="25"/>
          <w:szCs w:val="25"/>
        </w:rPr>
      </w:pPr>
    </w:p>
    <w:p w14:paraId="7F49C7E4" w14:textId="640F6650" w:rsidR="00061BE3" w:rsidRPr="00030C2D" w:rsidRDefault="0074638C" w:rsidP="006F3301">
      <w:pPr>
        <w:pStyle w:val="NoSpacing"/>
        <w:rPr>
          <w:rFonts w:ascii="Times New Roman" w:hAnsi="Times New Roman" w:cs="Times New Roman"/>
          <w:b/>
          <w:color w:val="FF0000"/>
          <w:sz w:val="25"/>
          <w:szCs w:val="25"/>
        </w:rPr>
      </w:pPr>
      <w:r>
        <w:rPr>
          <w:rFonts w:ascii="Times New Roman" w:hAnsi="Times New Roman" w:cs="Times New Roman"/>
          <w:b/>
          <w:sz w:val="25"/>
          <w:szCs w:val="25"/>
        </w:rPr>
        <w:t>How does l</w:t>
      </w:r>
      <w:r w:rsidR="00061BE3" w:rsidRPr="004F6DAA">
        <w:rPr>
          <w:rFonts w:ascii="Times New Roman" w:hAnsi="Times New Roman" w:cs="Times New Roman"/>
          <w:b/>
          <w:sz w:val="25"/>
          <w:szCs w:val="25"/>
        </w:rPr>
        <w:t xml:space="preserve">ife expectancy </w:t>
      </w:r>
      <w:r>
        <w:rPr>
          <w:rFonts w:ascii="Times New Roman" w:hAnsi="Times New Roman" w:cs="Times New Roman"/>
          <w:b/>
          <w:sz w:val="25"/>
          <w:szCs w:val="25"/>
        </w:rPr>
        <w:t>relate with</w:t>
      </w:r>
      <w:r w:rsidR="00061BE3" w:rsidRPr="004F6DAA">
        <w:rPr>
          <w:rFonts w:ascii="Times New Roman" w:hAnsi="Times New Roman" w:cs="Times New Roman"/>
          <w:b/>
          <w:sz w:val="25"/>
          <w:szCs w:val="25"/>
        </w:rPr>
        <w:t xml:space="preserve"> lifespan inequality</w:t>
      </w:r>
      <w:r>
        <w:rPr>
          <w:rFonts w:ascii="Times New Roman" w:hAnsi="Times New Roman" w:cs="Times New Roman"/>
          <w:b/>
          <w:sz w:val="25"/>
          <w:szCs w:val="25"/>
        </w:rPr>
        <w:t>?</w:t>
      </w:r>
    </w:p>
    <w:p w14:paraId="4C8675BB" w14:textId="77777777" w:rsidR="00061BE3" w:rsidRPr="004F6DAA" w:rsidRDefault="00061BE3" w:rsidP="00F9352A">
      <w:pPr>
        <w:pStyle w:val="NoSpacing"/>
        <w:rPr>
          <w:rFonts w:ascii="Times New Roman" w:hAnsi="Times New Roman" w:cs="Times New Roman"/>
          <w:sz w:val="25"/>
          <w:szCs w:val="25"/>
        </w:rPr>
      </w:pPr>
    </w:p>
    <w:p w14:paraId="5D5F632B"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Life expectancy is a measure of the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Differences in lifespans are usually captured by a metric of variation or inequality in ages at death, and they are usually referred to by demographers as </w:t>
      </w:r>
      <w:r w:rsidRPr="004F6DAA">
        <w:rPr>
          <w:rFonts w:ascii="Times New Roman" w:hAnsi="Times New Roman" w:cs="Times New Roman"/>
          <w:i/>
          <w:iCs/>
          <w:sz w:val="25"/>
          <w:szCs w:val="25"/>
        </w:rPr>
        <w:t>lifespan inequality.</w:t>
      </w:r>
      <w:r w:rsidRPr="004F6DAA">
        <w:rPr>
          <w:rFonts w:ascii="Times New Roman" w:hAnsi="Times New Roman" w:cs="Times New Roman"/>
          <w:sz w:val="25"/>
          <w:szCs w:val="25"/>
        </w:rPr>
        <w:t xml:space="preserve"> </w:t>
      </w:r>
    </w:p>
    <w:p w14:paraId="2F6C5977" w14:textId="77777777" w:rsidR="00061BE3" w:rsidRPr="004F6DAA" w:rsidRDefault="00061BE3" w:rsidP="00F9352A">
      <w:pPr>
        <w:pStyle w:val="NoSpacing"/>
        <w:rPr>
          <w:rFonts w:ascii="Times New Roman" w:hAnsi="Times New Roman" w:cs="Times New Roman"/>
          <w:sz w:val="25"/>
          <w:szCs w:val="25"/>
        </w:rPr>
      </w:pPr>
    </w:p>
    <w:p w14:paraId="6AB0F2D5" w14:textId="76ED7F8D"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Lifespan inequality at the individual level tells us how unpredictable the timing of death is. In other words, how long a newborn in contemporary Venezuela - currently an exceptionally violent country undergoing a humanitarian crisis</w:t>
      </w:r>
      <w:r w:rsidR="00504AF2">
        <w:rPr>
          <w:rFonts w:ascii="Times New Roman" w:hAnsi="Times New Roman" w:cs="Times New Roman"/>
          <w:sz w:val="25"/>
          <w:szCs w:val="25"/>
        </w:rPr>
        <w:t xml:space="preserve"> </w:t>
      </w:r>
      <w:r w:rsidRPr="004F6DAA">
        <w:rPr>
          <w:rFonts w:ascii="Times New Roman" w:hAnsi="Times New Roman" w:cs="Times New Roman"/>
          <w:sz w:val="25"/>
          <w:szCs w:val="25"/>
        </w:rPr>
        <w:t xml:space="preserve">- will live is considerably more difficult to predict than it is for a baby born in contemporary Sweden, because lifespan inequality in Venezuela is much higher than it is in Sweden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 xml:space="preserve">. At the societal level, lifespan inequality indicates how improvements in longevity are unevenly shared, and it has been described as the most fundamental of all inequalities </w:t>
      </w:r>
      <w:r w:rsidRPr="004F6DAA">
        <w:rPr>
          <w:rFonts w:ascii="Times New Roman" w:hAnsi="Times New Roman" w:cs="Times New Roman"/>
          <w:noProof/>
          <w:sz w:val="25"/>
          <w:szCs w:val="25"/>
        </w:rPr>
        <w:t>(van Raalte, Sasson, &amp; Martikainen, 2018)</w:t>
      </w:r>
      <w:r w:rsidRPr="004F6DAA">
        <w:rPr>
          <w:rFonts w:ascii="Times New Roman" w:hAnsi="Times New Roman" w:cs="Times New Roman"/>
          <w:sz w:val="25"/>
          <w:szCs w:val="25"/>
        </w:rPr>
        <w:t xml:space="preserve">. This is of utmost importance because resources to improve health in a country are </w:t>
      </w:r>
      <w:r w:rsidRPr="004F6DAA">
        <w:rPr>
          <w:rFonts w:ascii="Times New Roman" w:hAnsi="Times New Roman" w:cs="Times New Roman"/>
          <w:sz w:val="25"/>
          <w:szCs w:val="25"/>
        </w:rPr>
        <w:lastRenderedPageBreak/>
        <w:t xml:space="preserve">limited, and their allocation becomes more difficult as deaths are more spread over different ages. </w:t>
      </w:r>
      <w:r w:rsidRPr="004F6DAA">
        <w:rPr>
          <w:rFonts w:ascii="Times New Roman" w:hAnsi="Times New Roman" w:cs="Times New Roman"/>
          <w:color w:val="000000" w:themeColor="text1"/>
          <w:sz w:val="25"/>
          <w:szCs w:val="25"/>
        </w:rPr>
        <w:t xml:space="preserve">A recent </w:t>
      </w:r>
      <w:hyperlink r:id="rId8" w:history="1">
        <w:r w:rsidRPr="004F6DAA">
          <w:rPr>
            <w:rStyle w:val="Hyperlink"/>
            <w:rFonts w:ascii="Times New Roman" w:hAnsi="Times New Roman" w:cs="Times New Roman"/>
            <w:sz w:val="25"/>
            <w:szCs w:val="25"/>
          </w:rPr>
          <w:t>article</w:t>
        </w:r>
      </w:hyperlink>
      <w:r w:rsidRPr="004F6DAA">
        <w:rPr>
          <w:rFonts w:ascii="Times New Roman" w:hAnsi="Times New Roman" w:cs="Times New Roman"/>
          <w:color w:val="000000" w:themeColor="text1"/>
          <w:sz w:val="25"/>
          <w:szCs w:val="25"/>
        </w:rPr>
        <w:t xml:space="preserve"> shows that changes in both life expectancy and lifespan inequality can be expressed as rates of progress in saving lives, i.e. rates in reducing mortality </w:t>
      </w:r>
      <w:r w:rsidRPr="004F6DAA">
        <w:rPr>
          <w:rFonts w:ascii="Times New Roman" w:hAnsi="Times New Roman" w:cs="Times New Roman"/>
          <w:noProof/>
          <w:color w:val="000000" w:themeColor="text1"/>
          <w:sz w:val="25"/>
          <w:szCs w:val="25"/>
        </w:rPr>
        <w:t>(Aburto, Villavicencio, Basellini, Kjærgaard, &amp; Vaupel, 2020)</w:t>
      </w:r>
      <w:r w:rsidRPr="004F6DAA">
        <w:rPr>
          <w:rFonts w:ascii="Times New Roman" w:hAnsi="Times New Roman" w:cs="Times New Roman"/>
          <w:color w:val="000000" w:themeColor="text1"/>
          <w:sz w:val="25"/>
          <w:szCs w:val="25"/>
        </w:rPr>
        <w:t>. How strong the relationship between increasing life expectancy and decreasing lifespan inequality is depends on where the progress is placed. The more lives saved at the youngest ages, the stronger the relationship is, especially when life expectancy is less than 70 years.</w:t>
      </w:r>
    </w:p>
    <w:p w14:paraId="2160D5F5" w14:textId="77777777" w:rsidR="00061BE3" w:rsidRPr="004F6DAA" w:rsidRDefault="00061BE3" w:rsidP="00F9352A">
      <w:pPr>
        <w:pStyle w:val="NoSpacing"/>
        <w:rPr>
          <w:rFonts w:ascii="Times New Roman" w:hAnsi="Times New Roman" w:cs="Times New Roman"/>
          <w:sz w:val="25"/>
          <w:szCs w:val="25"/>
        </w:rPr>
      </w:pPr>
    </w:p>
    <w:p w14:paraId="1AFCE628" w14:textId="1B9AE00B"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For most countries, lifespan inequality has decreased as life expectancy at birth increased. This dual advance is a major achievement in modern societies in giving better chances of survival to a larger number of people and has triggered scientific interest among demographers. Numerous studies have identified how higher levels of life expectancy usually correspond to lower levels of lifespan inequality (e.g. </w:t>
      </w:r>
      <w:r w:rsidRPr="004F6DAA">
        <w:rPr>
          <w:rFonts w:ascii="Times New Roman" w:hAnsi="Times New Roman" w:cs="Times New Roman"/>
          <w:noProof/>
          <w:sz w:val="25"/>
          <w:szCs w:val="25"/>
        </w:rPr>
        <w:t>Smits and Monden (2009)</w:t>
      </w:r>
      <w:r w:rsidRPr="004F6DAA">
        <w:rPr>
          <w:rFonts w:ascii="Times New Roman" w:hAnsi="Times New Roman" w:cs="Times New Roman"/>
          <w:sz w:val="25"/>
          <w:szCs w:val="25"/>
        </w:rPr>
        <w:t xml:space="preserve">, </w:t>
      </w:r>
      <w:r w:rsidRPr="004F6DAA">
        <w:rPr>
          <w:rFonts w:ascii="Times New Roman" w:hAnsi="Times New Roman" w:cs="Times New Roman"/>
          <w:noProof/>
          <w:sz w:val="25"/>
          <w:szCs w:val="25"/>
        </w:rPr>
        <w:t>Colchero et al. (2016)</w:t>
      </w:r>
      <w:r w:rsidRPr="004F6DAA">
        <w:rPr>
          <w:rFonts w:ascii="Times New Roman" w:hAnsi="Times New Roman" w:cs="Times New Roman"/>
          <w:sz w:val="25"/>
          <w:szCs w:val="25"/>
        </w:rPr>
        <w:t xml:space="preserve">). Demographers, however, have begun to pay more attention </w:t>
      </w:r>
      <w:r w:rsidR="00504AF2">
        <w:rPr>
          <w:rFonts w:ascii="Times New Roman" w:hAnsi="Times New Roman" w:cs="Times New Roman"/>
          <w:sz w:val="25"/>
          <w:szCs w:val="25"/>
        </w:rPr>
        <w:t>to</w:t>
      </w:r>
      <w:r w:rsidR="00504AF2" w:rsidRPr="004F6DAA">
        <w:rPr>
          <w:rFonts w:ascii="Times New Roman" w:hAnsi="Times New Roman" w:cs="Times New Roman"/>
          <w:sz w:val="25"/>
          <w:szCs w:val="25"/>
        </w:rPr>
        <w:t xml:space="preserve"> </w:t>
      </w:r>
      <w:r w:rsidRPr="004F6DAA">
        <w:rPr>
          <w:rFonts w:ascii="Times New Roman" w:hAnsi="Times New Roman" w:cs="Times New Roman"/>
          <w:sz w:val="25"/>
          <w:szCs w:val="25"/>
        </w:rPr>
        <w:t xml:space="preserve">how this relation changes over time and </w:t>
      </w:r>
      <w:r w:rsidR="00504AF2">
        <w:rPr>
          <w:rFonts w:ascii="Times New Roman" w:hAnsi="Times New Roman" w:cs="Times New Roman"/>
          <w:sz w:val="25"/>
          <w:szCs w:val="25"/>
        </w:rPr>
        <w:t xml:space="preserve">to the </w:t>
      </w:r>
      <w:r w:rsidRPr="004F6DAA">
        <w:rPr>
          <w:rFonts w:ascii="Times New Roman" w:hAnsi="Times New Roman" w:cs="Times New Roman"/>
          <w:sz w:val="25"/>
          <w:szCs w:val="25"/>
        </w:rPr>
        <w:t xml:space="preserve">determinants and effects of these changes. </w:t>
      </w:r>
    </w:p>
    <w:p w14:paraId="73165150" w14:textId="77777777" w:rsidR="00061BE3" w:rsidRPr="004F6DAA" w:rsidRDefault="00061BE3" w:rsidP="00F9352A">
      <w:pPr>
        <w:pStyle w:val="NoSpacing"/>
        <w:rPr>
          <w:rFonts w:ascii="Times New Roman" w:hAnsi="Times New Roman" w:cs="Times New Roman"/>
          <w:sz w:val="25"/>
          <w:szCs w:val="25"/>
        </w:rPr>
      </w:pPr>
    </w:p>
    <w:p w14:paraId="3A3A6086" w14:textId="29B92253" w:rsidR="00061BE3" w:rsidRDefault="00061BE3" w:rsidP="00600E58">
      <w:pPr>
        <w:pStyle w:val="NoSpacing"/>
        <w:rPr>
          <w:rFonts w:ascii="Times New Roman" w:hAnsi="Times New Roman" w:cs="Times New Roman"/>
          <w:b/>
          <w:color w:val="FF0000"/>
          <w:sz w:val="25"/>
          <w:szCs w:val="25"/>
        </w:rPr>
      </w:pPr>
      <w:r w:rsidRPr="004F6DAA">
        <w:rPr>
          <w:rFonts w:ascii="Times New Roman" w:hAnsi="Times New Roman" w:cs="Times New Roman"/>
          <w:b/>
          <w:sz w:val="25"/>
          <w:szCs w:val="25"/>
        </w:rPr>
        <w:t>Societal implications of increased lifespan inequality</w:t>
      </w:r>
    </w:p>
    <w:p w14:paraId="6C95D543" w14:textId="3DD50486" w:rsidR="00061BE3" w:rsidRPr="004F6DAA" w:rsidRDefault="00061BE3" w:rsidP="00F9352A">
      <w:pPr>
        <w:pStyle w:val="NoSpacing"/>
        <w:rPr>
          <w:rFonts w:ascii="Times New Roman" w:hAnsi="Times New Roman" w:cs="Times New Roman"/>
          <w:sz w:val="25"/>
          <w:szCs w:val="25"/>
        </w:rPr>
      </w:pPr>
    </w:p>
    <w:p w14:paraId="4B234A59" w14:textId="77777777" w:rsidR="00061BE3" w:rsidRPr="004F6DAA" w:rsidRDefault="00061BE3" w:rsidP="002C0922">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If both long lives and equal lifespans matter, we can think of the best possible scenario as one where people not only live longer, but also face progressively less uncertainty around when they will die. However, this has not always been the case as – in certain countries, during specific periods - lifespan inequality has been shown to stall or even increase despite improvements in life expectancy. Central and Eastern European countries, for example, experienced increased lifespan inequality in periods when life expectancy at birth was stagnating or slowly increasing, largely due to the combination of improvements in mortality at very young ages and deterioration in mortality at older ages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xml:space="preserve">. Similarly, among males in Venezuela, life expectancy increased together with lifespan inequality as a </w:t>
      </w:r>
      <w:proofErr w:type="gramStart"/>
      <w:r w:rsidRPr="004F6DAA">
        <w:rPr>
          <w:rFonts w:ascii="Times New Roman" w:hAnsi="Times New Roman" w:cs="Times New Roman"/>
          <w:sz w:val="25"/>
          <w:szCs w:val="25"/>
        </w:rPr>
        <w:t>results of continued improvements</w:t>
      </w:r>
      <w:proofErr w:type="gramEnd"/>
      <w:r w:rsidRPr="004F6DAA">
        <w:rPr>
          <w:rFonts w:ascii="Times New Roman" w:hAnsi="Times New Roman" w:cs="Times New Roman"/>
          <w:sz w:val="25"/>
          <w:szCs w:val="25"/>
        </w:rPr>
        <w:t xml:space="preserve"> in infant mortality and the unprecedented rise in mortality from violent causes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w:t>
      </w:r>
    </w:p>
    <w:p w14:paraId="23E81E76" w14:textId="77777777" w:rsidR="00061BE3" w:rsidRPr="004F6DAA" w:rsidRDefault="00061BE3" w:rsidP="002C0922">
      <w:pPr>
        <w:pStyle w:val="NoSpacing"/>
        <w:rPr>
          <w:rFonts w:ascii="Times New Roman" w:hAnsi="Times New Roman" w:cs="Times New Roman"/>
          <w:sz w:val="25"/>
          <w:szCs w:val="25"/>
        </w:rPr>
      </w:pPr>
    </w:p>
    <w:p w14:paraId="6C65237D" w14:textId="7FC2E056" w:rsidR="00061BE3" w:rsidRPr="004F6DAA" w:rsidRDefault="00061BE3" w:rsidP="002C0922">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The weakening or reversal of the negative relationship between lifespan inequality and life expectancy means that, while people live longer on average, individuals also face greater uncertainty around when they will die. Differences in lifespan inequality are critical because, in making important life decisions, people are influenced by the mortality experience of those around them. Higher uncertainty around one’s expected lifespan will affect decisions such as whether and when to invest in education, migrate, buy a house, or retire. Studies have shown that, within a society, such increased uncertainty is likely to be concentrated among those from disadvantaged socio-economic groups, and among older people when looking at their remaining lifespan </w:t>
      </w:r>
      <w:r w:rsidRPr="004F6DAA">
        <w:rPr>
          <w:rFonts w:ascii="Times New Roman" w:hAnsi="Times New Roman" w:cs="Times New Roman"/>
          <w:noProof/>
          <w:sz w:val="25"/>
          <w:szCs w:val="25"/>
        </w:rPr>
        <w:t>(van Raalte et al., 2018)</w:t>
      </w:r>
      <w:r w:rsidRPr="004F6DAA">
        <w:rPr>
          <w:rFonts w:ascii="Times New Roman" w:hAnsi="Times New Roman" w:cs="Times New Roman"/>
          <w:sz w:val="25"/>
          <w:szCs w:val="25"/>
        </w:rPr>
        <w:t xml:space="preserve">. This 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w:t>
      </w:r>
      <w:r w:rsidRPr="004F6DAA">
        <w:rPr>
          <w:rFonts w:ascii="Times New Roman" w:hAnsi="Times New Roman" w:cs="Times New Roman"/>
          <w:sz w:val="25"/>
          <w:szCs w:val="25"/>
        </w:rPr>
        <w:lastRenderedPageBreak/>
        <w:t>importance of these transfers for the recipients’ socio-economic conditions, higher lifespan inequality may strengthen the transmission of disadvantage across generations, reducing intergenerational social mobility.</w:t>
      </w:r>
    </w:p>
    <w:p w14:paraId="7F0F57B6" w14:textId="77777777" w:rsidR="00061BE3" w:rsidRPr="004F6DAA" w:rsidRDefault="00061BE3" w:rsidP="002C0922">
      <w:pPr>
        <w:pStyle w:val="NoSpacing"/>
        <w:rPr>
          <w:rFonts w:ascii="Times New Roman" w:hAnsi="Times New Roman" w:cs="Times New Roman"/>
          <w:sz w:val="25"/>
          <w:szCs w:val="25"/>
        </w:rPr>
      </w:pPr>
    </w:p>
    <w:p w14:paraId="0AA4D123" w14:textId="77777777" w:rsidR="00061BE3" w:rsidRPr="004F6DAA" w:rsidRDefault="00061BE3" w:rsidP="002C0922">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The significance of including lifespan inequality in policy and research</w:t>
      </w:r>
    </w:p>
    <w:p w14:paraId="6FF7F478" w14:textId="77777777" w:rsidR="00061BE3" w:rsidRPr="004F6DAA" w:rsidRDefault="00061BE3" w:rsidP="002C0922">
      <w:pPr>
        <w:pStyle w:val="NoSpacing"/>
        <w:rPr>
          <w:rFonts w:ascii="Times New Roman" w:hAnsi="Times New Roman" w:cs="Times New Roman"/>
          <w:b/>
          <w:bCs/>
          <w:sz w:val="25"/>
          <w:szCs w:val="25"/>
        </w:rPr>
      </w:pPr>
    </w:p>
    <w:p w14:paraId="166A87BF" w14:textId="1F91CB4F"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As recently shown, while the relationship between life expectancy and lifespan inequality is generally negative across time and space, lifespans do not necessarily become more equal whenever life expectancy increases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In fact, the relationship depends on the ages at which mortality is reduced. This tells us that increasing the average age at death alone is not enough for guaranteeing a more equitable distribution of the length of life. An important message of this research is that policies and interventions can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future research linking demographic phenomena to the broader societal context in which they take place, with important implications for social policy.</w:t>
      </w:r>
    </w:p>
    <w:p w14:paraId="167498E3" w14:textId="77777777" w:rsidR="00061BE3" w:rsidRPr="004F6DAA" w:rsidRDefault="00061BE3" w:rsidP="00F9352A">
      <w:pPr>
        <w:pStyle w:val="NoSpacing"/>
        <w:rPr>
          <w:rFonts w:ascii="Times New Roman" w:hAnsi="Times New Roman" w:cs="Times New Roman"/>
          <w:i/>
          <w:iCs/>
          <w:sz w:val="25"/>
          <w:szCs w:val="25"/>
        </w:rPr>
      </w:pPr>
    </w:p>
    <w:p w14:paraId="04BF21D0" w14:textId="77777777" w:rsidR="00AD666E" w:rsidRPr="00AD666E" w:rsidRDefault="00061BE3" w:rsidP="00AD666E">
      <w:pPr>
        <w:rPr>
          <w:rFonts w:ascii="Calibri" w:hAnsi="Calibri" w:cs="Calibri"/>
          <w:noProof/>
          <w:lang w:val="es-MX"/>
        </w:rPr>
      </w:pPr>
      <w:proofErr w:type="spellStart"/>
      <w:r w:rsidRPr="004F6DAA">
        <w:rPr>
          <w:rFonts w:ascii="Times New Roman" w:hAnsi="Times New Roman" w:cs="Times New Roman"/>
          <w:b/>
          <w:bCs/>
          <w:sz w:val="25"/>
          <w:szCs w:val="25"/>
          <w:lang w:val="es-MX"/>
        </w:rPr>
        <w:t>References</w:t>
      </w:r>
      <w:proofErr w:type="spellEnd"/>
    </w:p>
    <w:p w14:paraId="0A166B35" w14:textId="5174C19F" w:rsidR="00061BE3" w:rsidRPr="00AD666E" w:rsidRDefault="00DA1145" w:rsidP="00AD666E">
      <w:pPr>
        <w:pStyle w:val="EndNoteBibliography"/>
        <w:spacing w:after="0"/>
        <w:ind w:left="720" w:hanging="720"/>
        <w:rPr>
          <w:rFonts w:ascii="Times New Roman" w:hAnsi="Times New Roman" w:cs="Times New Roman"/>
          <w:sz w:val="25"/>
          <w:szCs w:val="25"/>
        </w:rPr>
      </w:pPr>
      <w:hyperlink r:id="rId9" w:history="1">
        <w:r w:rsidR="00AD666E">
          <w:rPr>
            <w:rStyle w:val="Hyperlink"/>
            <w:rFonts w:ascii="Times New Roman" w:hAnsi="Times New Roman" w:cs="Times New Roman"/>
            <w:sz w:val="25"/>
            <w:szCs w:val="25"/>
            <w:lang w:val="es-MX"/>
          </w:rPr>
          <w:t xml:space="preserve">Aburto, J. M., Villavicencio, F., Basellini, U., Kjærgaard, S., &amp; Vaupel, J. W. (2020). </w:t>
        </w:r>
        <w:r w:rsidR="00AD666E">
          <w:rPr>
            <w:rStyle w:val="Hyperlink"/>
            <w:rFonts w:ascii="Times New Roman" w:hAnsi="Times New Roman" w:cs="Times New Roman"/>
            <w:sz w:val="25"/>
            <w:szCs w:val="25"/>
          </w:rPr>
          <w:t xml:space="preserve">Dynamics of life expectancy and life span equality. </w:t>
        </w:r>
        <w:r w:rsidR="00AD666E">
          <w:rPr>
            <w:rStyle w:val="Hyperlink"/>
            <w:rFonts w:ascii="Times New Roman" w:hAnsi="Times New Roman" w:cs="Times New Roman"/>
            <w:i/>
            <w:sz w:val="25"/>
            <w:szCs w:val="25"/>
          </w:rPr>
          <w:t>Proceedings of the National Academy of Sciences</w:t>
        </w:r>
        <w:r w:rsidR="00AD666E">
          <w:rPr>
            <w:rStyle w:val="Hyperlink"/>
            <w:rFonts w:ascii="Times New Roman" w:hAnsi="Times New Roman" w:cs="Times New Roman"/>
            <w:sz w:val="25"/>
            <w:szCs w:val="25"/>
          </w:rPr>
          <w:t>.</w:t>
        </w:r>
      </w:hyperlink>
      <w:r w:rsidR="00AD666E">
        <w:rPr>
          <w:rFonts w:ascii="Times New Roman" w:hAnsi="Times New Roman" w:cs="Times New Roman"/>
          <w:sz w:val="25"/>
          <w:szCs w:val="25"/>
        </w:rPr>
        <w:t xml:space="preserve"> </w:t>
      </w:r>
      <w:r w:rsidR="00061BE3" w:rsidRPr="00AD666E">
        <w:rPr>
          <w:rFonts w:ascii="Times New Roman" w:hAnsi="Times New Roman" w:cs="Times New Roman"/>
          <w:sz w:val="25"/>
          <w:szCs w:val="25"/>
        </w:rPr>
        <w:t xml:space="preserve"> </w:t>
      </w:r>
    </w:p>
    <w:p w14:paraId="191B7EA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74638C">
        <w:rPr>
          <w:rFonts w:ascii="Times New Roman" w:hAnsi="Times New Roman" w:cs="Times New Roman"/>
          <w:sz w:val="25"/>
          <w:szCs w:val="25"/>
          <w:lang w:val="es-MX"/>
        </w:rPr>
        <w:t xml:space="preserve">Colchero, F., Rau, R., Jones, O. R., Barthold, J. A., Conde, D. A., Lenart, A., . . . </w:t>
      </w:r>
      <w:r w:rsidRPr="004F6DAA">
        <w:rPr>
          <w:rFonts w:ascii="Times New Roman" w:hAnsi="Times New Roman" w:cs="Times New Roman"/>
          <w:sz w:val="25"/>
          <w:szCs w:val="25"/>
        </w:rPr>
        <w:t xml:space="preserve">Vaupel, J. W. (2016). The emergence of longevous populations. </w:t>
      </w:r>
      <w:r w:rsidRPr="004F6DAA">
        <w:rPr>
          <w:rFonts w:ascii="Times New Roman" w:hAnsi="Times New Roman" w:cs="Times New Roman"/>
          <w:i/>
          <w:sz w:val="25"/>
          <w:szCs w:val="25"/>
        </w:rPr>
        <w:t>Proceedings of the National Academy of Sciences, 113</w:t>
      </w:r>
      <w:r w:rsidRPr="004F6DAA">
        <w:rPr>
          <w:rFonts w:ascii="Times New Roman" w:hAnsi="Times New Roman" w:cs="Times New Roman"/>
          <w:sz w:val="25"/>
          <w:szCs w:val="25"/>
        </w:rPr>
        <w:t xml:space="preserve">(48), E7681-E7690. </w:t>
      </w:r>
    </w:p>
    <w:p w14:paraId="4ED5F766"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74638C">
        <w:rPr>
          <w:rFonts w:ascii="Times New Roman" w:hAnsi="Times New Roman" w:cs="Times New Roman"/>
          <w:sz w:val="25"/>
          <w:szCs w:val="25"/>
          <w:lang w:val="es-MX"/>
        </w:rPr>
        <w:t xml:space="preserve">García, J., &amp; Aburto, J. M. (2019). </w:t>
      </w:r>
      <w:r w:rsidRPr="004F6DAA">
        <w:rPr>
          <w:rFonts w:ascii="Times New Roman" w:hAnsi="Times New Roman" w:cs="Times New Roman"/>
          <w:sz w:val="25"/>
          <w:szCs w:val="25"/>
        </w:rPr>
        <w:t xml:space="preserve">The impact of violence on Venezuelan life expectancy and lifespan inequality. </w:t>
      </w:r>
      <w:r w:rsidRPr="004F6DAA">
        <w:rPr>
          <w:rFonts w:ascii="Times New Roman" w:hAnsi="Times New Roman" w:cs="Times New Roman"/>
          <w:i/>
          <w:sz w:val="25"/>
          <w:szCs w:val="25"/>
        </w:rPr>
        <w:t>International journal of epidemiology</w:t>
      </w:r>
      <w:r w:rsidRPr="004F6DAA">
        <w:rPr>
          <w:rFonts w:ascii="Times New Roman" w:hAnsi="Times New Roman" w:cs="Times New Roman"/>
          <w:sz w:val="25"/>
          <w:szCs w:val="25"/>
        </w:rPr>
        <w:t xml:space="preserve">. </w:t>
      </w:r>
    </w:p>
    <w:p w14:paraId="0180E92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Riley, J. C. (2001). </w:t>
      </w:r>
      <w:r w:rsidRPr="004F6DAA">
        <w:rPr>
          <w:rFonts w:ascii="Times New Roman" w:hAnsi="Times New Roman" w:cs="Times New Roman"/>
          <w:i/>
          <w:sz w:val="25"/>
          <w:szCs w:val="25"/>
        </w:rPr>
        <w:t>Rising life expectancy: a global history</w:t>
      </w:r>
      <w:r w:rsidRPr="004F6DAA">
        <w:rPr>
          <w:rFonts w:ascii="Times New Roman" w:hAnsi="Times New Roman" w:cs="Times New Roman"/>
          <w:sz w:val="25"/>
          <w:szCs w:val="25"/>
        </w:rPr>
        <w:t>: Cambridge University Press.</w:t>
      </w:r>
    </w:p>
    <w:p w14:paraId="497C9877"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Smits, J., &amp; Monden, C. (2009). Length of life inequality around the globe. </w:t>
      </w:r>
      <w:r w:rsidRPr="004F6DAA">
        <w:rPr>
          <w:rFonts w:ascii="Times New Roman" w:hAnsi="Times New Roman" w:cs="Times New Roman"/>
          <w:i/>
          <w:sz w:val="25"/>
          <w:szCs w:val="25"/>
        </w:rPr>
        <w:t>Social Science &amp; Medicine, 68</w:t>
      </w:r>
      <w:r w:rsidRPr="004F6DAA">
        <w:rPr>
          <w:rFonts w:ascii="Times New Roman" w:hAnsi="Times New Roman" w:cs="Times New Roman"/>
          <w:sz w:val="25"/>
          <w:szCs w:val="25"/>
        </w:rPr>
        <w:t xml:space="preserve">(6), 1114-1123. </w:t>
      </w:r>
    </w:p>
    <w:p w14:paraId="3EE69738" w14:textId="4498594A" w:rsidR="00F26A14" w:rsidRPr="00EB5C25" w:rsidRDefault="00061BE3" w:rsidP="00EB5C25">
      <w:pPr>
        <w:pStyle w:val="EndNoteBibliography"/>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van Raalte, A. A., Sasson, I., &amp; Martikainen, P. (2018). The case for monitoring life-span inequality. </w:t>
      </w:r>
      <w:r w:rsidRPr="004F6DAA">
        <w:rPr>
          <w:rFonts w:ascii="Times New Roman" w:hAnsi="Times New Roman" w:cs="Times New Roman"/>
          <w:i/>
          <w:sz w:val="25"/>
          <w:szCs w:val="25"/>
        </w:rPr>
        <w:t>Science, 362</w:t>
      </w:r>
      <w:r w:rsidRPr="004F6DAA">
        <w:rPr>
          <w:rFonts w:ascii="Times New Roman" w:hAnsi="Times New Roman" w:cs="Times New Roman"/>
          <w:sz w:val="25"/>
          <w:szCs w:val="25"/>
        </w:rPr>
        <w:t xml:space="preserve">(6418), 1002-1004. </w:t>
      </w:r>
    </w:p>
    <w:sectPr w:rsidR="00F26A14" w:rsidRPr="00EB5C25"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61BE3"/>
    <w:rsid w:val="00030C2D"/>
    <w:rsid w:val="00061BE3"/>
    <w:rsid w:val="001A6CDB"/>
    <w:rsid w:val="002C7906"/>
    <w:rsid w:val="0045052E"/>
    <w:rsid w:val="004F6DAA"/>
    <w:rsid w:val="00504AF2"/>
    <w:rsid w:val="0074638C"/>
    <w:rsid w:val="00A3728E"/>
    <w:rsid w:val="00AD666E"/>
    <w:rsid w:val="00AE77FC"/>
    <w:rsid w:val="00C77E1D"/>
    <w:rsid w:val="00DA1145"/>
    <w:rsid w:val="00EB5C25"/>
    <w:rsid w:val="00F26A14"/>
    <w:rsid w:val="00FE43A0"/>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BE3"/>
    <w:pPr>
      <w:spacing w:after="0" w:line="240" w:lineRule="auto"/>
    </w:pPr>
  </w:style>
  <w:style w:type="paragraph" w:styleId="BalloonText">
    <w:name w:val="Balloon Text"/>
    <w:basedOn w:val="Normal"/>
    <w:link w:val="BalloonTextChar"/>
    <w:uiPriority w:val="99"/>
    <w:semiHidden/>
    <w:unhideWhenUsed/>
    <w:rsid w:val="00061B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 w:val="24"/>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061BE3"/>
  </w:style>
  <w:style w:type="character" w:customStyle="1" w:styleId="EndNoteBibliographyTitleChar">
    <w:name w:val="EndNote Bibliography Title Char"/>
    <w:basedOn w:val="NoSpacingChar"/>
    <w:link w:val="EndNoteBibliographyTitle"/>
    <w:rsid w:val="00061BE3"/>
    <w:rPr>
      <w:rFonts w:ascii="Calibri" w:hAnsi="Calibri" w:cs="Calibri"/>
      <w:noProof/>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061BE3"/>
    <w:rPr>
      <w:rFonts w:ascii="Calibri" w:hAnsi="Calibri" w:cs="Calibri"/>
      <w:noProof/>
    </w:rPr>
  </w:style>
  <w:style w:type="character" w:styleId="Hyperlink">
    <w:name w:val="Hyperlink"/>
    <w:basedOn w:val="DefaultParagraphFont"/>
    <w:uiPriority w:val="99"/>
    <w:unhideWhenUsed/>
    <w:rsid w:val="00061BE3"/>
    <w:rPr>
      <w:color w:val="0563C1" w:themeColor="hyperlink"/>
      <w:u w:val="single"/>
    </w:rPr>
  </w:style>
  <w:style w:type="character" w:styleId="UnresolvedMention">
    <w:name w:val="Unresolved Mention"/>
    <w:basedOn w:val="DefaultParagraphFont"/>
    <w:uiPriority w:val="99"/>
    <w:semiHidden/>
    <w:unhideWhenUsed/>
    <w:rsid w:val="0006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15884117" TargetMode="External"/><Relationship Id="rId3" Type="http://schemas.openxmlformats.org/officeDocument/2006/relationships/customXml" Target="../customXml/item3.xml"/><Relationship Id="rId7" Type="http://schemas.openxmlformats.org/officeDocument/2006/relationships/hyperlink" Target="https://doi.org/10.1073/pnas.19158841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73/pnas.19158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5A4C7ABFEB343844A043CADB8B984" ma:contentTypeVersion="13" ma:contentTypeDescription="Opret et nyt dokument." ma:contentTypeScope="" ma:versionID="e2d4cb21d998a8a9c204251bf7f82a46">
  <xsd:schema xmlns:xsd="http://www.w3.org/2001/XMLSchema" xmlns:xs="http://www.w3.org/2001/XMLSchema" xmlns:p="http://schemas.microsoft.com/office/2006/metadata/properties" xmlns:ns3="48d5f7b2-7979-472a-bbec-1989c9c91748" xmlns:ns4="7f9bf46c-f50b-466a-ad72-e22a8cd5fe80" targetNamespace="http://schemas.microsoft.com/office/2006/metadata/properties" ma:root="true" ma:fieldsID="7ae254f95290411bb7a14f967a8d8bbc" ns3:_="" ns4:_="">
    <xsd:import namespace="48d5f7b2-7979-472a-bbec-1989c9c91748"/>
    <xsd:import namespace="7f9bf46c-f50b-466a-ad72-e22a8cd5fe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5f7b2-7979-472a-bbec-1989c9c91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bf46c-f50b-466a-ad72-e22a8cd5fe8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6F6F30-CBCF-46DA-87A9-568F2A53BD04}">
  <ds:schemaRefs>
    <ds:schemaRef ds:uri="http://schemas.microsoft.com/sharepoint/v3/contenttype/forms"/>
  </ds:schemaRefs>
</ds:datastoreItem>
</file>

<file path=customXml/itemProps2.xml><?xml version="1.0" encoding="utf-8"?>
<ds:datastoreItem xmlns:ds="http://schemas.openxmlformats.org/officeDocument/2006/customXml" ds:itemID="{21785418-C774-4A2B-B23D-F0679E6C87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954403-1401-47AE-BD65-638B48BE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5f7b2-7979-472a-bbec-1989c9c91748"/>
    <ds:schemaRef ds:uri="7f9bf46c-f50b-466a-ad72-e22a8cd5f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13</cp:revision>
  <dcterms:created xsi:type="dcterms:W3CDTF">2020-03-18T09:51:00Z</dcterms:created>
  <dcterms:modified xsi:type="dcterms:W3CDTF">2020-03-20T17:05:00Z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{06F5AA33-DC6C-4798-B8A0-8CD0FA6865DE}</vt:lpwstr>
  </property>
  <property fmtid="{D5CDD505-2E9C-101B-9397-08002B2CF9AE}" pid="3" name="ContentTypeId">
    <vt:lpwstr>0x0101008485A4C7ABFEB343844A043CADB8B984</vt:lpwstr>
  </property>
</Properties>
</file>