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6E62F" w14:textId="155EAB04" w:rsidR="00061BE3" w:rsidRPr="007164DE" w:rsidRDefault="00061BE3" w:rsidP="00F52AE6">
      <w:pPr>
        <w:rPr>
          <w:rFonts w:cs="Times New Roman"/>
          <w:b/>
          <w:szCs w:val="24"/>
        </w:rPr>
      </w:pPr>
      <w:r w:rsidRPr="007164DE">
        <w:rPr>
          <w:rFonts w:cs="Times New Roman"/>
          <w:b/>
          <w:szCs w:val="24"/>
        </w:rPr>
        <w:t>Implications of the (changing) relationship between life expectancy and lifespan inequality</w:t>
      </w:r>
    </w:p>
    <w:p w14:paraId="4C999634" w14:textId="2B11257C" w:rsidR="00061BE3" w:rsidRPr="005B3F11" w:rsidRDefault="00C7074E" w:rsidP="00F52AE6">
      <w:r w:rsidRPr="005B3F11">
        <w:t>José Manuel Aburto, Ginevra Floridi and Ella Fegitz</w:t>
      </w:r>
    </w:p>
    <w:p w14:paraId="6716AC67" w14:textId="34BCD9F4" w:rsidR="00C7074E" w:rsidRPr="005B3F11" w:rsidRDefault="00C7074E" w:rsidP="00F52AE6"/>
    <w:p w14:paraId="2A131A1B" w14:textId="77777777" w:rsidR="00C7074E" w:rsidRPr="005B3F11" w:rsidRDefault="00C7074E" w:rsidP="00F52AE6"/>
    <w:p w14:paraId="333B2E51" w14:textId="2377DCC6" w:rsidR="00F52AE6" w:rsidRPr="006542AF" w:rsidRDefault="00F52AE6" w:rsidP="00F52AE6">
      <w:pPr>
        <w:rPr>
          <w:rFonts w:cs="Times New Roman"/>
          <w:szCs w:val="24"/>
        </w:rPr>
      </w:pPr>
      <w:r w:rsidRPr="006542AF">
        <w:rPr>
          <w:rFonts w:cs="Times New Roman"/>
          <w:b/>
          <w:bCs/>
          <w:szCs w:val="24"/>
          <w:highlight w:val="yellow"/>
        </w:rPr>
        <w:t>A</w:t>
      </w:r>
      <w:r w:rsidR="005B3F11">
        <w:rPr>
          <w:rFonts w:cs="Times New Roman"/>
          <w:b/>
          <w:bCs/>
          <w:szCs w:val="24"/>
          <w:highlight w:val="yellow"/>
        </w:rPr>
        <w:t>b</w:t>
      </w:r>
      <w:r w:rsidRPr="006542AF">
        <w:rPr>
          <w:rFonts w:cs="Times New Roman"/>
          <w:b/>
          <w:bCs/>
          <w:szCs w:val="24"/>
          <w:highlight w:val="yellow"/>
        </w:rPr>
        <w:t>stract</w:t>
      </w:r>
      <w:r w:rsidR="00061BE3" w:rsidRPr="006542AF">
        <w:rPr>
          <w:rFonts w:cs="Times New Roman"/>
          <w:bCs/>
          <w:szCs w:val="24"/>
          <w:highlight w:val="yellow"/>
        </w:rPr>
        <w:t>:</w:t>
      </w:r>
      <w:r w:rsidR="00061BE3" w:rsidRPr="006542AF">
        <w:rPr>
          <w:rFonts w:cs="Times New Roman"/>
          <w:szCs w:val="24"/>
          <w:highlight w:val="yellow"/>
        </w:rPr>
        <w:t xml:space="preserve"> Life expectancy at birth is widely employed to measure longevity</w:t>
      </w:r>
      <w:r w:rsidRPr="006542AF">
        <w:rPr>
          <w:rFonts w:cs="Times New Roman"/>
          <w:szCs w:val="24"/>
          <w:highlight w:val="yellow"/>
        </w:rPr>
        <w:t>. However, as José Manuel Aburto, Ginevra Floridi and Ella Fegitz another dimension is of great relevance in health research and policy intervention: inequality in the length of life. This can be measured with a simple index.</w:t>
      </w:r>
      <w:r w:rsidRPr="006542AF">
        <w:rPr>
          <w:rFonts w:cs="Times New Roman"/>
          <w:szCs w:val="24"/>
        </w:rPr>
        <w:t xml:space="preserve"> </w:t>
      </w:r>
    </w:p>
    <w:p w14:paraId="7F945C7A" w14:textId="79ACC35B" w:rsidR="00C7074E" w:rsidRPr="006542AF" w:rsidRDefault="00C7074E" w:rsidP="00F52AE6">
      <w:pPr>
        <w:rPr>
          <w:rFonts w:cs="Times New Roman"/>
          <w:szCs w:val="24"/>
        </w:rPr>
      </w:pPr>
    </w:p>
    <w:p w14:paraId="7827FE61" w14:textId="05FBB6B8" w:rsidR="00C7074E" w:rsidRPr="006542AF" w:rsidRDefault="00C7074E" w:rsidP="00F52AE6">
      <w:pPr>
        <w:rPr>
          <w:rFonts w:cs="Times New Roman"/>
          <w:b/>
          <w:bCs/>
          <w:szCs w:val="24"/>
          <w:highlight w:val="cyan"/>
        </w:rPr>
      </w:pPr>
      <w:r w:rsidRPr="006542AF">
        <w:rPr>
          <w:rFonts w:cs="Times New Roman"/>
          <w:b/>
          <w:bCs/>
          <w:szCs w:val="24"/>
          <w:highlight w:val="cyan"/>
        </w:rPr>
        <w:t xml:space="preserve">BIO </w:t>
      </w:r>
    </w:p>
    <w:p w14:paraId="3156C434" w14:textId="0B5B2CD5" w:rsidR="00C7074E" w:rsidRPr="006542AF" w:rsidRDefault="00C7074E" w:rsidP="00F52AE6">
      <w:pPr>
        <w:rPr>
          <w:rFonts w:cs="Times New Roman"/>
          <w:szCs w:val="24"/>
          <w:highlight w:val="cyan"/>
        </w:rPr>
      </w:pPr>
      <w:r w:rsidRPr="006542AF">
        <w:rPr>
          <w:rFonts w:cs="Times New Roman"/>
          <w:szCs w:val="24"/>
          <w:highlight w:val="cyan"/>
        </w:rPr>
        <w:t>José Manuel Aburto. Department of Sociology &amp; Leverhulme Centre for Demographic Science, University of Oxford, UK; and Interdisciplinary Centre on Population Dynamics, University of Southern Denmark.</w:t>
      </w:r>
    </w:p>
    <w:p w14:paraId="68B1C732" w14:textId="0D9BD305" w:rsidR="00C7074E" w:rsidRPr="006542AF" w:rsidRDefault="00C7074E" w:rsidP="00F52AE6">
      <w:pPr>
        <w:rPr>
          <w:rFonts w:cs="Times New Roman"/>
          <w:szCs w:val="24"/>
          <w:highlight w:val="cyan"/>
        </w:rPr>
      </w:pPr>
    </w:p>
    <w:p w14:paraId="0733ADDF" w14:textId="6A9CF8F0" w:rsidR="00C7074E" w:rsidRPr="006542AF" w:rsidRDefault="00C7074E" w:rsidP="00F52AE6">
      <w:pPr>
        <w:rPr>
          <w:rFonts w:cs="Times New Roman"/>
          <w:szCs w:val="24"/>
          <w:highlight w:val="cyan"/>
          <w:vertAlign w:val="superscript"/>
        </w:rPr>
      </w:pPr>
      <w:r w:rsidRPr="006542AF">
        <w:rPr>
          <w:rFonts w:cs="Times New Roman"/>
          <w:szCs w:val="24"/>
          <w:highlight w:val="cyan"/>
        </w:rPr>
        <w:t>Ginevra Floridi. Department of Global Health &amp; Social Medicine, King’s College London, UK.</w:t>
      </w:r>
    </w:p>
    <w:p w14:paraId="64A1FC48" w14:textId="26D91730" w:rsidR="00C7074E" w:rsidRPr="006542AF" w:rsidRDefault="00C7074E" w:rsidP="00F52AE6">
      <w:pPr>
        <w:rPr>
          <w:rFonts w:cs="Times New Roman"/>
          <w:szCs w:val="24"/>
          <w:highlight w:val="cyan"/>
        </w:rPr>
      </w:pPr>
    </w:p>
    <w:p w14:paraId="35583FCE" w14:textId="4177D35E" w:rsidR="00C7074E" w:rsidRPr="006542AF" w:rsidRDefault="00C7074E" w:rsidP="00F52AE6">
      <w:pPr>
        <w:rPr>
          <w:rFonts w:cs="Times New Roman"/>
          <w:szCs w:val="24"/>
        </w:rPr>
      </w:pPr>
      <w:r w:rsidRPr="006542AF">
        <w:rPr>
          <w:rFonts w:cs="Times New Roman"/>
          <w:szCs w:val="24"/>
          <w:highlight w:val="cyan"/>
        </w:rPr>
        <w:t>Ella Fegitz. Department for the Study of Culture &amp; Interdisciplinary Centre on Population Dynamics, University of Southern Denmark.</w:t>
      </w:r>
    </w:p>
    <w:p w14:paraId="73CF70D1" w14:textId="223414B9" w:rsidR="00C7074E" w:rsidRPr="006542AF" w:rsidRDefault="00C7074E" w:rsidP="00F52AE6">
      <w:pPr>
        <w:rPr>
          <w:rFonts w:cs="Times New Roman"/>
          <w:szCs w:val="24"/>
        </w:rPr>
      </w:pPr>
    </w:p>
    <w:p w14:paraId="764F1AD7" w14:textId="54C4C650" w:rsidR="00061BE3" w:rsidRPr="006542AF" w:rsidRDefault="00061BE3" w:rsidP="00F52AE6">
      <w:pPr>
        <w:rPr>
          <w:rFonts w:cs="Times New Roman"/>
          <w:szCs w:val="24"/>
        </w:rPr>
      </w:pPr>
    </w:p>
    <w:p w14:paraId="48E1EB2C" w14:textId="5E7F75D0" w:rsidR="007164DE" w:rsidRPr="006542AF" w:rsidRDefault="007164DE" w:rsidP="007164DE">
      <w:pPr>
        <w:rPr>
          <w:rFonts w:cs="Times New Roman"/>
          <w:b/>
          <w:color w:val="FF0000"/>
          <w:szCs w:val="24"/>
        </w:rPr>
      </w:pPr>
      <w:r w:rsidRPr="006542AF">
        <w:rPr>
          <w:rFonts w:cs="Times New Roman"/>
          <w:b/>
          <w:szCs w:val="24"/>
        </w:rPr>
        <w:t xml:space="preserve">What </w:t>
      </w:r>
      <w:r w:rsidR="005B3F11">
        <w:rPr>
          <w:rFonts w:cs="Times New Roman"/>
          <w:b/>
          <w:szCs w:val="24"/>
        </w:rPr>
        <w:t xml:space="preserve">are life expectancy and </w:t>
      </w:r>
      <w:r w:rsidRPr="006542AF">
        <w:rPr>
          <w:rFonts w:cs="Times New Roman"/>
          <w:b/>
          <w:szCs w:val="24"/>
        </w:rPr>
        <w:t>lifespan inequality?</w:t>
      </w:r>
    </w:p>
    <w:p w14:paraId="619C2503" w14:textId="1B773BEC" w:rsidR="00061BE3" w:rsidRPr="006542AF" w:rsidRDefault="00061BE3" w:rsidP="00F9352A">
      <w:pPr>
        <w:rPr>
          <w:rFonts w:cs="Times New Roman"/>
          <w:szCs w:val="24"/>
        </w:rPr>
      </w:pPr>
    </w:p>
    <w:p w14:paraId="7591E259" w14:textId="7879516D" w:rsidR="007164DE" w:rsidRPr="006542AF" w:rsidRDefault="007164DE" w:rsidP="007164DE">
      <w:pPr>
        <w:rPr>
          <w:rFonts w:cs="Times New Roman"/>
          <w:szCs w:val="24"/>
        </w:rPr>
      </w:pPr>
      <w:r w:rsidRPr="006542AF">
        <w:rPr>
          <w:rFonts w:cs="Times New Roman"/>
          <w:szCs w:val="24"/>
        </w:rPr>
        <w:t>Life expectancy</w:t>
      </w:r>
      <w:r w:rsidR="00AF54F7">
        <w:rPr>
          <w:rFonts w:cs="Times New Roman"/>
          <w:szCs w:val="24"/>
        </w:rPr>
        <w:t xml:space="preserve"> at birth</w:t>
      </w:r>
      <w:r w:rsidRPr="006542AF">
        <w:rPr>
          <w:rFonts w:cs="Times New Roman"/>
          <w:szCs w:val="24"/>
        </w:rPr>
        <w:t xml:space="preserve"> is a measure of the mean level of mortality. Simply put, it expresses the average number of years a newborn is expected to live given the mortality conditions at a point in time. Because it is an average, life expectancy does not show differences in length of life among people; however, these can be substantial. Differences in lifespans are usually captured by a metric of variation or inequality in ages at death</w:t>
      </w:r>
      <w:r w:rsidR="00821348">
        <w:rPr>
          <w:rFonts w:cs="Times New Roman"/>
          <w:szCs w:val="24"/>
        </w:rPr>
        <w:t xml:space="preserve">, </w:t>
      </w:r>
      <w:r w:rsidRPr="006542AF">
        <w:rPr>
          <w:rFonts w:cs="Times New Roman"/>
          <w:szCs w:val="24"/>
        </w:rPr>
        <w:t xml:space="preserve">and they are usually referred to by demographers as </w:t>
      </w:r>
      <w:r w:rsidRPr="006542AF">
        <w:rPr>
          <w:rFonts w:cs="Times New Roman"/>
          <w:i/>
          <w:iCs/>
          <w:szCs w:val="24"/>
        </w:rPr>
        <w:t>lifespan inequality.</w:t>
      </w:r>
      <w:r w:rsidRPr="006542AF">
        <w:rPr>
          <w:rFonts w:cs="Times New Roman"/>
          <w:szCs w:val="24"/>
        </w:rPr>
        <w:t xml:space="preserve"> </w:t>
      </w:r>
    </w:p>
    <w:p w14:paraId="1B6AD79F" w14:textId="6E41222E" w:rsidR="007164DE" w:rsidRPr="006542AF" w:rsidRDefault="007164DE" w:rsidP="007164DE">
      <w:pPr>
        <w:rPr>
          <w:rFonts w:cs="Times New Roman"/>
          <w:szCs w:val="24"/>
        </w:rPr>
      </w:pPr>
    </w:p>
    <w:p w14:paraId="4F5CC51C" w14:textId="53C92A28" w:rsidR="00836A20" w:rsidRDefault="005348CB" w:rsidP="00F52AE6">
      <w:pPr>
        <w:rPr>
          <w:rFonts w:cs="Times New Roman"/>
          <w:szCs w:val="24"/>
        </w:rPr>
      </w:pPr>
      <w:r>
        <w:rPr>
          <w:noProof/>
        </w:rPr>
        <w:drawing>
          <wp:anchor distT="0" distB="0" distL="114300" distR="114300" simplePos="0" relativeHeight="251658240" behindDoc="1" locked="0" layoutInCell="1" allowOverlap="1" wp14:anchorId="3E92EAA5" wp14:editId="40A8DAE8">
            <wp:simplePos x="0" y="0"/>
            <wp:positionH relativeFrom="column">
              <wp:posOffset>2951099</wp:posOffset>
            </wp:positionH>
            <wp:positionV relativeFrom="paragraph">
              <wp:posOffset>22733</wp:posOffset>
            </wp:positionV>
            <wp:extent cx="3405600" cy="2901600"/>
            <wp:effectExtent l="0" t="0" r="4445" b="0"/>
            <wp:wrapTight wrapText="bothSides">
              <wp:wrapPolygon edited="0">
                <wp:start x="0" y="0"/>
                <wp:lineTo x="0" y="21416"/>
                <wp:lineTo x="21507" y="21416"/>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5600" cy="2901600"/>
                    </a:xfrm>
                    <a:prstGeom prst="rect">
                      <a:avLst/>
                    </a:prstGeom>
                  </pic:spPr>
                </pic:pic>
              </a:graphicData>
            </a:graphic>
            <wp14:sizeRelH relativeFrom="page">
              <wp14:pctWidth>0</wp14:pctWidth>
            </wp14:sizeRelH>
            <wp14:sizeRelV relativeFrom="page">
              <wp14:pctHeight>0</wp14:pctHeight>
            </wp14:sizeRelV>
          </wp:anchor>
        </w:drawing>
      </w:r>
      <w:r w:rsidR="007164DE" w:rsidRPr="006542AF">
        <w:rPr>
          <w:rFonts w:cs="Times New Roman"/>
          <w:szCs w:val="24"/>
        </w:rPr>
        <w:t xml:space="preserve">Lifespan inequality at the individual level tells us how unpredictable the timing of death is. In other words, how long a newborn in </w:t>
      </w:r>
      <w:r w:rsidR="00AF54F7">
        <w:rPr>
          <w:rFonts w:cs="Times New Roman"/>
          <w:szCs w:val="24"/>
        </w:rPr>
        <w:t>1920’s Italy</w:t>
      </w:r>
      <w:r w:rsidR="007164DE" w:rsidRPr="006542AF">
        <w:rPr>
          <w:rFonts w:cs="Times New Roman"/>
          <w:szCs w:val="24"/>
        </w:rPr>
        <w:t xml:space="preserve"> - </w:t>
      </w:r>
      <w:r w:rsidR="00821348">
        <w:rPr>
          <w:rFonts w:cs="Times New Roman"/>
          <w:szCs w:val="24"/>
        </w:rPr>
        <w:t xml:space="preserve">with lifespan inequality of </w:t>
      </w:r>
      <w:r w:rsidR="00AF54F7">
        <w:rPr>
          <w:rFonts w:cs="Times New Roman"/>
          <w:szCs w:val="24"/>
        </w:rPr>
        <w:t>31</w:t>
      </w:r>
      <w:r w:rsidR="00892ED3">
        <w:rPr>
          <w:rFonts w:cs="Times New Roman"/>
          <w:szCs w:val="24"/>
        </w:rPr>
        <w:t>.</w:t>
      </w:r>
      <w:r w:rsidR="002A6C7E">
        <w:rPr>
          <w:rFonts w:cs="Times New Roman"/>
          <w:szCs w:val="24"/>
        </w:rPr>
        <w:t>6</w:t>
      </w:r>
      <w:r w:rsidR="00821348">
        <w:rPr>
          <w:rFonts w:cs="Times New Roman"/>
          <w:szCs w:val="24"/>
        </w:rPr>
        <w:t xml:space="preserve"> years measured by the standard deviation of ages at death (SD)</w:t>
      </w:r>
      <w:r w:rsidR="007164DE" w:rsidRPr="006542AF">
        <w:rPr>
          <w:rFonts w:cs="Times New Roman"/>
          <w:szCs w:val="24"/>
        </w:rPr>
        <w:t xml:space="preserve"> </w:t>
      </w:r>
      <w:r w:rsidR="003C57CD">
        <w:rPr>
          <w:rFonts w:cs="Times New Roman"/>
          <w:szCs w:val="24"/>
        </w:rPr>
        <w:t>–</w:t>
      </w:r>
      <w:r w:rsidR="007164DE" w:rsidRPr="006542AF">
        <w:rPr>
          <w:rFonts w:cs="Times New Roman"/>
          <w:szCs w:val="24"/>
        </w:rPr>
        <w:t xml:space="preserve"> </w:t>
      </w:r>
      <w:r w:rsidR="003C57CD">
        <w:rPr>
          <w:rFonts w:cs="Times New Roman"/>
          <w:szCs w:val="24"/>
        </w:rPr>
        <w:t>was going to</w:t>
      </w:r>
      <w:r w:rsidR="007164DE" w:rsidRPr="006542AF">
        <w:rPr>
          <w:rFonts w:cs="Times New Roman"/>
          <w:szCs w:val="24"/>
        </w:rPr>
        <w:t xml:space="preserve"> live </w:t>
      </w:r>
      <w:r w:rsidR="005B3F11">
        <w:rPr>
          <w:rFonts w:cs="Times New Roman"/>
          <w:szCs w:val="24"/>
        </w:rPr>
        <w:t>was</w:t>
      </w:r>
      <w:r w:rsidR="007164DE" w:rsidRPr="006542AF">
        <w:rPr>
          <w:rFonts w:cs="Times New Roman"/>
          <w:szCs w:val="24"/>
        </w:rPr>
        <w:t xml:space="preserve"> considerably more difficult to predict than it is for a baby born in contemporary </w:t>
      </w:r>
      <w:r w:rsidR="00821348">
        <w:rPr>
          <w:rFonts w:cs="Times New Roman"/>
          <w:szCs w:val="24"/>
        </w:rPr>
        <w:t xml:space="preserve">Italy (SD of </w:t>
      </w:r>
      <w:r w:rsidR="00AF54F7">
        <w:rPr>
          <w:rFonts w:cs="Times New Roman"/>
          <w:szCs w:val="24"/>
        </w:rPr>
        <w:t>1</w:t>
      </w:r>
      <w:r w:rsidR="002A6C7E">
        <w:rPr>
          <w:rFonts w:cs="Times New Roman"/>
          <w:szCs w:val="24"/>
        </w:rPr>
        <w:t>2.4</w:t>
      </w:r>
      <w:r w:rsidR="00AD4E17">
        <w:rPr>
          <w:rFonts w:cs="Times New Roman"/>
          <w:szCs w:val="24"/>
        </w:rPr>
        <w:t xml:space="preserve"> years</w:t>
      </w:r>
      <w:r w:rsidR="00821348">
        <w:rPr>
          <w:rFonts w:cs="Times New Roman"/>
          <w:szCs w:val="24"/>
        </w:rPr>
        <w:t>)</w:t>
      </w:r>
      <w:r w:rsidR="007164DE" w:rsidRPr="006542AF">
        <w:rPr>
          <w:rFonts w:cs="Times New Roman"/>
          <w:szCs w:val="24"/>
        </w:rPr>
        <w:t xml:space="preserve">, because </w:t>
      </w:r>
      <w:r w:rsidR="002A6C7E">
        <w:rPr>
          <w:rFonts w:cs="Times New Roman"/>
          <w:szCs w:val="24"/>
        </w:rPr>
        <w:t>deaths were more spread over age</w:t>
      </w:r>
      <w:r w:rsidR="007164DE" w:rsidRPr="006542AF">
        <w:rPr>
          <w:rFonts w:cs="Times New Roman"/>
          <w:szCs w:val="24"/>
        </w:rPr>
        <w:t xml:space="preserve"> in the former</w:t>
      </w:r>
      <w:r w:rsidR="00D33A24">
        <w:rPr>
          <w:rFonts w:cs="Times New Roman"/>
          <w:szCs w:val="24"/>
        </w:rPr>
        <w:t xml:space="preserve"> (Figure 1)</w:t>
      </w:r>
      <w:r w:rsidR="007164DE" w:rsidRPr="006542AF">
        <w:rPr>
          <w:rFonts w:cs="Times New Roman"/>
          <w:szCs w:val="24"/>
        </w:rPr>
        <w:t xml:space="preserve">. At the societal level, this may be considered as the most fundamental of all inequalities </w:t>
      </w:r>
      <w:r w:rsidR="007164DE" w:rsidRPr="006542AF">
        <w:rPr>
          <w:rFonts w:cs="Times New Roman"/>
          <w:noProof/>
          <w:szCs w:val="24"/>
        </w:rPr>
        <w:t xml:space="preserve">(van Raalte, Sasson, &amp; Martikainen, 2018): its level and </w:t>
      </w:r>
      <w:r w:rsidR="007164DE" w:rsidRPr="006542AF">
        <w:rPr>
          <w:rFonts w:cs="Times New Roman"/>
          <w:szCs w:val="24"/>
        </w:rPr>
        <w:t>the evolution can tell much of how equitabl</w:t>
      </w:r>
      <w:r w:rsidR="003C57CD">
        <w:rPr>
          <w:rFonts w:cs="Times New Roman"/>
          <w:szCs w:val="24"/>
        </w:rPr>
        <w:t>e</w:t>
      </w:r>
      <w:r w:rsidR="007164DE" w:rsidRPr="006542AF">
        <w:rPr>
          <w:rFonts w:cs="Times New Roman"/>
          <w:szCs w:val="24"/>
        </w:rPr>
        <w:t xml:space="preserve"> </w:t>
      </w:r>
      <w:r w:rsidR="006542AF">
        <w:rPr>
          <w:rFonts w:cs="Times New Roman"/>
          <w:szCs w:val="24"/>
        </w:rPr>
        <w:t xml:space="preserve">health improvements are allocated in </w:t>
      </w:r>
      <w:r w:rsidR="007164DE" w:rsidRPr="006542AF">
        <w:rPr>
          <w:rFonts w:cs="Times New Roman"/>
          <w:szCs w:val="24"/>
        </w:rPr>
        <w:t xml:space="preserve">a society. </w:t>
      </w:r>
    </w:p>
    <w:p w14:paraId="7F49C7E4" w14:textId="36AB8D5F" w:rsidR="00061BE3" w:rsidRPr="00836A20" w:rsidRDefault="005348CB" w:rsidP="00F52AE6">
      <w:pPr>
        <w:rPr>
          <w:rFonts w:cs="Times New Roman"/>
          <w:szCs w:val="24"/>
        </w:rPr>
      </w:pPr>
      <w:r>
        <w:rPr>
          <w:noProof/>
        </w:rPr>
        <w:lastRenderedPageBreak/>
        <w:drawing>
          <wp:anchor distT="0" distB="0" distL="114300" distR="114300" simplePos="0" relativeHeight="251659264" behindDoc="1" locked="0" layoutInCell="1" allowOverlap="1" wp14:anchorId="5E6FA125" wp14:editId="3643E225">
            <wp:simplePos x="0" y="0"/>
            <wp:positionH relativeFrom="column">
              <wp:posOffset>3443986</wp:posOffset>
            </wp:positionH>
            <wp:positionV relativeFrom="paragraph">
              <wp:posOffset>127</wp:posOffset>
            </wp:positionV>
            <wp:extent cx="2732400" cy="2707200"/>
            <wp:effectExtent l="0" t="0" r="0" b="0"/>
            <wp:wrapTight wrapText="bothSides">
              <wp:wrapPolygon edited="0">
                <wp:start x="0" y="0"/>
                <wp:lineTo x="0" y="21433"/>
                <wp:lineTo x="21389" y="21433"/>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400" cy="2707200"/>
                    </a:xfrm>
                    <a:prstGeom prst="rect">
                      <a:avLst/>
                    </a:prstGeom>
                  </pic:spPr>
                </pic:pic>
              </a:graphicData>
            </a:graphic>
            <wp14:sizeRelH relativeFrom="page">
              <wp14:pctWidth>0</wp14:pctWidth>
            </wp14:sizeRelH>
            <wp14:sizeRelV relativeFrom="page">
              <wp14:pctHeight>0</wp14:pctHeight>
            </wp14:sizeRelV>
          </wp:anchor>
        </w:drawing>
      </w:r>
      <w:r w:rsidR="0074638C" w:rsidRPr="006542AF">
        <w:rPr>
          <w:rFonts w:cs="Times New Roman"/>
          <w:b/>
          <w:szCs w:val="24"/>
        </w:rPr>
        <w:t>How does l</w:t>
      </w:r>
      <w:r w:rsidR="00061BE3" w:rsidRPr="006542AF">
        <w:rPr>
          <w:rFonts w:cs="Times New Roman"/>
          <w:b/>
          <w:szCs w:val="24"/>
        </w:rPr>
        <w:t xml:space="preserve">ife expectancy </w:t>
      </w:r>
      <w:r w:rsidR="0074638C" w:rsidRPr="006542AF">
        <w:rPr>
          <w:rFonts w:cs="Times New Roman"/>
          <w:b/>
          <w:szCs w:val="24"/>
        </w:rPr>
        <w:t>relate with</w:t>
      </w:r>
      <w:r w:rsidR="00061BE3" w:rsidRPr="006542AF">
        <w:rPr>
          <w:rFonts w:cs="Times New Roman"/>
          <w:b/>
          <w:szCs w:val="24"/>
        </w:rPr>
        <w:t xml:space="preserve"> lifespan inequality</w:t>
      </w:r>
      <w:r w:rsidR="0074638C" w:rsidRPr="006542AF">
        <w:rPr>
          <w:rFonts w:cs="Times New Roman"/>
          <w:b/>
          <w:szCs w:val="24"/>
        </w:rPr>
        <w:t>?</w:t>
      </w:r>
    </w:p>
    <w:p w14:paraId="3E27B030" w14:textId="69CC692A" w:rsidR="007164DE" w:rsidRDefault="007164DE" w:rsidP="00F52AE6">
      <w:pPr>
        <w:rPr>
          <w:rFonts w:cs="Times New Roman"/>
          <w:szCs w:val="24"/>
        </w:rPr>
      </w:pPr>
    </w:p>
    <w:p w14:paraId="62B4E0A0" w14:textId="5619BE8C" w:rsidR="005348CB" w:rsidRDefault="00D0162C" w:rsidP="00F9352A">
      <w:pPr>
        <w:rPr>
          <w:rFonts w:cs="Times New Roman"/>
          <w:szCs w:val="24"/>
        </w:rPr>
      </w:pPr>
      <w:r w:rsidRPr="00D0162C">
        <w:rPr>
          <w:rFonts w:cs="Times New Roman"/>
          <w:szCs w:val="24"/>
        </w:rPr>
        <w:t xml:space="preserve">In </w:t>
      </w:r>
      <w:r>
        <w:rPr>
          <w:rFonts w:cs="Times New Roman"/>
          <w:szCs w:val="24"/>
        </w:rPr>
        <w:t>1920</w:t>
      </w:r>
      <w:r w:rsidRPr="00D0162C">
        <w:rPr>
          <w:rFonts w:cs="Times New Roman"/>
          <w:szCs w:val="24"/>
        </w:rPr>
        <w:t xml:space="preserve">, </w:t>
      </w:r>
      <w:r w:rsidR="00C4577E">
        <w:rPr>
          <w:rFonts w:cs="Times New Roman"/>
          <w:szCs w:val="24"/>
        </w:rPr>
        <w:t>13.3</w:t>
      </w:r>
      <w:r w:rsidRPr="00D0162C">
        <w:rPr>
          <w:rFonts w:cs="Times New Roman"/>
          <w:szCs w:val="24"/>
        </w:rPr>
        <w:t xml:space="preserve">% of </w:t>
      </w:r>
      <w:r w:rsidR="00C4577E">
        <w:rPr>
          <w:rFonts w:cs="Times New Roman"/>
          <w:szCs w:val="24"/>
        </w:rPr>
        <w:t>females born</w:t>
      </w:r>
      <w:r w:rsidRPr="00D0162C">
        <w:rPr>
          <w:rFonts w:cs="Times New Roman"/>
          <w:szCs w:val="24"/>
        </w:rPr>
        <w:t xml:space="preserve"> in Italy died before their first birthday and less than </w:t>
      </w:r>
      <w:r w:rsidR="00C4577E">
        <w:rPr>
          <w:rFonts w:cs="Times New Roman"/>
          <w:szCs w:val="24"/>
        </w:rPr>
        <w:t>10</w:t>
      </w:r>
      <w:r w:rsidRPr="00D0162C">
        <w:rPr>
          <w:rFonts w:cs="Times New Roman"/>
          <w:szCs w:val="24"/>
        </w:rPr>
        <w:t>% of them were expected to reach the age of 8</w:t>
      </w:r>
      <w:r w:rsidR="00C4577E">
        <w:rPr>
          <w:rFonts w:cs="Times New Roman"/>
          <w:szCs w:val="24"/>
        </w:rPr>
        <w:t>2</w:t>
      </w:r>
      <w:r w:rsidRPr="00D0162C">
        <w:rPr>
          <w:rFonts w:cs="Times New Roman"/>
          <w:szCs w:val="24"/>
        </w:rPr>
        <w:t xml:space="preserve"> years. In contrast, 99.7% of </w:t>
      </w:r>
      <w:r w:rsidR="00C4577E">
        <w:rPr>
          <w:rFonts w:cs="Times New Roman"/>
          <w:szCs w:val="24"/>
        </w:rPr>
        <w:t xml:space="preserve">female </w:t>
      </w:r>
      <w:r w:rsidRPr="00D0162C">
        <w:rPr>
          <w:rFonts w:cs="Times New Roman"/>
          <w:szCs w:val="24"/>
        </w:rPr>
        <w:t xml:space="preserve">babies born in 2017 survived to their first birthday and </w:t>
      </w:r>
      <w:r w:rsidR="00C4577E">
        <w:rPr>
          <w:rFonts w:cs="Times New Roman"/>
          <w:szCs w:val="24"/>
        </w:rPr>
        <w:t>almost</w:t>
      </w:r>
      <w:r w:rsidRPr="00D0162C">
        <w:rPr>
          <w:rFonts w:cs="Times New Roman"/>
          <w:szCs w:val="24"/>
        </w:rPr>
        <w:t xml:space="preserve"> </w:t>
      </w:r>
      <w:r w:rsidR="00C4577E">
        <w:rPr>
          <w:rFonts w:cs="Times New Roman"/>
          <w:szCs w:val="24"/>
        </w:rPr>
        <w:t>7</w:t>
      </w:r>
      <w:r w:rsidRPr="00D0162C">
        <w:rPr>
          <w:rFonts w:cs="Times New Roman"/>
          <w:szCs w:val="24"/>
        </w:rPr>
        <w:t>0% of them are expected to be alive in 2100</w:t>
      </w:r>
      <w:r w:rsidR="00C4577E">
        <w:rPr>
          <w:rFonts w:cs="Times New Roman"/>
          <w:szCs w:val="24"/>
        </w:rPr>
        <w:t xml:space="preserve"> (Figure 1)</w:t>
      </w:r>
      <w:r w:rsidRPr="00D0162C">
        <w:rPr>
          <w:rFonts w:cs="Times New Roman"/>
          <w:szCs w:val="24"/>
        </w:rPr>
        <w:t>. This exceptional progress on reducing mortality has meant that life expectancy at birth</w:t>
      </w:r>
      <w:r w:rsidR="00D33A24">
        <w:rPr>
          <w:rFonts w:cs="Times New Roman"/>
          <w:szCs w:val="24"/>
        </w:rPr>
        <w:t xml:space="preserve"> </w:t>
      </w:r>
      <w:r w:rsidRPr="00D0162C">
        <w:rPr>
          <w:rFonts w:cs="Times New Roman"/>
          <w:szCs w:val="24"/>
        </w:rPr>
        <w:t>increased</w:t>
      </w:r>
      <w:r w:rsidR="00275651">
        <w:rPr>
          <w:rFonts w:cs="Times New Roman"/>
          <w:szCs w:val="24"/>
        </w:rPr>
        <w:t xml:space="preserve"> </w:t>
      </w:r>
      <w:r w:rsidRPr="00D0162C">
        <w:rPr>
          <w:rFonts w:cs="Times New Roman"/>
          <w:szCs w:val="24"/>
        </w:rPr>
        <w:t xml:space="preserve">from </w:t>
      </w:r>
      <w:r w:rsidR="00C4577E">
        <w:rPr>
          <w:rFonts w:cs="Times New Roman"/>
          <w:szCs w:val="24"/>
        </w:rPr>
        <w:t xml:space="preserve">46.4 </w:t>
      </w:r>
      <w:r w:rsidRPr="00D0162C">
        <w:rPr>
          <w:rFonts w:cs="Times New Roman"/>
          <w:szCs w:val="24"/>
        </w:rPr>
        <w:t xml:space="preserve">years to almost </w:t>
      </w:r>
      <w:r w:rsidR="00D33A24">
        <w:rPr>
          <w:rFonts w:cs="Times New Roman"/>
          <w:szCs w:val="24"/>
        </w:rPr>
        <w:t>85</w:t>
      </w:r>
      <w:r w:rsidRPr="00D0162C">
        <w:rPr>
          <w:rFonts w:cs="Times New Roman"/>
          <w:szCs w:val="24"/>
        </w:rPr>
        <w:t xml:space="preserve"> years over the last </w:t>
      </w:r>
      <w:r w:rsidR="00D33A24">
        <w:rPr>
          <w:rFonts w:cs="Times New Roman"/>
          <w:szCs w:val="24"/>
        </w:rPr>
        <w:t>century</w:t>
      </w:r>
      <w:r w:rsidR="00C4577E">
        <w:rPr>
          <w:rFonts w:cs="Times New Roman"/>
          <w:szCs w:val="24"/>
        </w:rPr>
        <w:t xml:space="preserve">, and </w:t>
      </w:r>
      <w:r w:rsidR="006048DF">
        <w:rPr>
          <w:rFonts w:cs="Times New Roman"/>
          <w:szCs w:val="24"/>
        </w:rPr>
        <w:t xml:space="preserve">at the same time, that </w:t>
      </w:r>
      <w:r w:rsidR="00C4577E">
        <w:rPr>
          <w:rFonts w:cs="Times New Roman"/>
          <w:szCs w:val="24"/>
        </w:rPr>
        <w:t>life chances have been more equitable or that lifespan inequality decreased</w:t>
      </w:r>
      <w:r w:rsidR="00202C5B">
        <w:rPr>
          <w:rFonts w:cs="Times New Roman"/>
          <w:szCs w:val="24"/>
        </w:rPr>
        <w:t xml:space="preserve"> (Figure 2)</w:t>
      </w:r>
      <w:r w:rsidRPr="00D0162C">
        <w:rPr>
          <w:rFonts w:cs="Times New Roman"/>
          <w:szCs w:val="24"/>
        </w:rPr>
        <w:t>.</w:t>
      </w:r>
      <w:r w:rsidR="002C3C74" w:rsidRPr="002C3C74">
        <w:rPr>
          <w:noProof/>
        </w:rPr>
        <w:t xml:space="preserve"> </w:t>
      </w:r>
      <w:r w:rsidR="005348CB">
        <w:rPr>
          <w:rFonts w:cs="Times New Roman"/>
          <w:szCs w:val="24"/>
        </w:rPr>
        <w:t xml:space="preserve"> </w:t>
      </w:r>
    </w:p>
    <w:p w14:paraId="1CC068EF" w14:textId="2A40637A" w:rsidR="005348CB" w:rsidRDefault="005348CB" w:rsidP="00F9352A">
      <w:pPr>
        <w:rPr>
          <w:rFonts w:cs="Times New Roman"/>
          <w:szCs w:val="24"/>
        </w:rPr>
      </w:pPr>
    </w:p>
    <w:p w14:paraId="73165150" w14:textId="03350A07" w:rsidR="00061BE3" w:rsidRPr="005348CB" w:rsidRDefault="0043717C" w:rsidP="00F9352A">
      <w:pPr>
        <w:rPr>
          <w:rFonts w:cs="Times New Roman"/>
          <w:szCs w:val="24"/>
        </w:rPr>
      </w:pPr>
      <w:r>
        <w:rPr>
          <w:noProof/>
        </w:rPr>
        <w:drawing>
          <wp:anchor distT="0" distB="0" distL="114300" distR="114300" simplePos="0" relativeHeight="251660288" behindDoc="1" locked="0" layoutInCell="1" allowOverlap="1" wp14:anchorId="4AC89294" wp14:editId="70728F71">
            <wp:simplePos x="0" y="0"/>
            <wp:positionH relativeFrom="column">
              <wp:posOffset>-153670</wp:posOffset>
            </wp:positionH>
            <wp:positionV relativeFrom="paragraph">
              <wp:posOffset>-3810</wp:posOffset>
            </wp:positionV>
            <wp:extent cx="2949575" cy="5690870"/>
            <wp:effectExtent l="0" t="0" r="3175" b="5080"/>
            <wp:wrapTight wrapText="bothSides">
              <wp:wrapPolygon edited="0">
                <wp:start x="0" y="0"/>
                <wp:lineTo x="0" y="21547"/>
                <wp:lineTo x="21484" y="21547"/>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9575" cy="5690870"/>
                    </a:xfrm>
                    <a:prstGeom prst="rect">
                      <a:avLst/>
                    </a:prstGeom>
                  </pic:spPr>
                </pic:pic>
              </a:graphicData>
            </a:graphic>
            <wp14:sizeRelH relativeFrom="page">
              <wp14:pctWidth>0</wp14:pctWidth>
            </wp14:sizeRelH>
            <wp14:sizeRelV relativeFrom="page">
              <wp14:pctHeight>0</wp14:pctHeight>
            </wp14:sizeRelV>
          </wp:anchor>
        </w:drawing>
      </w:r>
      <w:r w:rsidR="00E9564A" w:rsidRPr="006542AF">
        <w:rPr>
          <w:rFonts w:cs="Times New Roman"/>
          <w:szCs w:val="24"/>
        </w:rPr>
        <w:t>Higher levels of life expectancy usually correspond to lower levels of lifespan inequality</w:t>
      </w:r>
      <w:r w:rsidR="002A6C7E">
        <w:rPr>
          <w:rFonts w:cs="Times New Roman"/>
          <w:szCs w:val="24"/>
        </w:rPr>
        <w:t xml:space="preserve"> </w:t>
      </w:r>
      <w:r w:rsidR="00E9564A" w:rsidRPr="006542AF">
        <w:rPr>
          <w:rFonts w:cs="Times New Roman"/>
          <w:szCs w:val="24"/>
        </w:rPr>
        <w:t xml:space="preserve">(e.g. </w:t>
      </w:r>
      <w:r w:rsidR="00E9564A" w:rsidRPr="006542AF">
        <w:rPr>
          <w:rFonts w:cs="Times New Roman"/>
          <w:noProof/>
          <w:szCs w:val="24"/>
        </w:rPr>
        <w:t>Smits and Monden 2009</w:t>
      </w:r>
      <w:r w:rsidR="00E9564A" w:rsidRPr="006542AF">
        <w:rPr>
          <w:rFonts w:cs="Times New Roman"/>
          <w:szCs w:val="24"/>
        </w:rPr>
        <w:t xml:space="preserve">). </w:t>
      </w:r>
      <w:r w:rsidR="00061BE3" w:rsidRPr="006542AF">
        <w:rPr>
          <w:rFonts w:cs="Times New Roman"/>
          <w:color w:val="000000" w:themeColor="text1"/>
          <w:szCs w:val="24"/>
        </w:rPr>
        <w:t xml:space="preserve">A recent </w:t>
      </w:r>
      <w:r w:rsidR="00061BE3" w:rsidRPr="006542AF">
        <w:rPr>
          <w:rFonts w:cs="Times New Roman"/>
          <w:szCs w:val="24"/>
        </w:rPr>
        <w:t>article</w:t>
      </w:r>
      <w:r w:rsidR="00061BE3" w:rsidRPr="006542AF">
        <w:rPr>
          <w:rFonts w:cs="Times New Roman"/>
          <w:color w:val="000000" w:themeColor="text1"/>
          <w:szCs w:val="24"/>
        </w:rPr>
        <w:t xml:space="preserve"> shows that changes in both life expectancy and lifespan inequality can be expressed as rates of progress in reducing mortality</w:t>
      </w:r>
      <w:r w:rsidR="00B26864" w:rsidRPr="006542AF">
        <w:rPr>
          <w:rFonts w:cs="Times New Roman"/>
          <w:color w:val="000000" w:themeColor="text1"/>
          <w:szCs w:val="24"/>
        </w:rPr>
        <w:t xml:space="preserve"> </w:t>
      </w:r>
      <w:r w:rsidR="00B26864" w:rsidRPr="006542AF">
        <w:rPr>
          <w:rFonts w:cs="Times New Roman"/>
          <w:noProof/>
          <w:color w:val="000000" w:themeColor="text1"/>
          <w:szCs w:val="24"/>
        </w:rPr>
        <w:t>(Aburto</w:t>
      </w:r>
      <w:r w:rsidR="00061BE3" w:rsidRPr="006542AF">
        <w:rPr>
          <w:rFonts w:cs="Times New Roman"/>
          <w:noProof/>
          <w:color w:val="000000" w:themeColor="text1"/>
          <w:szCs w:val="24"/>
        </w:rPr>
        <w:t xml:space="preserve"> </w:t>
      </w:r>
      <w:r w:rsidR="00B26864" w:rsidRPr="006542AF">
        <w:rPr>
          <w:rFonts w:cs="Times New Roman"/>
          <w:noProof/>
          <w:color w:val="000000" w:themeColor="text1"/>
          <w:szCs w:val="24"/>
        </w:rPr>
        <w:t>et al</w:t>
      </w:r>
      <w:r w:rsidR="00061BE3" w:rsidRPr="006542AF">
        <w:rPr>
          <w:rFonts w:cs="Times New Roman"/>
          <w:noProof/>
          <w:color w:val="000000" w:themeColor="text1"/>
          <w:szCs w:val="24"/>
        </w:rPr>
        <w:t xml:space="preserve"> 2020)</w:t>
      </w:r>
      <w:r w:rsidR="00061BE3" w:rsidRPr="006542AF">
        <w:rPr>
          <w:rFonts w:cs="Times New Roman"/>
          <w:color w:val="000000" w:themeColor="text1"/>
          <w:szCs w:val="24"/>
        </w:rPr>
        <w:t>.</w:t>
      </w:r>
      <w:r w:rsidR="00202C5B">
        <w:rPr>
          <w:rFonts w:cs="Times New Roman"/>
          <w:color w:val="000000" w:themeColor="text1"/>
          <w:szCs w:val="24"/>
        </w:rPr>
        <w:t xml:space="preserve"> For example, in 1920 the biggest gains in life expectancy were achieved if progress was concentrated at infancy. In today’s Italy, reducing infant death rates by 5% leads to the same gain in life expectancy of reducing 5% mortality at age 79 (Figure 3). This has potential implications for </w:t>
      </w:r>
      <w:r w:rsidR="00061BE3" w:rsidRPr="006542AF">
        <w:rPr>
          <w:rFonts w:cs="Times New Roman"/>
          <w:color w:val="000000" w:themeColor="text1"/>
          <w:szCs w:val="24"/>
        </w:rPr>
        <w:t>the relationship between life expectancy and lifespan inequalit</w:t>
      </w:r>
      <w:r w:rsidR="00202C5B">
        <w:rPr>
          <w:rFonts w:cs="Times New Roman"/>
          <w:color w:val="000000" w:themeColor="text1"/>
          <w:szCs w:val="24"/>
        </w:rPr>
        <w:t>y</w:t>
      </w:r>
      <w:r w:rsidR="00061BE3" w:rsidRPr="006542AF">
        <w:rPr>
          <w:rFonts w:cs="Times New Roman"/>
          <w:color w:val="000000" w:themeColor="text1"/>
          <w:szCs w:val="24"/>
        </w:rPr>
        <w:t>.</w:t>
      </w:r>
      <w:r w:rsidR="00202C5B">
        <w:rPr>
          <w:rFonts w:cs="Times New Roman"/>
          <w:color w:val="000000" w:themeColor="text1"/>
          <w:szCs w:val="24"/>
        </w:rPr>
        <w:t xml:space="preserve"> </w:t>
      </w:r>
      <w:r w:rsidR="002051CA">
        <w:rPr>
          <w:rFonts w:cs="Times New Roman"/>
          <w:color w:val="000000" w:themeColor="text1"/>
          <w:szCs w:val="24"/>
        </w:rPr>
        <w:t>S</w:t>
      </w:r>
      <w:r w:rsidR="00202C5B">
        <w:rPr>
          <w:rFonts w:cs="Times New Roman"/>
          <w:color w:val="000000" w:themeColor="text1"/>
          <w:szCs w:val="24"/>
        </w:rPr>
        <w:t>aving lives at infancy increases life expectancy and reduces lifespan inequality</w:t>
      </w:r>
      <w:r w:rsidR="002051CA">
        <w:rPr>
          <w:rFonts w:cs="Times New Roman"/>
          <w:color w:val="000000" w:themeColor="text1"/>
          <w:szCs w:val="24"/>
        </w:rPr>
        <w:t>;</w:t>
      </w:r>
      <w:r w:rsidR="00202C5B">
        <w:rPr>
          <w:rFonts w:cs="Times New Roman"/>
          <w:color w:val="000000" w:themeColor="text1"/>
          <w:szCs w:val="24"/>
        </w:rPr>
        <w:t xml:space="preserve"> </w:t>
      </w:r>
      <w:r w:rsidR="002051CA">
        <w:rPr>
          <w:rFonts w:cs="Times New Roman"/>
          <w:color w:val="000000" w:themeColor="text1"/>
          <w:szCs w:val="24"/>
        </w:rPr>
        <w:t xml:space="preserve">however, </w:t>
      </w:r>
      <w:r w:rsidR="00202C5B">
        <w:rPr>
          <w:rFonts w:cs="Times New Roman"/>
          <w:color w:val="000000" w:themeColor="text1"/>
          <w:szCs w:val="24"/>
        </w:rPr>
        <w:t>if progress is placed in ages above age 79 life expectancy and lifespan inequality</w:t>
      </w:r>
      <w:r w:rsidR="002051CA">
        <w:rPr>
          <w:rFonts w:cs="Times New Roman"/>
          <w:color w:val="000000" w:themeColor="text1"/>
          <w:szCs w:val="24"/>
        </w:rPr>
        <w:t xml:space="preserve"> would increase (Figure </w:t>
      </w:r>
      <w:r w:rsidR="00275651">
        <w:rPr>
          <w:rFonts w:cs="Times New Roman"/>
          <w:color w:val="000000" w:themeColor="text1"/>
          <w:szCs w:val="24"/>
        </w:rPr>
        <w:t>3</w:t>
      </w:r>
      <w:r w:rsidR="002051CA">
        <w:rPr>
          <w:rFonts w:cs="Times New Roman"/>
          <w:color w:val="000000" w:themeColor="text1"/>
          <w:szCs w:val="24"/>
        </w:rPr>
        <w:t>)</w:t>
      </w:r>
      <w:r w:rsidR="00202C5B">
        <w:rPr>
          <w:rFonts w:cs="Times New Roman"/>
          <w:color w:val="000000" w:themeColor="text1"/>
          <w:szCs w:val="24"/>
        </w:rPr>
        <w:t xml:space="preserve">. </w:t>
      </w:r>
    </w:p>
    <w:p w14:paraId="466B3D7E" w14:textId="77777777" w:rsidR="00275651" w:rsidRPr="00275651" w:rsidRDefault="00275651" w:rsidP="00F9352A">
      <w:pPr>
        <w:rPr>
          <w:rFonts w:cs="Times New Roman"/>
          <w:color w:val="000000" w:themeColor="text1"/>
          <w:szCs w:val="24"/>
        </w:rPr>
      </w:pPr>
    </w:p>
    <w:p w14:paraId="3A3A6086" w14:textId="29B92253" w:rsidR="00061BE3" w:rsidRPr="006542AF" w:rsidRDefault="00061BE3" w:rsidP="00600E58">
      <w:pPr>
        <w:rPr>
          <w:rFonts w:cs="Times New Roman"/>
          <w:b/>
          <w:color w:val="FF0000"/>
          <w:szCs w:val="24"/>
        </w:rPr>
      </w:pPr>
      <w:r w:rsidRPr="006542AF">
        <w:rPr>
          <w:rFonts w:cs="Times New Roman"/>
          <w:b/>
          <w:szCs w:val="24"/>
        </w:rPr>
        <w:t>Societal implications of increased lifespan inequality</w:t>
      </w:r>
    </w:p>
    <w:p w14:paraId="6C95D543" w14:textId="3DD50486" w:rsidR="00061BE3" w:rsidRPr="006542AF" w:rsidRDefault="00061BE3" w:rsidP="00F9352A">
      <w:pPr>
        <w:rPr>
          <w:rFonts w:cs="Times New Roman"/>
          <w:szCs w:val="24"/>
        </w:rPr>
      </w:pPr>
    </w:p>
    <w:p w14:paraId="23E81E76" w14:textId="1CAE6D66" w:rsidR="00061BE3" w:rsidRDefault="00061BE3" w:rsidP="002C0922">
      <w:pPr>
        <w:rPr>
          <w:rFonts w:cs="Times New Roman"/>
          <w:noProof/>
          <w:szCs w:val="24"/>
        </w:rPr>
      </w:pPr>
      <w:r w:rsidRPr="006542AF">
        <w:rPr>
          <w:rFonts w:cs="Times New Roman"/>
          <w:szCs w:val="24"/>
        </w:rPr>
        <w:t>If both long lives and equal lifespans matter, we can think of the best possible scenario as one where people not only live longer, but also face progressively less uncertainty around when they will die. However, this has not always been the case as – in certain countries, during specific periods - lifespan inequality has been shown to stall or even increase despite improvements in life expectancy</w:t>
      </w:r>
      <w:r w:rsidR="00213CE4">
        <w:rPr>
          <w:rFonts w:cs="Times New Roman"/>
          <w:szCs w:val="24"/>
        </w:rPr>
        <w:t>, or vice versa</w:t>
      </w:r>
      <w:r w:rsidRPr="006542AF">
        <w:rPr>
          <w:rFonts w:cs="Times New Roman"/>
          <w:szCs w:val="24"/>
        </w:rPr>
        <w:t>.</w:t>
      </w:r>
      <w:r w:rsidR="00275651">
        <w:rPr>
          <w:rFonts w:cs="Times New Roman"/>
          <w:szCs w:val="24"/>
        </w:rPr>
        <w:t xml:space="preserve"> During 1960-1980</w:t>
      </w:r>
      <w:r w:rsidR="00213CE4">
        <w:rPr>
          <w:rFonts w:cs="Times New Roman"/>
          <w:szCs w:val="24"/>
        </w:rPr>
        <w:t xml:space="preserve"> in Central and Eastern </w:t>
      </w:r>
      <w:r w:rsidR="00213CE4">
        <w:rPr>
          <w:rFonts w:cs="Times New Roman"/>
          <w:szCs w:val="24"/>
        </w:rPr>
        <w:lastRenderedPageBreak/>
        <w:t>Europe, life expectancy and lifespan inequality moved independent of each other more than half of the time largely due to changes in mortality at midlife</w:t>
      </w:r>
      <w:r w:rsidR="00147D88">
        <w:rPr>
          <w:rFonts w:cs="Times New Roman"/>
          <w:szCs w:val="24"/>
        </w:rPr>
        <w:t xml:space="preserve"> </w:t>
      </w:r>
      <w:r w:rsidR="00147D88" w:rsidRPr="006542AF">
        <w:rPr>
          <w:rFonts w:cs="Times New Roman"/>
          <w:noProof/>
          <w:color w:val="000000" w:themeColor="text1"/>
          <w:szCs w:val="24"/>
        </w:rPr>
        <w:t>(Aburto et al 2020)</w:t>
      </w:r>
      <w:r w:rsidR="00213CE4">
        <w:rPr>
          <w:rFonts w:cs="Times New Roman"/>
          <w:szCs w:val="24"/>
        </w:rPr>
        <w:t xml:space="preserve">. </w:t>
      </w:r>
      <w:r w:rsidRPr="006542AF">
        <w:rPr>
          <w:rFonts w:cs="Times New Roman"/>
          <w:szCs w:val="24"/>
        </w:rPr>
        <w:t>Similarly, among males in Venezuela</w:t>
      </w:r>
      <w:r w:rsidR="00213CE4">
        <w:rPr>
          <w:rFonts w:cs="Times New Roman"/>
          <w:szCs w:val="24"/>
        </w:rPr>
        <w:t xml:space="preserve"> from 1996 to 2013</w:t>
      </w:r>
      <w:r w:rsidRPr="006542AF">
        <w:rPr>
          <w:rFonts w:cs="Times New Roman"/>
          <w:szCs w:val="24"/>
        </w:rPr>
        <w:t>, life expectancy increased</w:t>
      </w:r>
      <w:r w:rsidR="00213CE4">
        <w:rPr>
          <w:rFonts w:cs="Times New Roman"/>
          <w:szCs w:val="24"/>
        </w:rPr>
        <w:t xml:space="preserve"> (69.4 to 71 years)</w:t>
      </w:r>
      <w:r w:rsidRPr="006542AF">
        <w:rPr>
          <w:rFonts w:cs="Times New Roman"/>
          <w:szCs w:val="24"/>
        </w:rPr>
        <w:t xml:space="preserve"> together with lifespan inequality </w:t>
      </w:r>
      <w:r w:rsidR="00213CE4">
        <w:rPr>
          <w:rFonts w:cs="Times New Roman"/>
          <w:szCs w:val="24"/>
        </w:rPr>
        <w:t>(SD from 20.7 to 21.7 years)</w:t>
      </w:r>
      <w:r w:rsidR="006E79E6">
        <w:rPr>
          <w:rFonts w:cs="Times New Roman"/>
          <w:szCs w:val="24"/>
        </w:rPr>
        <w:t>. This resulted from progress made at almost all ages including infant mortality offset by increased violent deaths concentrated among young males</w:t>
      </w:r>
      <w:r w:rsidR="006E79E6">
        <w:rPr>
          <w:rFonts w:cs="Times New Roman"/>
          <w:noProof/>
          <w:szCs w:val="24"/>
        </w:rPr>
        <w:t xml:space="preserve"> </w:t>
      </w:r>
      <w:r w:rsidRPr="006542AF">
        <w:rPr>
          <w:rFonts w:cs="Times New Roman"/>
          <w:noProof/>
          <w:szCs w:val="24"/>
        </w:rPr>
        <w:t>(García &amp; Aburto, 2019)</w:t>
      </w:r>
      <w:r w:rsidRPr="006542AF">
        <w:rPr>
          <w:rFonts w:cs="Times New Roman"/>
          <w:szCs w:val="24"/>
        </w:rPr>
        <w:t>.</w:t>
      </w:r>
    </w:p>
    <w:p w14:paraId="28B63969" w14:textId="77777777" w:rsidR="00275651" w:rsidRPr="006542AF" w:rsidRDefault="00275651" w:rsidP="002C0922">
      <w:pPr>
        <w:rPr>
          <w:rFonts w:cs="Times New Roman"/>
          <w:szCs w:val="24"/>
        </w:rPr>
      </w:pPr>
    </w:p>
    <w:p w14:paraId="6C65237D" w14:textId="295CB192" w:rsidR="00061BE3" w:rsidRPr="006542AF" w:rsidRDefault="00061BE3" w:rsidP="002C0922">
      <w:pPr>
        <w:rPr>
          <w:rFonts w:cs="Times New Roman"/>
          <w:szCs w:val="24"/>
        </w:rPr>
      </w:pPr>
      <w:r w:rsidRPr="006542AF">
        <w:rPr>
          <w:rFonts w:cs="Times New Roman"/>
          <w:szCs w:val="24"/>
        </w:rPr>
        <w:t>The weakening or reversal of the negative relationship between lifespan inequality and life expectancy means that, while people live longer on average, individuals also face greater uncertainty around when they will die. Differences in lifespan inequality are critical because, in making important life decisions, people are influenced by the mortality experience of those around them</w:t>
      </w:r>
      <w:bookmarkStart w:id="0" w:name="_GoBack"/>
      <w:bookmarkEnd w:id="0"/>
      <w:r w:rsidRPr="006542AF">
        <w:rPr>
          <w:rFonts w:cs="Times New Roman"/>
          <w:szCs w:val="24"/>
        </w:rPr>
        <w:t>. Higher uncertainty will affect decisions such as whether and when to invest in education, migrate, buy a house, or retire. Studies have shown that, within a society, such increased uncertainty is likely to be concentrated among those from disadvantaged socio-economic groups.</w:t>
      </w:r>
      <w:r w:rsidR="00B6373E">
        <w:rPr>
          <w:rFonts w:cs="Times New Roman"/>
          <w:szCs w:val="24"/>
        </w:rPr>
        <w:t xml:space="preserve"> In Finland over the period 1971-2014, subgroups with low education level and with the lowest income increased lifespan inequality</w:t>
      </w:r>
      <w:r w:rsidR="00D25AD1">
        <w:rPr>
          <w:rFonts w:cs="Times New Roman"/>
          <w:szCs w:val="24"/>
        </w:rPr>
        <w:t xml:space="preserve"> while those from more-advantaged groups reduced lifespan inequality</w:t>
      </w:r>
      <w:r w:rsidR="00B6373E">
        <w:rPr>
          <w:rFonts w:cs="Times New Roman"/>
          <w:szCs w:val="24"/>
        </w:rPr>
        <w:t xml:space="preserve"> </w:t>
      </w:r>
      <w:r w:rsidR="00B6373E" w:rsidRPr="006542AF">
        <w:rPr>
          <w:rFonts w:cs="Times New Roman"/>
          <w:noProof/>
          <w:szCs w:val="24"/>
        </w:rPr>
        <w:t>(van Raalte et al., 2018)</w:t>
      </w:r>
      <w:r w:rsidR="00B6373E">
        <w:rPr>
          <w:rFonts w:cs="Times New Roman"/>
          <w:szCs w:val="24"/>
        </w:rPr>
        <w:t>.</w:t>
      </w:r>
      <w:r w:rsidR="00D25AD1">
        <w:rPr>
          <w:rFonts w:cs="Times New Roman"/>
          <w:szCs w:val="24"/>
        </w:rPr>
        <w:t xml:space="preserve"> Diverging patterns in lifespan inequality by socioeconomic groups </w:t>
      </w:r>
      <w:r w:rsidRPr="006542AF">
        <w:rPr>
          <w:rFonts w:cs="Times New Roman"/>
          <w:szCs w:val="24"/>
        </w:rPr>
        <w:t>may have important consequences for the perpetuation of social inequalities. For instance, faced with greater uncertainty about their own lifespan, individuals from disadvantaged socio-economic backgrounds risk making unfavorable financial decisions and this could further reduce their financial resources later in life. 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 than the rich; they may also be less able to plan around the timing of those transfers. Given the importance of these transfers for the recipients’ socio-economic conditions, higher lifespan inequality may strengthen the transmission of disadvantage across generations, reducing intergenerational social mobility.</w:t>
      </w:r>
    </w:p>
    <w:p w14:paraId="7F0F57B6" w14:textId="77777777" w:rsidR="00061BE3" w:rsidRPr="006542AF" w:rsidRDefault="00061BE3" w:rsidP="002C0922">
      <w:pPr>
        <w:rPr>
          <w:rFonts w:cs="Times New Roman"/>
          <w:szCs w:val="24"/>
        </w:rPr>
      </w:pPr>
    </w:p>
    <w:p w14:paraId="0AA4D123" w14:textId="77777777" w:rsidR="00061BE3" w:rsidRPr="006542AF" w:rsidRDefault="00061BE3" w:rsidP="002C0922">
      <w:pPr>
        <w:rPr>
          <w:rFonts w:cs="Times New Roman"/>
          <w:b/>
          <w:bCs/>
          <w:szCs w:val="24"/>
        </w:rPr>
      </w:pPr>
      <w:r w:rsidRPr="006542AF">
        <w:rPr>
          <w:rFonts w:cs="Times New Roman"/>
          <w:b/>
          <w:bCs/>
          <w:szCs w:val="24"/>
        </w:rPr>
        <w:t>The significance of including lifespan inequality in policy and research</w:t>
      </w:r>
    </w:p>
    <w:p w14:paraId="6FF7F478" w14:textId="77777777" w:rsidR="00061BE3" w:rsidRPr="006542AF" w:rsidRDefault="00061BE3" w:rsidP="002C0922">
      <w:pPr>
        <w:rPr>
          <w:rFonts w:cs="Times New Roman"/>
          <w:b/>
          <w:bCs/>
          <w:szCs w:val="24"/>
        </w:rPr>
      </w:pPr>
    </w:p>
    <w:p w14:paraId="166A87BF" w14:textId="71501813" w:rsidR="00061BE3" w:rsidRPr="006542AF" w:rsidRDefault="006E79E6" w:rsidP="00F9352A">
      <w:pPr>
        <w:rPr>
          <w:rFonts w:cs="Times New Roman"/>
          <w:szCs w:val="24"/>
        </w:rPr>
      </w:pPr>
      <w:r>
        <w:rPr>
          <w:rFonts w:cs="Times New Roman"/>
          <w:szCs w:val="24"/>
        </w:rPr>
        <w:t>I</w:t>
      </w:r>
      <w:r w:rsidR="00061BE3" w:rsidRPr="006542AF">
        <w:rPr>
          <w:rFonts w:cs="Times New Roman"/>
          <w:szCs w:val="24"/>
        </w:rPr>
        <w:t>ncreasing the average age at death alone is not enough for guaranteeing a more equitable distribution of the length of life. An important message of this research is that policies and interventions can affect this relationship by reducing mortality at the ages that matter the most.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There is reason to believe that more equal or socially cohesive societies may be more effective at reducing lifespan inequality, for example through reductions in violent crimes or greater access to preventive healthcare across all socio-economic groups. These are promising avenues for future research linking demographic phenomena to the broader societal context in which they take place, with important implications for social policy.</w:t>
      </w:r>
    </w:p>
    <w:p w14:paraId="167498E3" w14:textId="77777777" w:rsidR="00061BE3" w:rsidRPr="006542AF" w:rsidRDefault="00061BE3" w:rsidP="00F9352A">
      <w:pPr>
        <w:rPr>
          <w:rFonts w:cs="Times New Roman"/>
          <w:i/>
          <w:iCs/>
          <w:szCs w:val="24"/>
        </w:rPr>
      </w:pPr>
    </w:p>
    <w:p w14:paraId="04BF21D0" w14:textId="77777777" w:rsidR="00AD666E" w:rsidRPr="006542AF" w:rsidRDefault="00061BE3" w:rsidP="00AD666E">
      <w:pPr>
        <w:rPr>
          <w:rFonts w:cs="Times New Roman"/>
          <w:noProof/>
          <w:szCs w:val="24"/>
          <w:lang w:val="es-MX"/>
        </w:rPr>
      </w:pPr>
      <w:r w:rsidRPr="006542AF">
        <w:rPr>
          <w:rFonts w:cs="Times New Roman"/>
          <w:b/>
          <w:bCs/>
          <w:szCs w:val="24"/>
          <w:lang w:val="es-MX"/>
        </w:rPr>
        <w:t>References</w:t>
      </w:r>
    </w:p>
    <w:p w14:paraId="0A166B35" w14:textId="5174C19F" w:rsidR="00061BE3" w:rsidRPr="006542AF" w:rsidRDefault="000F503E" w:rsidP="00AD666E">
      <w:pPr>
        <w:pStyle w:val="EndNoteBibliography"/>
        <w:ind w:left="720" w:hanging="720"/>
        <w:rPr>
          <w:rFonts w:ascii="Times New Roman" w:hAnsi="Times New Roman" w:cs="Times New Roman"/>
          <w:szCs w:val="24"/>
        </w:rPr>
      </w:pPr>
      <w:hyperlink r:id="rId10" w:history="1">
        <w:r w:rsidR="00AD666E" w:rsidRPr="006542AF">
          <w:rPr>
            <w:rStyle w:val="Hyperlink"/>
            <w:rFonts w:ascii="Times New Roman" w:hAnsi="Times New Roman" w:cs="Times New Roman"/>
            <w:szCs w:val="24"/>
            <w:lang w:val="es-MX"/>
          </w:rPr>
          <w:t xml:space="preserve">Aburto, J. M., Villavicencio, F., Basellini, U., Kjærgaard, S., &amp; Vaupel, J. W. (2020). </w:t>
        </w:r>
        <w:r w:rsidR="00AD666E" w:rsidRPr="006542AF">
          <w:rPr>
            <w:rStyle w:val="Hyperlink"/>
            <w:rFonts w:ascii="Times New Roman" w:hAnsi="Times New Roman" w:cs="Times New Roman"/>
            <w:szCs w:val="24"/>
          </w:rPr>
          <w:t xml:space="preserve">Dynamics of life expectancy and life span equality. </w:t>
        </w:r>
        <w:r w:rsidR="00AD666E" w:rsidRPr="006542AF">
          <w:rPr>
            <w:rStyle w:val="Hyperlink"/>
            <w:rFonts w:ascii="Times New Roman" w:hAnsi="Times New Roman" w:cs="Times New Roman"/>
            <w:i/>
            <w:szCs w:val="24"/>
          </w:rPr>
          <w:t>Proceedings of the National Academy of Sciences</w:t>
        </w:r>
        <w:r w:rsidR="00AD666E" w:rsidRPr="006542AF">
          <w:rPr>
            <w:rStyle w:val="Hyperlink"/>
            <w:rFonts w:ascii="Times New Roman" w:hAnsi="Times New Roman" w:cs="Times New Roman"/>
            <w:szCs w:val="24"/>
          </w:rPr>
          <w:t>.</w:t>
        </w:r>
      </w:hyperlink>
      <w:r w:rsidR="00AD666E" w:rsidRPr="006542AF">
        <w:rPr>
          <w:rFonts w:ascii="Times New Roman" w:hAnsi="Times New Roman" w:cs="Times New Roman"/>
          <w:szCs w:val="24"/>
        </w:rPr>
        <w:t xml:space="preserve"> </w:t>
      </w:r>
      <w:r w:rsidR="00061BE3" w:rsidRPr="006542AF">
        <w:rPr>
          <w:rFonts w:ascii="Times New Roman" w:hAnsi="Times New Roman" w:cs="Times New Roman"/>
          <w:szCs w:val="24"/>
        </w:rPr>
        <w:t xml:space="preserve"> </w:t>
      </w:r>
    </w:p>
    <w:p w14:paraId="72D9D373" w14:textId="77777777" w:rsidR="00147D88" w:rsidRDefault="00061BE3" w:rsidP="00454316">
      <w:pPr>
        <w:pStyle w:val="EndNoteBibliography"/>
        <w:ind w:left="720" w:hanging="720"/>
        <w:rPr>
          <w:rFonts w:ascii="Times New Roman" w:hAnsi="Times New Roman" w:cs="Times New Roman"/>
          <w:szCs w:val="24"/>
        </w:rPr>
      </w:pPr>
      <w:r w:rsidRPr="006542AF">
        <w:rPr>
          <w:rFonts w:ascii="Times New Roman" w:hAnsi="Times New Roman" w:cs="Times New Roman"/>
          <w:szCs w:val="24"/>
          <w:lang w:val="es-MX"/>
        </w:rPr>
        <w:t xml:space="preserve">García, J., &amp; Aburto, J. M. (2019). </w:t>
      </w:r>
      <w:r w:rsidRPr="006542AF">
        <w:rPr>
          <w:rFonts w:ascii="Times New Roman" w:hAnsi="Times New Roman" w:cs="Times New Roman"/>
          <w:szCs w:val="24"/>
        </w:rPr>
        <w:t xml:space="preserve">The impact of violence on Venezuelan life expectancy and lifespan inequality. </w:t>
      </w:r>
      <w:r w:rsidRPr="006542AF">
        <w:rPr>
          <w:rFonts w:ascii="Times New Roman" w:hAnsi="Times New Roman" w:cs="Times New Roman"/>
          <w:i/>
          <w:szCs w:val="24"/>
        </w:rPr>
        <w:t>International journal of epidemiology</w:t>
      </w:r>
      <w:r w:rsidRPr="006542AF">
        <w:rPr>
          <w:rFonts w:ascii="Times New Roman" w:hAnsi="Times New Roman" w:cs="Times New Roman"/>
          <w:szCs w:val="24"/>
        </w:rPr>
        <w:t xml:space="preserve">. </w:t>
      </w:r>
    </w:p>
    <w:p w14:paraId="497C9877" w14:textId="1A84C72D" w:rsidR="00061BE3" w:rsidRPr="006542AF" w:rsidRDefault="00061BE3" w:rsidP="00454316">
      <w:pPr>
        <w:pStyle w:val="EndNoteBibliography"/>
        <w:ind w:left="720" w:hanging="720"/>
        <w:rPr>
          <w:rFonts w:ascii="Times New Roman" w:hAnsi="Times New Roman" w:cs="Times New Roman"/>
          <w:szCs w:val="24"/>
        </w:rPr>
      </w:pPr>
      <w:r w:rsidRPr="006542AF">
        <w:rPr>
          <w:rFonts w:ascii="Times New Roman" w:hAnsi="Times New Roman" w:cs="Times New Roman"/>
          <w:szCs w:val="24"/>
        </w:rPr>
        <w:t xml:space="preserve">Smits, J., &amp; Monden, C. (2009). Length of life inequality around the globe. </w:t>
      </w:r>
      <w:r w:rsidRPr="006542AF">
        <w:rPr>
          <w:rFonts w:ascii="Times New Roman" w:hAnsi="Times New Roman" w:cs="Times New Roman"/>
          <w:i/>
          <w:szCs w:val="24"/>
        </w:rPr>
        <w:t>Social Science &amp; Medicine, 68</w:t>
      </w:r>
      <w:r w:rsidRPr="006542AF">
        <w:rPr>
          <w:rFonts w:ascii="Times New Roman" w:hAnsi="Times New Roman" w:cs="Times New Roman"/>
          <w:szCs w:val="24"/>
        </w:rPr>
        <w:t xml:space="preserve">(6), 1114-1123. </w:t>
      </w:r>
    </w:p>
    <w:p w14:paraId="3EE69738" w14:textId="4498594A" w:rsidR="00F26A14" w:rsidRPr="006542AF" w:rsidRDefault="00061BE3" w:rsidP="00EB5C25">
      <w:pPr>
        <w:pStyle w:val="EndNoteBibliography"/>
        <w:ind w:left="720" w:hanging="720"/>
        <w:rPr>
          <w:rFonts w:ascii="Times New Roman" w:hAnsi="Times New Roman" w:cs="Times New Roman"/>
          <w:szCs w:val="24"/>
        </w:rPr>
      </w:pPr>
      <w:r w:rsidRPr="006542AF">
        <w:rPr>
          <w:rFonts w:ascii="Times New Roman" w:hAnsi="Times New Roman" w:cs="Times New Roman"/>
          <w:szCs w:val="24"/>
        </w:rPr>
        <w:t xml:space="preserve">van Raalte, A. A., Sasson, I., &amp; Martikainen, P. (2018). The case for monitoring life-span inequality. </w:t>
      </w:r>
      <w:r w:rsidRPr="006542AF">
        <w:rPr>
          <w:rFonts w:ascii="Times New Roman" w:hAnsi="Times New Roman" w:cs="Times New Roman"/>
          <w:i/>
          <w:szCs w:val="24"/>
        </w:rPr>
        <w:t>Science, 362</w:t>
      </w:r>
      <w:r w:rsidRPr="006542AF">
        <w:rPr>
          <w:rFonts w:ascii="Times New Roman" w:hAnsi="Times New Roman" w:cs="Times New Roman"/>
          <w:szCs w:val="24"/>
        </w:rPr>
        <w:t xml:space="preserve">(6418), 1002-1004. </w:t>
      </w:r>
    </w:p>
    <w:sectPr w:rsidR="00F26A14" w:rsidRPr="006542AF"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61BE3"/>
    <w:rsid w:val="00030C2D"/>
    <w:rsid w:val="00061BE3"/>
    <w:rsid w:val="000B162C"/>
    <w:rsid w:val="000F503E"/>
    <w:rsid w:val="00100A57"/>
    <w:rsid w:val="00147D88"/>
    <w:rsid w:val="001A6CDB"/>
    <w:rsid w:val="001E608B"/>
    <w:rsid w:val="00202C5B"/>
    <w:rsid w:val="002051CA"/>
    <w:rsid w:val="00213CE4"/>
    <w:rsid w:val="00231750"/>
    <w:rsid w:val="00275651"/>
    <w:rsid w:val="002974A9"/>
    <w:rsid w:val="002A6C7E"/>
    <w:rsid w:val="002C3C74"/>
    <w:rsid w:val="002C7906"/>
    <w:rsid w:val="003C57CD"/>
    <w:rsid w:val="0043717C"/>
    <w:rsid w:val="0045052E"/>
    <w:rsid w:val="004F6DAA"/>
    <w:rsid w:val="00504AF2"/>
    <w:rsid w:val="005348CB"/>
    <w:rsid w:val="00587292"/>
    <w:rsid w:val="005B3F11"/>
    <w:rsid w:val="006048DF"/>
    <w:rsid w:val="006542AF"/>
    <w:rsid w:val="00656669"/>
    <w:rsid w:val="006E79E6"/>
    <w:rsid w:val="007164DE"/>
    <w:rsid w:val="0074638C"/>
    <w:rsid w:val="00750323"/>
    <w:rsid w:val="00821348"/>
    <w:rsid w:val="00836A20"/>
    <w:rsid w:val="00892ED3"/>
    <w:rsid w:val="008B2901"/>
    <w:rsid w:val="009C692A"/>
    <w:rsid w:val="00A3728E"/>
    <w:rsid w:val="00A54AD8"/>
    <w:rsid w:val="00AD4E17"/>
    <w:rsid w:val="00AD666E"/>
    <w:rsid w:val="00AE1154"/>
    <w:rsid w:val="00AE77FC"/>
    <w:rsid w:val="00AF54F7"/>
    <w:rsid w:val="00B26864"/>
    <w:rsid w:val="00B6373E"/>
    <w:rsid w:val="00C4577E"/>
    <w:rsid w:val="00C7074E"/>
    <w:rsid w:val="00C77E1D"/>
    <w:rsid w:val="00D014F6"/>
    <w:rsid w:val="00D0162C"/>
    <w:rsid w:val="00D13A70"/>
    <w:rsid w:val="00D25AD1"/>
    <w:rsid w:val="00D33A24"/>
    <w:rsid w:val="00DA1145"/>
    <w:rsid w:val="00E9564A"/>
    <w:rsid w:val="00EB5C25"/>
    <w:rsid w:val="00F26A14"/>
    <w:rsid w:val="00F52AE6"/>
    <w:rsid w:val="00FC5164"/>
    <w:rsid w:val="00FE43A0"/>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7B6"/>
  <w15:chartTrackingRefBased/>
  <w15:docId w15:val="{3836A6E8-483F-4919-B9FE-19E173B8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AE6"/>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BE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E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1BE3"/>
    <w:rPr>
      <w:sz w:val="18"/>
      <w:szCs w:val="18"/>
    </w:rPr>
  </w:style>
  <w:style w:type="paragraph" w:styleId="CommentText">
    <w:name w:val="annotation text"/>
    <w:basedOn w:val="Normal"/>
    <w:link w:val="CommentTextChar"/>
    <w:uiPriority w:val="99"/>
    <w:semiHidden/>
    <w:unhideWhenUsed/>
    <w:rsid w:val="00061BE3"/>
    <w:pPr>
      <w:spacing w:line="240" w:lineRule="auto"/>
    </w:pPr>
    <w:rPr>
      <w:szCs w:val="24"/>
    </w:rPr>
  </w:style>
  <w:style w:type="character" w:customStyle="1" w:styleId="CommentTextChar">
    <w:name w:val="Comment Text Char"/>
    <w:basedOn w:val="DefaultParagraphFont"/>
    <w:link w:val="CommentText"/>
    <w:uiPriority w:val="99"/>
    <w:semiHidden/>
    <w:rsid w:val="00061BE3"/>
    <w:rPr>
      <w:sz w:val="24"/>
      <w:szCs w:val="24"/>
    </w:rPr>
  </w:style>
  <w:style w:type="paragraph" w:styleId="CommentSubject">
    <w:name w:val="annotation subject"/>
    <w:basedOn w:val="CommentText"/>
    <w:next w:val="CommentText"/>
    <w:link w:val="CommentSubjectChar"/>
    <w:uiPriority w:val="99"/>
    <w:semiHidden/>
    <w:unhideWhenUsed/>
    <w:rsid w:val="00061BE3"/>
    <w:rPr>
      <w:b/>
      <w:bCs/>
      <w:sz w:val="20"/>
      <w:szCs w:val="20"/>
    </w:rPr>
  </w:style>
  <w:style w:type="character" w:customStyle="1" w:styleId="CommentSubjectChar">
    <w:name w:val="Comment Subject Char"/>
    <w:basedOn w:val="CommentTextChar"/>
    <w:link w:val="CommentSubject"/>
    <w:uiPriority w:val="99"/>
    <w:semiHidden/>
    <w:rsid w:val="00061BE3"/>
    <w:rPr>
      <w:b/>
      <w:bCs/>
      <w:sz w:val="20"/>
      <w:szCs w:val="20"/>
    </w:rPr>
  </w:style>
  <w:style w:type="paragraph" w:styleId="Revision">
    <w:name w:val="Revision"/>
    <w:hidden/>
    <w:uiPriority w:val="99"/>
    <w:semiHidden/>
    <w:rsid w:val="00061BE3"/>
    <w:pPr>
      <w:spacing w:after="0" w:line="240" w:lineRule="auto"/>
    </w:pPr>
  </w:style>
  <w:style w:type="paragraph" w:customStyle="1" w:styleId="EndNoteBibliographyTitle">
    <w:name w:val="EndNote Bibliography Title"/>
    <w:basedOn w:val="Normal"/>
    <w:link w:val="EndNoteBibliographyTitleChar"/>
    <w:rsid w:val="00061BE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52AE6"/>
    <w:rPr>
      <w:rFonts w:ascii="Calibri" w:hAnsi="Calibri" w:cs="Calibri"/>
      <w:noProof/>
    </w:rPr>
  </w:style>
  <w:style w:type="paragraph" w:customStyle="1" w:styleId="EndNoteBibliography">
    <w:name w:val="EndNote Bibliography"/>
    <w:basedOn w:val="Normal"/>
    <w:link w:val="EndNoteBibliographyChar"/>
    <w:rsid w:val="00061BE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52AE6"/>
    <w:rPr>
      <w:rFonts w:ascii="Calibri" w:hAnsi="Calibri" w:cs="Calibri"/>
      <w:noProof/>
    </w:rPr>
  </w:style>
  <w:style w:type="character" w:styleId="Hyperlink">
    <w:name w:val="Hyperlink"/>
    <w:basedOn w:val="DefaultParagraphFont"/>
    <w:uiPriority w:val="99"/>
    <w:unhideWhenUsed/>
    <w:rsid w:val="00061BE3"/>
    <w:rPr>
      <w:color w:val="0563C1" w:themeColor="hyperlink"/>
      <w:u w:val="single"/>
    </w:rPr>
  </w:style>
  <w:style w:type="character" w:customStyle="1" w:styleId="UnresolvedMention1">
    <w:name w:val="Unresolved Mention1"/>
    <w:basedOn w:val="DefaultParagraphFont"/>
    <w:uiPriority w:val="99"/>
    <w:semiHidden/>
    <w:unhideWhenUsed/>
    <w:rsid w:val="00061BE3"/>
    <w:rPr>
      <w:color w:val="605E5C"/>
      <w:shd w:val="clear" w:color="auto" w:fill="E1DFDD"/>
    </w:rPr>
  </w:style>
  <w:style w:type="character" w:styleId="FollowedHyperlink">
    <w:name w:val="FollowedHyperlink"/>
    <w:basedOn w:val="DefaultParagraphFont"/>
    <w:uiPriority w:val="99"/>
    <w:semiHidden/>
    <w:unhideWhenUsed/>
    <w:rsid w:val="00C70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1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073/pnas.1915884117"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5A4C7ABFEB343844A043CADB8B984" ma:contentTypeVersion="13" ma:contentTypeDescription="Opret et nyt dokument." ma:contentTypeScope="" ma:versionID="e2d4cb21d998a8a9c204251bf7f82a46">
  <xsd:schema xmlns:xsd="http://www.w3.org/2001/XMLSchema" xmlns:xs="http://www.w3.org/2001/XMLSchema" xmlns:p="http://schemas.microsoft.com/office/2006/metadata/properties" xmlns:ns3="48d5f7b2-7979-472a-bbec-1989c9c91748" xmlns:ns4="7f9bf46c-f50b-466a-ad72-e22a8cd5fe80" targetNamespace="http://schemas.microsoft.com/office/2006/metadata/properties" ma:root="true" ma:fieldsID="7ae254f95290411bb7a14f967a8d8bbc" ns3:_="" ns4:_="">
    <xsd:import namespace="48d5f7b2-7979-472a-bbec-1989c9c91748"/>
    <xsd:import namespace="7f9bf46c-f50b-466a-ad72-e22a8cd5fe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5f7b2-7979-472a-bbec-1989c9c91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bf46c-f50b-466a-ad72-e22a8cd5fe8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54403-1401-47AE-BD65-638B48BE6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5f7b2-7979-472a-bbec-1989c9c91748"/>
    <ds:schemaRef ds:uri="7f9bf46c-f50b-466a-ad72-e22a8cd5f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85418-C774-4A2B-B23D-F0679E6C87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6F6F30-CBCF-46DA-87A9-568F2A53BD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4</Pages>
  <Words>1253</Words>
  <Characters>7143</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39</cp:revision>
  <dcterms:created xsi:type="dcterms:W3CDTF">2020-03-18T09:51:00Z</dcterms:created>
  <dcterms:modified xsi:type="dcterms:W3CDTF">2020-03-24T18:57:00Z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{06F5AA33-DC6C-4798-B8A0-8CD0FA6865DE}</vt:lpwstr>
  </property>
  <property fmtid="{D5CDD505-2E9C-101B-9397-08002B2CF9AE}" pid="3" name="ContentTypeId">
    <vt:lpwstr>0x0101008485A4C7ABFEB343844A043CADB8B984</vt:lpwstr>
  </property>
</Properties>
</file>