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7E2" w:rsidRPr="00385E11" w:rsidRDefault="00897FA5">
      <w:pPr>
        <w:rPr>
          <w:rFonts w:ascii="Times New Roman" w:hAnsi="Times New Roman" w:cs="Times New Roman"/>
          <w:b/>
        </w:rPr>
      </w:pPr>
      <w:r w:rsidRPr="00385E11">
        <w:rPr>
          <w:rFonts w:ascii="Times New Roman" w:hAnsi="Times New Roman" w:cs="Times New Roman"/>
          <w:b/>
        </w:rPr>
        <w:t xml:space="preserve">Title: </w:t>
      </w:r>
      <w:r w:rsidR="00EA4EB0" w:rsidRPr="00385E11">
        <w:rPr>
          <w:rFonts w:ascii="Times New Roman" w:hAnsi="Times New Roman" w:cs="Times New Roman"/>
          <w:b/>
        </w:rPr>
        <w:t>Homicides increase</w:t>
      </w:r>
      <w:r w:rsidR="007452CB" w:rsidRPr="00385E11">
        <w:rPr>
          <w:rFonts w:ascii="Times New Roman" w:hAnsi="Times New Roman" w:cs="Times New Roman"/>
          <w:b/>
        </w:rPr>
        <w:t xml:space="preserve"> variation i</w:t>
      </w:r>
      <w:r w:rsidR="00D43270" w:rsidRPr="00385E11">
        <w:rPr>
          <w:rFonts w:ascii="Times New Roman" w:hAnsi="Times New Roman" w:cs="Times New Roman"/>
          <w:b/>
        </w:rPr>
        <w:t>n</w:t>
      </w:r>
      <w:r w:rsidR="00991CA3" w:rsidRPr="00385E11">
        <w:rPr>
          <w:rFonts w:ascii="Times New Roman" w:hAnsi="Times New Roman" w:cs="Times New Roman"/>
          <w:b/>
        </w:rPr>
        <w:t xml:space="preserve"> lifespan</w:t>
      </w:r>
      <w:r w:rsidR="00EA4EB0" w:rsidRPr="00385E11">
        <w:rPr>
          <w:rFonts w:ascii="Times New Roman" w:hAnsi="Times New Roman" w:cs="Times New Roman"/>
          <w:b/>
        </w:rPr>
        <w:t>s</w:t>
      </w:r>
      <w:r w:rsidR="00991CA3" w:rsidRPr="00385E11">
        <w:rPr>
          <w:rFonts w:ascii="Times New Roman" w:hAnsi="Times New Roman" w:cs="Times New Roman"/>
          <w:b/>
        </w:rPr>
        <w:t xml:space="preserve"> in Mexico</w:t>
      </w:r>
      <w:r w:rsidR="00EA4EB0" w:rsidRPr="00385E11">
        <w:rPr>
          <w:rFonts w:ascii="Times New Roman" w:hAnsi="Times New Roman" w:cs="Times New Roman"/>
          <w:b/>
        </w:rPr>
        <w:t xml:space="preserve"> and its States</w:t>
      </w:r>
      <w:r w:rsidR="00991CA3" w:rsidRPr="00385E11">
        <w:rPr>
          <w:rFonts w:ascii="Times New Roman" w:hAnsi="Times New Roman" w:cs="Times New Roman"/>
          <w:b/>
        </w:rPr>
        <w:t>, 2005-2015</w:t>
      </w:r>
      <w:r w:rsidR="006B0500" w:rsidRPr="00385E11">
        <w:rPr>
          <w:rFonts w:ascii="Times New Roman" w:hAnsi="Times New Roman" w:cs="Times New Roman"/>
          <w:b/>
        </w:rPr>
        <w:t>.</w:t>
      </w:r>
    </w:p>
    <w:p w:rsidR="007C17E2" w:rsidRPr="00385E11" w:rsidRDefault="00897FA5">
      <w:pPr>
        <w:rPr>
          <w:rFonts w:ascii="Times New Roman" w:hAnsi="Times New Roman" w:cs="Times New Roman"/>
          <w:vertAlign w:val="superscript"/>
        </w:rPr>
      </w:pPr>
      <w:r w:rsidRPr="00385E11">
        <w:rPr>
          <w:rFonts w:ascii="Times New Roman" w:hAnsi="Times New Roman" w:cs="Times New Roman"/>
          <w:b/>
        </w:rPr>
        <w:t>Authors:</w:t>
      </w:r>
      <w:r w:rsidRPr="00385E11">
        <w:rPr>
          <w:rFonts w:ascii="Times New Roman" w:hAnsi="Times New Roman" w:cs="Times New Roman"/>
        </w:rPr>
        <w:t xml:space="preserve"> José Manuel Aburto </w:t>
      </w:r>
      <w:r w:rsidRPr="00385E11">
        <w:rPr>
          <w:rFonts w:ascii="Times New Roman" w:hAnsi="Times New Roman" w:cs="Times New Roman"/>
          <w:vertAlign w:val="superscript"/>
        </w:rPr>
        <w:t>a</w:t>
      </w:r>
      <w:r w:rsidR="00885DB7" w:rsidRPr="00385E11">
        <w:rPr>
          <w:rFonts w:ascii="Times New Roman" w:hAnsi="Times New Roman" w:cs="Times New Roman"/>
        </w:rPr>
        <w:t xml:space="preserve"> </w:t>
      </w:r>
    </w:p>
    <w:p w:rsidR="00D33718" w:rsidRPr="00385E11" w:rsidRDefault="008626B5" w:rsidP="00991CA3">
      <w:pPr>
        <w:rPr>
          <w:rFonts w:ascii="Times New Roman" w:hAnsi="Times New Roman" w:cs="Times New Roman"/>
          <w:sz w:val="18"/>
          <w:szCs w:val="18"/>
        </w:rPr>
      </w:pPr>
      <w:r w:rsidRPr="00385E11">
        <w:rPr>
          <w:rFonts w:ascii="Times New Roman" w:hAnsi="Times New Roman" w:cs="Times New Roman"/>
          <w:b/>
          <w:sz w:val="18"/>
          <w:szCs w:val="18"/>
        </w:rPr>
        <w:t>Corresponding author:</w:t>
      </w:r>
      <w:r w:rsidRPr="00385E11">
        <w:rPr>
          <w:rFonts w:ascii="Times New Roman" w:hAnsi="Times New Roman" w:cs="Times New Roman"/>
          <w:sz w:val="18"/>
          <w:szCs w:val="18"/>
        </w:rPr>
        <w:t xml:space="preserve"> </w:t>
      </w:r>
      <w:r w:rsidR="00D33718" w:rsidRPr="00385E11">
        <w:rPr>
          <w:rFonts w:ascii="Times New Roman" w:hAnsi="Times New Roman" w:cs="Times New Roman"/>
          <w:sz w:val="18"/>
          <w:szCs w:val="18"/>
        </w:rPr>
        <w:t xml:space="preserve"> </w:t>
      </w:r>
      <w:r w:rsidR="00991CA3" w:rsidRPr="00385E11">
        <w:rPr>
          <w:rFonts w:ascii="Times New Roman" w:hAnsi="Times New Roman" w:cs="Times New Roman"/>
          <w:sz w:val="18"/>
          <w:szCs w:val="18"/>
        </w:rPr>
        <w:t>José Manuel Aburto</w:t>
      </w:r>
      <w:r w:rsidR="00D33718" w:rsidRPr="00385E11">
        <w:rPr>
          <w:rFonts w:ascii="Times New Roman" w:hAnsi="Times New Roman" w:cs="Times New Roman"/>
          <w:sz w:val="18"/>
          <w:szCs w:val="18"/>
        </w:rPr>
        <w:t xml:space="preserve">. Tel. number: +45 65 50 94 16 </w:t>
      </w:r>
    </w:p>
    <w:p w:rsidR="00D33718" w:rsidRPr="00385E11" w:rsidRDefault="00991CA3" w:rsidP="00991CA3">
      <w:pPr>
        <w:rPr>
          <w:rFonts w:ascii="Times New Roman" w:hAnsi="Times New Roman" w:cs="Times New Roman"/>
          <w:sz w:val="18"/>
          <w:szCs w:val="18"/>
        </w:rPr>
      </w:pPr>
      <w:r w:rsidRPr="00385E11">
        <w:rPr>
          <w:rFonts w:ascii="Times New Roman" w:hAnsi="Times New Roman" w:cs="Times New Roman"/>
          <w:sz w:val="18"/>
          <w:szCs w:val="18"/>
        </w:rPr>
        <w:t xml:space="preserve">Email: </w:t>
      </w:r>
      <w:hyperlink r:id="rId9" w:history="1">
        <w:r w:rsidRPr="00385E11">
          <w:rPr>
            <w:rStyle w:val="Hyperlink"/>
            <w:rFonts w:ascii="Times New Roman" w:hAnsi="Times New Roman" w:cs="Times New Roman"/>
            <w:sz w:val="18"/>
            <w:szCs w:val="18"/>
          </w:rPr>
          <w:t>jmaburto@health.sdu.dk</w:t>
        </w:r>
      </w:hyperlink>
      <w:r w:rsidRPr="00385E11">
        <w:rPr>
          <w:rFonts w:ascii="Times New Roman" w:hAnsi="Times New Roman" w:cs="Times New Roman"/>
          <w:sz w:val="18"/>
          <w:szCs w:val="18"/>
        </w:rPr>
        <w:t xml:space="preserve"> </w:t>
      </w:r>
      <w:r w:rsidR="00D33718" w:rsidRPr="00385E11">
        <w:rPr>
          <w:rFonts w:ascii="Times New Roman" w:hAnsi="Times New Roman" w:cs="Times New Roman"/>
          <w:sz w:val="18"/>
          <w:szCs w:val="18"/>
        </w:rPr>
        <w:t xml:space="preserve"> </w:t>
      </w:r>
    </w:p>
    <w:p w:rsidR="00991CA3" w:rsidRPr="00385E11" w:rsidRDefault="00330988" w:rsidP="00991CA3">
      <w:pPr>
        <w:rPr>
          <w:rFonts w:ascii="Times New Roman" w:hAnsi="Times New Roman" w:cs="Times New Roman"/>
          <w:sz w:val="18"/>
          <w:szCs w:val="18"/>
        </w:rPr>
      </w:pPr>
      <w:r w:rsidRPr="00385E11">
        <w:rPr>
          <w:rFonts w:ascii="Times New Roman" w:hAnsi="Times New Roman" w:cs="Times New Roman"/>
          <w:b/>
          <w:sz w:val="18"/>
          <w:szCs w:val="18"/>
        </w:rPr>
        <w:t>Author affiliations:</w:t>
      </w:r>
      <w:r w:rsidRPr="00385E11">
        <w:rPr>
          <w:rFonts w:ascii="Times New Roman" w:hAnsi="Times New Roman" w:cs="Times New Roman"/>
          <w:sz w:val="18"/>
          <w:szCs w:val="18"/>
        </w:rPr>
        <w:t xml:space="preserve"> </w:t>
      </w:r>
      <w:r w:rsidRPr="00385E11">
        <w:rPr>
          <w:rFonts w:ascii="Times New Roman" w:hAnsi="Times New Roman" w:cs="Times New Roman"/>
          <w:sz w:val="18"/>
          <w:szCs w:val="18"/>
          <w:vertAlign w:val="superscript"/>
        </w:rPr>
        <w:t xml:space="preserve">a </w:t>
      </w:r>
      <w:r w:rsidRPr="00385E11">
        <w:rPr>
          <w:rFonts w:ascii="Times New Roman" w:hAnsi="Times New Roman" w:cs="Times New Roman"/>
          <w:sz w:val="18"/>
          <w:szCs w:val="18"/>
        </w:rPr>
        <w:t xml:space="preserve">Max </w:t>
      </w:r>
      <w:r w:rsidR="00991CA3" w:rsidRPr="00385E11">
        <w:rPr>
          <w:rFonts w:ascii="Times New Roman" w:hAnsi="Times New Roman" w:cs="Times New Roman"/>
          <w:sz w:val="18"/>
          <w:szCs w:val="18"/>
        </w:rPr>
        <w:t>Planck Odense Center on Biodemography of Aging; IST - EBB/Epidemiology, Biostatistics and Biodemogr</w:t>
      </w:r>
      <w:r w:rsidR="00991CA3" w:rsidRPr="00385E11">
        <w:rPr>
          <w:rFonts w:ascii="Times New Roman" w:hAnsi="Times New Roman" w:cs="Times New Roman"/>
          <w:sz w:val="18"/>
          <w:szCs w:val="18"/>
        </w:rPr>
        <w:t>a</w:t>
      </w:r>
      <w:r w:rsidR="00991CA3" w:rsidRPr="00385E11">
        <w:rPr>
          <w:rFonts w:ascii="Times New Roman" w:hAnsi="Times New Roman" w:cs="Times New Roman"/>
          <w:sz w:val="18"/>
          <w:szCs w:val="18"/>
        </w:rPr>
        <w:t>phy; University of Southern Denmark.</w:t>
      </w:r>
    </w:p>
    <w:p w:rsidR="007C17E2" w:rsidRPr="00385E11" w:rsidRDefault="00991CA3" w:rsidP="0051024E">
      <w:pPr>
        <w:rPr>
          <w:rFonts w:ascii="Times New Roman" w:hAnsi="Times New Roman" w:cs="Times New Roman"/>
          <w:sz w:val="18"/>
          <w:szCs w:val="18"/>
        </w:rPr>
      </w:pPr>
      <w:r w:rsidRPr="00385E11">
        <w:rPr>
          <w:rFonts w:ascii="Times New Roman" w:hAnsi="Times New Roman" w:cs="Times New Roman"/>
          <w:sz w:val="18"/>
          <w:szCs w:val="18"/>
        </w:rPr>
        <w:t xml:space="preserve">Address: J.B. </w:t>
      </w:r>
      <w:proofErr w:type="spellStart"/>
      <w:r w:rsidRPr="00385E11">
        <w:rPr>
          <w:rFonts w:ascii="Times New Roman" w:hAnsi="Times New Roman" w:cs="Times New Roman"/>
          <w:sz w:val="18"/>
          <w:szCs w:val="18"/>
        </w:rPr>
        <w:t>Winsløws</w:t>
      </w:r>
      <w:proofErr w:type="spellEnd"/>
      <w:r w:rsidRPr="00385E11">
        <w:rPr>
          <w:rFonts w:ascii="Times New Roman" w:hAnsi="Times New Roman" w:cs="Times New Roman"/>
          <w:sz w:val="18"/>
          <w:szCs w:val="18"/>
        </w:rPr>
        <w:t xml:space="preserve"> </w:t>
      </w:r>
      <w:proofErr w:type="spellStart"/>
      <w:r w:rsidRPr="00385E11">
        <w:rPr>
          <w:rFonts w:ascii="Times New Roman" w:hAnsi="Times New Roman" w:cs="Times New Roman"/>
          <w:sz w:val="18"/>
          <w:szCs w:val="18"/>
        </w:rPr>
        <w:t>Vej</w:t>
      </w:r>
      <w:proofErr w:type="spellEnd"/>
      <w:r w:rsidRPr="00385E11">
        <w:rPr>
          <w:rFonts w:ascii="Times New Roman" w:hAnsi="Times New Roman" w:cs="Times New Roman"/>
          <w:sz w:val="18"/>
          <w:szCs w:val="18"/>
        </w:rPr>
        <w:t xml:space="preserve"> 9. DK-5000 Odense C, Denmark</w:t>
      </w:r>
    </w:p>
    <w:p w:rsidR="007C17E2" w:rsidRPr="00385E11" w:rsidRDefault="008626B5" w:rsidP="0051024E">
      <w:pPr>
        <w:rPr>
          <w:rFonts w:ascii="Times New Roman" w:hAnsi="Times New Roman" w:cs="Times New Roman"/>
          <w:sz w:val="18"/>
          <w:szCs w:val="18"/>
        </w:rPr>
      </w:pPr>
      <w:r w:rsidRPr="00385E11">
        <w:rPr>
          <w:rFonts w:ascii="Times New Roman" w:hAnsi="Times New Roman" w:cs="Times New Roman"/>
          <w:b/>
          <w:sz w:val="18"/>
          <w:szCs w:val="18"/>
        </w:rPr>
        <w:t>Classification:</w:t>
      </w:r>
      <w:r w:rsidR="00997FE3" w:rsidRPr="00385E11">
        <w:rPr>
          <w:rFonts w:ascii="Times New Roman" w:hAnsi="Times New Roman" w:cs="Times New Roman"/>
          <w:b/>
          <w:sz w:val="18"/>
          <w:szCs w:val="18"/>
        </w:rPr>
        <w:t xml:space="preserve"> </w:t>
      </w:r>
      <w:r w:rsidR="006B0500" w:rsidRPr="00385E11">
        <w:rPr>
          <w:rFonts w:ascii="Times New Roman" w:hAnsi="Times New Roman" w:cs="Times New Roman"/>
          <w:sz w:val="18"/>
          <w:szCs w:val="18"/>
        </w:rPr>
        <w:t>Latin America,</w:t>
      </w:r>
      <w:r w:rsidR="006B0500" w:rsidRPr="00385E11">
        <w:rPr>
          <w:rFonts w:ascii="Times New Roman" w:hAnsi="Times New Roman" w:cs="Times New Roman"/>
          <w:b/>
          <w:sz w:val="18"/>
          <w:szCs w:val="18"/>
        </w:rPr>
        <w:t xml:space="preserve"> </w:t>
      </w:r>
      <w:r w:rsidR="00997FE3" w:rsidRPr="00385E11">
        <w:rPr>
          <w:rFonts w:ascii="Times New Roman" w:hAnsi="Times New Roman" w:cs="Times New Roman"/>
          <w:sz w:val="18"/>
          <w:szCs w:val="18"/>
        </w:rPr>
        <w:t>Violence,</w:t>
      </w:r>
      <w:r w:rsidRPr="00385E11">
        <w:rPr>
          <w:rFonts w:ascii="Times New Roman" w:hAnsi="Times New Roman" w:cs="Times New Roman"/>
          <w:sz w:val="18"/>
          <w:szCs w:val="18"/>
        </w:rPr>
        <w:t xml:space="preserve"> </w:t>
      </w:r>
      <w:r w:rsidR="00991CA3" w:rsidRPr="00385E11">
        <w:rPr>
          <w:rFonts w:ascii="Times New Roman" w:hAnsi="Times New Roman" w:cs="Times New Roman"/>
          <w:sz w:val="18"/>
          <w:szCs w:val="18"/>
        </w:rPr>
        <w:t xml:space="preserve">Population Health and </w:t>
      </w:r>
      <w:r w:rsidRPr="00385E11">
        <w:rPr>
          <w:rFonts w:ascii="Times New Roman" w:hAnsi="Times New Roman" w:cs="Times New Roman"/>
          <w:sz w:val="18"/>
          <w:szCs w:val="18"/>
        </w:rPr>
        <w:t>Demography</w:t>
      </w:r>
    </w:p>
    <w:p w:rsidR="00590148" w:rsidRDefault="008626B5" w:rsidP="007C17E2">
      <w:pPr>
        <w:rPr>
          <w:rFonts w:ascii="Times New Roman" w:hAnsi="Times New Roman" w:cs="Times New Roman"/>
          <w:sz w:val="18"/>
          <w:szCs w:val="18"/>
        </w:rPr>
      </w:pPr>
      <w:r w:rsidRPr="00385E11">
        <w:rPr>
          <w:rFonts w:ascii="Times New Roman" w:hAnsi="Times New Roman" w:cs="Times New Roman"/>
          <w:b/>
          <w:sz w:val="18"/>
          <w:szCs w:val="18"/>
        </w:rPr>
        <w:t>Keywords:</w:t>
      </w:r>
      <w:r w:rsidR="000D6E25" w:rsidRPr="00385E11">
        <w:rPr>
          <w:rFonts w:ascii="Times New Roman" w:hAnsi="Times New Roman" w:cs="Times New Roman"/>
          <w:b/>
          <w:sz w:val="18"/>
          <w:szCs w:val="18"/>
        </w:rPr>
        <w:t xml:space="preserve"> </w:t>
      </w:r>
      <w:r w:rsidR="000D6E25" w:rsidRPr="00385E11">
        <w:rPr>
          <w:rFonts w:ascii="Times New Roman" w:hAnsi="Times New Roman" w:cs="Times New Roman"/>
          <w:sz w:val="18"/>
          <w:szCs w:val="18"/>
        </w:rPr>
        <w:t>violence, homicide, lifespan variation, life expectancy, demography.</w:t>
      </w:r>
    </w:p>
    <w:p w:rsidR="002812A4" w:rsidRDefault="002812A4" w:rsidP="007C17E2">
      <w:pPr>
        <w:rPr>
          <w:rFonts w:ascii="Times New Roman" w:hAnsi="Times New Roman" w:cs="Times New Roman"/>
          <w:sz w:val="18"/>
          <w:szCs w:val="18"/>
        </w:rPr>
      </w:pPr>
    </w:p>
    <w:p w:rsidR="002812A4" w:rsidRPr="002812A4" w:rsidRDefault="002812A4" w:rsidP="002812A4">
      <w:pPr>
        <w:jc w:val="center"/>
        <w:rPr>
          <w:rFonts w:ascii="Times New Roman" w:hAnsi="Times New Roman" w:cs="Times New Roman"/>
          <w:b/>
        </w:rPr>
      </w:pPr>
      <w:r w:rsidRPr="002812A4">
        <w:rPr>
          <w:rFonts w:ascii="Times New Roman" w:hAnsi="Times New Roman" w:cs="Times New Roman"/>
          <w:b/>
        </w:rPr>
        <w:t>Abstract</w:t>
      </w:r>
    </w:p>
    <w:p w:rsidR="002812A4" w:rsidRPr="002812A4" w:rsidRDefault="002812A4" w:rsidP="002812A4">
      <w:pPr>
        <w:jc w:val="both"/>
        <w:rPr>
          <w:rFonts w:ascii="Times New Roman" w:hAnsi="Times New Roman" w:cs="Times New Roman"/>
        </w:rPr>
      </w:pPr>
      <w:r w:rsidRPr="002812A4">
        <w:rPr>
          <w:rFonts w:ascii="Times New Roman" w:hAnsi="Times New Roman" w:cs="Times New Roman"/>
        </w:rPr>
        <w:t>Lifespan variation is a dimension of public health that has arisen as an important topic since it addresses the gro</w:t>
      </w:r>
      <w:r w:rsidRPr="002812A4">
        <w:rPr>
          <w:rFonts w:ascii="Times New Roman" w:hAnsi="Times New Roman" w:cs="Times New Roman"/>
        </w:rPr>
        <w:t>w</w:t>
      </w:r>
      <w:r w:rsidRPr="002812A4">
        <w:rPr>
          <w:rFonts w:ascii="Times New Roman" w:hAnsi="Times New Roman" w:cs="Times New Roman"/>
        </w:rPr>
        <w:t>ing interest in health inequalities and its linkage with health behavior. Studying both life expe</w:t>
      </w:r>
      <w:r w:rsidRPr="002812A4">
        <w:rPr>
          <w:rFonts w:ascii="Times New Roman" w:hAnsi="Times New Roman" w:cs="Times New Roman"/>
        </w:rPr>
        <w:t>c</w:t>
      </w:r>
      <w:r w:rsidRPr="002812A4">
        <w:rPr>
          <w:rFonts w:ascii="Times New Roman" w:hAnsi="Times New Roman" w:cs="Times New Roman"/>
        </w:rPr>
        <w:t>tancy and lifespan variation is important since individuals make decisions based not only on their expected lifetime, but also on the uncertainty surrounding it. In Mexico, life expectancy stagnated in the first decade of the twenty-first century b</w:t>
      </w:r>
      <w:r w:rsidRPr="002812A4">
        <w:rPr>
          <w:rFonts w:ascii="Times New Roman" w:hAnsi="Times New Roman" w:cs="Times New Roman"/>
        </w:rPr>
        <w:t>e</w:t>
      </w:r>
      <w:r w:rsidRPr="002812A4">
        <w:rPr>
          <w:rFonts w:ascii="Times New Roman" w:hAnsi="Times New Roman" w:cs="Times New Roman"/>
        </w:rPr>
        <w:t>cause of the unprecedented rise of homicide mortality after 2005 and the bu</w:t>
      </w:r>
      <w:r w:rsidRPr="002812A4">
        <w:rPr>
          <w:rFonts w:ascii="Times New Roman" w:hAnsi="Times New Roman" w:cs="Times New Roman"/>
        </w:rPr>
        <w:t>r</w:t>
      </w:r>
      <w:r w:rsidRPr="002812A4">
        <w:rPr>
          <w:rFonts w:ascii="Times New Roman" w:hAnsi="Times New Roman" w:cs="Times New Roman"/>
        </w:rPr>
        <w:t>den of diabetes mortality throughout the decade. The effect of violence was such that improvements in life expe</w:t>
      </w:r>
      <w:r w:rsidRPr="002812A4">
        <w:rPr>
          <w:rFonts w:ascii="Times New Roman" w:hAnsi="Times New Roman" w:cs="Times New Roman"/>
        </w:rPr>
        <w:t>c</w:t>
      </w:r>
      <w:r w:rsidRPr="002812A4">
        <w:rPr>
          <w:rFonts w:ascii="Times New Roman" w:hAnsi="Times New Roman" w:cs="Times New Roman"/>
        </w:rPr>
        <w:t>tancy made by other causes of death, such as birth conditions and respiratory diseases, were wiped out by homicides, particularly in males. In this p</w:t>
      </w:r>
      <w:r w:rsidRPr="002812A4">
        <w:rPr>
          <w:rFonts w:ascii="Times New Roman" w:hAnsi="Times New Roman" w:cs="Times New Roman"/>
        </w:rPr>
        <w:t>a</w:t>
      </w:r>
      <w:r w:rsidRPr="002812A4">
        <w:rPr>
          <w:rFonts w:ascii="Times New Roman" w:hAnsi="Times New Roman" w:cs="Times New Roman"/>
        </w:rPr>
        <w:t>per, we assess the impact of violence, through homicides, on life expectancy and on the uncertainty surrounding age at death in Mexico and its 32 state. We use life disparity as a dispersion indicator. Between 1995 and 2005, homicides decreased life disparity, while diab</w:t>
      </w:r>
      <w:r w:rsidRPr="002812A4">
        <w:rPr>
          <w:rFonts w:ascii="Times New Roman" w:hAnsi="Times New Roman" w:cs="Times New Roman"/>
        </w:rPr>
        <w:t>e</w:t>
      </w:r>
      <w:r w:rsidRPr="002812A4">
        <w:rPr>
          <w:rFonts w:ascii="Times New Roman" w:hAnsi="Times New Roman" w:cs="Times New Roman"/>
        </w:rPr>
        <w:t>tes mortality explained most of increases in variation. However, between 2005 and 2015 homicides e</w:t>
      </w:r>
      <w:r w:rsidRPr="002812A4">
        <w:rPr>
          <w:rFonts w:ascii="Times New Roman" w:hAnsi="Times New Roman" w:cs="Times New Roman"/>
        </w:rPr>
        <w:t>x</w:t>
      </w:r>
      <w:r w:rsidRPr="002812A4">
        <w:rPr>
          <w:rFonts w:ascii="Times New Roman" w:hAnsi="Times New Roman" w:cs="Times New Roman"/>
        </w:rPr>
        <w:t>plained most of increases in life disparity, mainly concentrated in young-adult ages. These results underscore the effect of homicides on the unpredictability of time of death that the Mex</w:t>
      </w:r>
      <w:r w:rsidRPr="002812A4">
        <w:rPr>
          <w:rFonts w:ascii="Times New Roman" w:hAnsi="Times New Roman" w:cs="Times New Roman"/>
        </w:rPr>
        <w:t>i</w:t>
      </w:r>
      <w:r w:rsidRPr="002812A4">
        <w:rPr>
          <w:rFonts w:ascii="Times New Roman" w:hAnsi="Times New Roman" w:cs="Times New Roman"/>
        </w:rPr>
        <w:t>can population is experiencing. They reinforce the need for new policies target</w:t>
      </w:r>
      <w:bookmarkStart w:id="0" w:name="_GoBack"/>
      <w:bookmarkEnd w:id="0"/>
      <w:r w:rsidRPr="002812A4">
        <w:rPr>
          <w:rFonts w:ascii="Times New Roman" w:hAnsi="Times New Roman" w:cs="Times New Roman"/>
        </w:rPr>
        <w:t>ing reductions in homicide mortal</w:t>
      </w:r>
      <w:r w:rsidRPr="002812A4">
        <w:rPr>
          <w:rFonts w:ascii="Times New Roman" w:hAnsi="Times New Roman" w:cs="Times New Roman"/>
        </w:rPr>
        <w:t>i</w:t>
      </w:r>
      <w:r w:rsidRPr="002812A4">
        <w:rPr>
          <w:rFonts w:ascii="Times New Roman" w:hAnsi="Times New Roman" w:cs="Times New Roman"/>
        </w:rPr>
        <w:t>ty, since clearly those implemented over the last ten years have not been successful in reducing the burden of vi</w:t>
      </w:r>
      <w:r w:rsidRPr="002812A4">
        <w:rPr>
          <w:rFonts w:ascii="Times New Roman" w:hAnsi="Times New Roman" w:cs="Times New Roman"/>
        </w:rPr>
        <w:t>o</w:t>
      </w:r>
      <w:r w:rsidRPr="002812A4">
        <w:rPr>
          <w:rFonts w:ascii="Times New Roman" w:hAnsi="Times New Roman" w:cs="Times New Roman"/>
        </w:rPr>
        <w:t>lence in the country.</w:t>
      </w:r>
    </w:p>
    <w:p w:rsidR="00385E11" w:rsidRPr="007E0D66" w:rsidRDefault="00385E11" w:rsidP="007C17E2">
      <w:pPr>
        <w:rPr>
          <w:rFonts w:ascii="Times New Roman" w:hAnsi="Times New Roman" w:cs="Times New Roman"/>
          <w:b/>
        </w:rPr>
      </w:pPr>
    </w:p>
    <w:p w:rsidR="007C17E2" w:rsidRPr="00AD15FB" w:rsidRDefault="003C5036" w:rsidP="003C5036">
      <w:pPr>
        <w:jc w:val="center"/>
        <w:rPr>
          <w:rFonts w:ascii="Times New Roman" w:hAnsi="Times New Roman" w:cs="Times New Roman"/>
          <w:b/>
        </w:rPr>
      </w:pPr>
      <w:r w:rsidRPr="00AD15FB">
        <w:rPr>
          <w:rFonts w:ascii="Times New Roman" w:hAnsi="Times New Roman" w:cs="Times New Roman"/>
          <w:b/>
        </w:rPr>
        <w:t>Extended Abstract</w:t>
      </w:r>
    </w:p>
    <w:p w:rsidR="007C17E2" w:rsidRPr="00AD15FB" w:rsidRDefault="00B62339" w:rsidP="00EE5574">
      <w:pPr>
        <w:pStyle w:val="Subtitle"/>
        <w:spacing w:line="480" w:lineRule="auto"/>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Introduction</w:t>
      </w:r>
    </w:p>
    <w:p w:rsidR="007452CB" w:rsidRDefault="007452CB" w:rsidP="00E52F67">
      <w:pPr>
        <w:spacing w:line="480" w:lineRule="auto"/>
        <w:rPr>
          <w:rFonts w:ascii="Times New Roman" w:hAnsi="Times New Roman" w:cs="Times New Roman"/>
        </w:rPr>
      </w:pPr>
      <w:r w:rsidRPr="00AD15FB">
        <w:rPr>
          <w:rFonts w:ascii="Times New Roman" w:hAnsi="Times New Roman" w:cs="Times New Roman"/>
        </w:rPr>
        <w:t>Lifespan variation is a dimension of public health that has arisen as an important topic since it addresses the gro</w:t>
      </w:r>
      <w:r w:rsidRPr="00AD15FB">
        <w:rPr>
          <w:rFonts w:ascii="Times New Roman" w:hAnsi="Times New Roman" w:cs="Times New Roman"/>
        </w:rPr>
        <w:t>w</w:t>
      </w:r>
      <w:r w:rsidRPr="00AD15FB">
        <w:rPr>
          <w:rFonts w:ascii="Times New Roman" w:hAnsi="Times New Roman" w:cs="Times New Roman"/>
        </w:rPr>
        <w:t xml:space="preserve">ing interest in health inequalities and its linkage with health behavior </w:t>
      </w:r>
      <w:r w:rsidRPr="00AD15FB">
        <w:rPr>
          <w:rFonts w:ascii="Times New Roman" w:hAnsi="Times New Roman" w:cs="Times New Roman"/>
        </w:rPr>
        <w:fldChar w:fldCharType="begin"/>
      </w:r>
      <w:r>
        <w:rPr>
          <w:rFonts w:ascii="Times New Roman" w:hAnsi="Times New Roman" w:cs="Times New Roman"/>
        </w:rPr>
        <w:instrText xml:space="preserve"> ADDIN EN.CITE &lt;EndNote&gt;&lt;Cite&gt;&lt;Author&gt;Marmot&lt;/Author&gt;&lt;Year&gt;2001&lt;/Year&gt;&lt;RecNum&gt;69&lt;/RecNum&gt;&lt;DisplayText&gt;(1)&lt;/DisplayText&gt;&lt;record&gt;&lt;rec-number&gt;69&lt;/rec-number&gt;&lt;foreign-keys&gt;&lt;key app="EN" db-id="xwts0fz21atwpxe2avovtpe5rz9v2fw0dtxf" timestamp="0"&gt;69&lt;/key&gt;&lt;/foreign-keys&gt;&lt;ref-type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ages&gt;134-135&lt;/pages&gt;&lt;volume&gt;345&lt;/volume&gt;&lt;number&gt;2&lt;/number&gt;&lt;dates&gt;&lt;year&gt;2001&lt;/year&gt;&lt;/dates&gt;&lt;isbn&gt;0028-4793&lt;/isbn&gt;&lt;urls&gt;&lt;/urls&gt;&lt;/record&gt;&lt;/Cite&gt;&lt;/EndNote&gt;</w:instrText>
      </w:r>
      <w:r w:rsidRPr="00AD15FB">
        <w:rPr>
          <w:rFonts w:ascii="Times New Roman" w:hAnsi="Times New Roman" w:cs="Times New Roman"/>
        </w:rPr>
        <w:fldChar w:fldCharType="separate"/>
      </w:r>
      <w:r>
        <w:rPr>
          <w:rFonts w:ascii="Times New Roman" w:hAnsi="Times New Roman" w:cs="Times New Roman"/>
          <w:noProof/>
        </w:rPr>
        <w:t>(1)</w:t>
      </w:r>
      <w:r w:rsidRPr="00AD15FB">
        <w:rPr>
          <w:rFonts w:ascii="Times New Roman" w:hAnsi="Times New Roman" w:cs="Times New Roman"/>
        </w:rPr>
        <w:fldChar w:fldCharType="end"/>
      </w:r>
      <w:r w:rsidRPr="00AD15FB">
        <w:rPr>
          <w:rFonts w:ascii="Times New Roman" w:hAnsi="Times New Roman" w:cs="Times New Roman"/>
        </w:rPr>
        <w:t xml:space="preserve">. </w:t>
      </w:r>
      <w:r>
        <w:rPr>
          <w:rFonts w:ascii="Times New Roman" w:hAnsi="Times New Roman" w:cs="Times New Roman"/>
        </w:rPr>
        <w:t>Studying both</w:t>
      </w:r>
      <w:r w:rsidRPr="00AD15FB">
        <w:rPr>
          <w:rFonts w:ascii="Times New Roman" w:hAnsi="Times New Roman" w:cs="Times New Roman"/>
        </w:rPr>
        <w:t xml:space="preserve"> life ex</w:t>
      </w:r>
      <w:r>
        <w:rPr>
          <w:rFonts w:ascii="Times New Roman" w:hAnsi="Times New Roman" w:cs="Times New Roman"/>
        </w:rPr>
        <w:t>pectancy and lifespan variation</w:t>
      </w:r>
      <w:r w:rsidRPr="00AD15FB">
        <w:rPr>
          <w:rFonts w:ascii="Times New Roman" w:hAnsi="Times New Roman" w:cs="Times New Roman"/>
        </w:rPr>
        <w:t xml:space="preserve"> is important since individuals make decision</w:t>
      </w:r>
      <w:r>
        <w:rPr>
          <w:rFonts w:ascii="Times New Roman" w:hAnsi="Times New Roman" w:cs="Times New Roman"/>
        </w:rPr>
        <w:t>s</w:t>
      </w:r>
      <w:r w:rsidRPr="00AD15FB">
        <w:rPr>
          <w:rFonts w:ascii="Times New Roman" w:hAnsi="Times New Roman" w:cs="Times New Roman"/>
        </w:rPr>
        <w:t xml:space="preserve"> based not only</w:t>
      </w:r>
      <w:r>
        <w:rPr>
          <w:rFonts w:ascii="Times New Roman" w:hAnsi="Times New Roman" w:cs="Times New Roman"/>
        </w:rPr>
        <w:t xml:space="preserve"> on</w:t>
      </w:r>
      <w:r w:rsidRPr="00AD15FB">
        <w:rPr>
          <w:rFonts w:ascii="Times New Roman" w:hAnsi="Times New Roman" w:cs="Times New Roman"/>
        </w:rPr>
        <w:t xml:space="preserve"> the</w:t>
      </w:r>
      <w:r>
        <w:rPr>
          <w:rFonts w:ascii="Times New Roman" w:hAnsi="Times New Roman" w:cs="Times New Roman"/>
        </w:rPr>
        <w:t>ir expected lifetime, but also o</w:t>
      </w:r>
      <w:r w:rsidRPr="00AD15FB">
        <w:rPr>
          <w:rFonts w:ascii="Times New Roman" w:hAnsi="Times New Roman" w:cs="Times New Roman"/>
        </w:rPr>
        <w:t xml:space="preserve">n the uncertainty surrounding it </w:t>
      </w:r>
      <w:r w:rsidRPr="00AD15FB">
        <w:rPr>
          <w:rFonts w:ascii="Times New Roman" w:hAnsi="Times New Roman" w:cs="Times New Roman"/>
        </w:rPr>
        <w:fldChar w:fldCharType="begin"/>
      </w:r>
      <w:r>
        <w:rPr>
          <w:rFonts w:ascii="Times New Roman" w:hAnsi="Times New Roman" w:cs="Times New Roman"/>
        </w:rPr>
        <w:instrText xml:space="preserve"> ADDIN EN.CITE &lt;EndNote&gt;&lt;Cite&gt;&lt;Author&gt;van Raalte&lt;/Author&gt;&lt;Year&gt;2011&lt;/Year&gt;&lt;RecNum&gt;88&lt;/RecNum&gt;&lt;DisplayText&gt;(2)&lt;/DisplayText&gt;&lt;record&gt;&lt;rec-number&gt;88&lt;/rec-number&gt;&lt;foreign-keys&gt;&lt;key app="EN" db-id="xwts0fz21atwpxe2avovtpe5rz9v2fw0dtxf" timestamp="0"&gt;88&lt;/key&gt;&lt;/foreign-keys&gt;&lt;ref-type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Epidemiology&lt;/secondary-title&gt;&lt;/titles&gt;&lt;pages&gt;dyr146&lt;/pages&gt;&lt;dates&gt;&lt;year&gt;2011&lt;/year&gt;&lt;/dates&gt;&lt;isbn&gt;0300-5771&lt;/isbn&gt;&lt;urls&gt;&lt;/urls&gt;&lt;/record&gt;&lt;/Cite&gt;&lt;/EndNote&gt;</w:instrText>
      </w:r>
      <w:r w:rsidRPr="00AD15FB">
        <w:rPr>
          <w:rFonts w:ascii="Times New Roman" w:hAnsi="Times New Roman" w:cs="Times New Roman"/>
        </w:rPr>
        <w:fldChar w:fldCharType="separate"/>
      </w:r>
      <w:r>
        <w:rPr>
          <w:rFonts w:ascii="Times New Roman" w:hAnsi="Times New Roman" w:cs="Times New Roman"/>
          <w:noProof/>
        </w:rPr>
        <w:t>(2)</w:t>
      </w:r>
      <w:r w:rsidRPr="00AD15FB">
        <w:rPr>
          <w:rFonts w:ascii="Times New Roman" w:hAnsi="Times New Roman" w:cs="Times New Roman"/>
        </w:rPr>
        <w:fldChar w:fldCharType="end"/>
      </w:r>
      <w:r>
        <w:rPr>
          <w:rFonts w:ascii="Times New Roman" w:hAnsi="Times New Roman" w:cs="Times New Roman"/>
        </w:rPr>
        <w:t xml:space="preserve">. </w:t>
      </w:r>
    </w:p>
    <w:p w:rsidR="00B02AEF" w:rsidRPr="00AD15FB" w:rsidRDefault="007452CB" w:rsidP="007452CB">
      <w:pPr>
        <w:spacing w:line="480" w:lineRule="auto"/>
        <w:ind w:firstLine="720"/>
        <w:rPr>
          <w:rFonts w:ascii="Times New Roman" w:hAnsi="Times New Roman" w:cs="Times New Roman"/>
        </w:rPr>
      </w:pPr>
      <w:r>
        <w:rPr>
          <w:rFonts w:ascii="Times New Roman" w:hAnsi="Times New Roman" w:cs="Times New Roman"/>
        </w:rPr>
        <w:t>In Mexico, life expectancy stagnated in the</w:t>
      </w:r>
      <w:r w:rsidR="00D43270" w:rsidRPr="00AD15FB">
        <w:rPr>
          <w:rFonts w:ascii="Times New Roman" w:hAnsi="Times New Roman" w:cs="Times New Roman"/>
        </w:rPr>
        <w:t xml:space="preserve"> first decade </w:t>
      </w:r>
      <w:r w:rsidR="009B72AE" w:rsidRPr="00AD15FB">
        <w:rPr>
          <w:rFonts w:ascii="Times New Roman" w:hAnsi="Times New Roman" w:cs="Times New Roman"/>
        </w:rPr>
        <w:t>of the twenty-first</w:t>
      </w:r>
      <w:r>
        <w:rPr>
          <w:rFonts w:ascii="Times New Roman" w:hAnsi="Times New Roman" w:cs="Times New Roman"/>
        </w:rPr>
        <w:t xml:space="preserve"> century</w:t>
      </w:r>
      <w:r w:rsidR="00D43270" w:rsidRPr="00AD15FB">
        <w:rPr>
          <w:rFonts w:ascii="Times New Roman" w:hAnsi="Times New Roman" w:cs="Times New Roman"/>
        </w:rPr>
        <w:t xml:space="preserve"> </w:t>
      </w:r>
      <w:r>
        <w:rPr>
          <w:rFonts w:ascii="Times New Roman" w:hAnsi="Times New Roman" w:cs="Times New Roman"/>
        </w:rPr>
        <w:t xml:space="preserve">because of  </w:t>
      </w:r>
      <w:r w:rsidR="007C54A1" w:rsidRPr="00AD15FB">
        <w:rPr>
          <w:rFonts w:ascii="Times New Roman" w:hAnsi="Times New Roman" w:cs="Times New Roman"/>
        </w:rPr>
        <w:t>the unpre</w:t>
      </w:r>
      <w:r w:rsidR="007C54A1" w:rsidRPr="00AD15FB">
        <w:rPr>
          <w:rFonts w:ascii="Times New Roman" w:hAnsi="Times New Roman" w:cs="Times New Roman"/>
        </w:rPr>
        <w:t>c</w:t>
      </w:r>
      <w:r w:rsidR="007C54A1" w:rsidRPr="00AD15FB">
        <w:rPr>
          <w:rFonts w:ascii="Times New Roman" w:hAnsi="Times New Roman" w:cs="Times New Roman"/>
        </w:rPr>
        <w:t>edented rise of homicide mortality after 2005</w:t>
      </w:r>
      <w:r w:rsidR="00EA4EB0" w:rsidRPr="00AD15FB">
        <w:rPr>
          <w:rFonts w:ascii="Times New Roman" w:hAnsi="Times New Roman" w:cs="Times New Roman"/>
        </w:rPr>
        <w:t xml:space="preserve"> and the burden of diabetes mortality</w:t>
      </w:r>
      <w:r w:rsidR="00AD5099">
        <w:rPr>
          <w:rFonts w:ascii="Times New Roman" w:hAnsi="Times New Roman" w:cs="Times New Roman"/>
        </w:rPr>
        <w:t xml:space="preserve"> throughout the decade</w:t>
      </w:r>
      <w:r w:rsidR="000052D1" w:rsidRPr="00AD15FB">
        <w:rPr>
          <w:rFonts w:ascii="Times New Roman" w:hAnsi="Times New Roman" w:cs="Times New Roman"/>
        </w:rPr>
        <w:t xml:space="preserve"> </w:t>
      </w:r>
      <w:r w:rsidR="007543CE" w:rsidRPr="00AD15FB">
        <w:rPr>
          <w:rFonts w:ascii="Times New Roman" w:hAnsi="Times New Roman" w:cs="Times New Roman"/>
        </w:rPr>
        <w:fldChar w:fldCharType="begin"/>
      </w:r>
      <w:r>
        <w:rPr>
          <w:rFonts w:ascii="Times New Roman" w:hAnsi="Times New Roman" w:cs="Times New Roman"/>
        </w:rPr>
        <w:instrText xml:space="preserve"> ADDIN EN.CITE &lt;EndNote&gt;&lt;Cite&gt;&lt;Author&gt;Canudas-Romo&lt;/Author&gt;&lt;Year&gt;2015&lt;/Year&gt;&lt;RecNum&gt;89&lt;/RecNum&gt;&lt;DisplayText&gt;(3)&lt;/DisplayText&gt;&lt;record&gt;&lt;rec-number&gt;89&lt;/rec-number&gt;&lt;foreign-keys&gt;&lt;key app="EN" db-id="xwts0fz21atwpxe2avovtpe5rz9v2fw0dtxf" timestamp="1492772495"&gt;89&lt;/key&gt;&lt;/foreign-keys&gt;&lt;ref-type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7543CE" w:rsidRPr="00AD15FB">
        <w:rPr>
          <w:rFonts w:ascii="Times New Roman" w:hAnsi="Times New Roman" w:cs="Times New Roman"/>
        </w:rPr>
        <w:fldChar w:fldCharType="separate"/>
      </w:r>
      <w:r>
        <w:rPr>
          <w:rFonts w:ascii="Times New Roman" w:hAnsi="Times New Roman" w:cs="Times New Roman"/>
          <w:noProof/>
        </w:rPr>
        <w:t>(3)</w:t>
      </w:r>
      <w:r w:rsidR="007543CE" w:rsidRPr="00AD15FB">
        <w:rPr>
          <w:rFonts w:ascii="Times New Roman" w:hAnsi="Times New Roman" w:cs="Times New Roman"/>
        </w:rPr>
        <w:fldChar w:fldCharType="end"/>
      </w:r>
      <w:r w:rsidR="007C54A1" w:rsidRPr="00AD15FB">
        <w:rPr>
          <w:rFonts w:ascii="Times New Roman" w:hAnsi="Times New Roman" w:cs="Times New Roman"/>
        </w:rPr>
        <w:t xml:space="preserve">. </w:t>
      </w:r>
      <w:r w:rsidR="00B02AEF" w:rsidRPr="00AD15FB">
        <w:rPr>
          <w:rFonts w:ascii="Times New Roman" w:hAnsi="Times New Roman" w:cs="Times New Roman"/>
        </w:rPr>
        <w:t>Homicide rates more than doubled between 2007 and 201</w:t>
      </w:r>
      <w:r w:rsidR="00AD5099">
        <w:rPr>
          <w:rFonts w:ascii="Times New Roman" w:hAnsi="Times New Roman" w:cs="Times New Roman"/>
        </w:rPr>
        <w:t>.</w:t>
      </w:r>
      <w:r w:rsidR="00B02AEF" w:rsidRPr="00AD15FB">
        <w:rPr>
          <w:rFonts w:ascii="Times New Roman" w:hAnsi="Times New Roman" w:cs="Times New Roman"/>
        </w:rPr>
        <w:t>2 In 2011</w:t>
      </w:r>
      <w:r w:rsidR="007543CE" w:rsidRPr="00AD15FB">
        <w:rPr>
          <w:rFonts w:ascii="Times New Roman" w:hAnsi="Times New Roman" w:cs="Times New Roman"/>
        </w:rPr>
        <w:t xml:space="preserve"> </w:t>
      </w:r>
      <w:r w:rsidR="007543CE" w:rsidRPr="00AD15FB">
        <w:rPr>
          <w:rFonts w:ascii="Times New Roman" w:hAnsi="Times New Roman" w:cs="Times New Roman"/>
        </w:rPr>
        <w:fldChar w:fldCharType="begin"/>
      </w:r>
      <w:r>
        <w:rPr>
          <w:rFonts w:ascii="Times New Roman" w:hAnsi="Times New Roman" w:cs="Times New Roman"/>
        </w:rPr>
        <w:instrText xml:space="preserve"> ADDIN EN.CITE &lt;EndNote&gt;&lt;Cite&gt;&lt;Author&gt;Gamlin&lt;/Author&gt;&lt;Year&gt;2015&lt;/Year&gt;&lt;RecNum&gt;91&lt;/RecNum&gt;&lt;DisplayText&gt;(4)&lt;/DisplayText&gt;&lt;record&gt;&lt;rec-number&gt;91&lt;/rec-number&gt;&lt;foreign-keys&gt;&lt;key app="EN" db-id="xwts0fz21atwpxe2avovtpe5rz9v2fw0dtxf" timestamp="1492772619"&gt;91&lt;/key&gt;&lt;/foreign-keys&gt;&lt;ref-type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sidR="007543CE" w:rsidRPr="00AD15FB">
        <w:rPr>
          <w:rFonts w:ascii="Times New Roman" w:hAnsi="Times New Roman" w:cs="Times New Roman"/>
        </w:rPr>
        <w:fldChar w:fldCharType="separate"/>
      </w:r>
      <w:r>
        <w:rPr>
          <w:rFonts w:ascii="Times New Roman" w:hAnsi="Times New Roman" w:cs="Times New Roman"/>
          <w:noProof/>
        </w:rPr>
        <w:t>(4)</w:t>
      </w:r>
      <w:r w:rsidR="007543CE" w:rsidRPr="00AD15FB">
        <w:rPr>
          <w:rFonts w:ascii="Times New Roman" w:hAnsi="Times New Roman" w:cs="Times New Roman"/>
        </w:rPr>
        <w:fldChar w:fldCharType="end"/>
      </w:r>
      <w:r w:rsidR="00B02AEF" w:rsidRPr="00AD15FB">
        <w:rPr>
          <w:rFonts w:ascii="Times New Roman" w:hAnsi="Times New Roman" w:cs="Times New Roman"/>
        </w:rPr>
        <w:t xml:space="preserve">, the number of homicides reached a </w:t>
      </w:r>
      <w:r>
        <w:rPr>
          <w:rFonts w:ascii="Times New Roman" w:hAnsi="Times New Roman" w:cs="Times New Roman"/>
        </w:rPr>
        <w:t>peak</w:t>
      </w:r>
      <w:r w:rsidR="00B02AEF" w:rsidRPr="00AD15FB">
        <w:rPr>
          <w:rFonts w:ascii="Times New Roman" w:hAnsi="Times New Roman" w:cs="Times New Roman"/>
        </w:rPr>
        <w:t>, with over 20 homicides for every 100,000 people, with a parallel rise in extortion and kidnapping rates</w:t>
      </w:r>
      <w:r w:rsidR="007543CE" w:rsidRPr="00AD15FB">
        <w:rPr>
          <w:rFonts w:ascii="Times New Roman" w:hAnsi="Times New Roman" w:cs="Times New Roman"/>
        </w:rPr>
        <w:t xml:space="preserve"> </w:t>
      </w:r>
      <w:r w:rsidR="007543CE" w:rsidRPr="00AD15FB">
        <w:rPr>
          <w:rFonts w:ascii="Times New Roman" w:hAnsi="Times New Roman" w:cs="Times New Roman"/>
        </w:rPr>
        <w:fldChar w:fldCharType="begin"/>
      </w:r>
      <w:r>
        <w:rPr>
          <w:rFonts w:ascii="Times New Roman" w:hAnsi="Times New Roman" w:cs="Times New Roman"/>
        </w:rPr>
        <w:instrText xml:space="preserve"> ADDIN EN.CITE &lt;EndNote&gt;&lt;Cite&gt;&lt;Author&gt;Canudas-Romo&lt;/Author&gt;&lt;Year&gt;2017&lt;/Year&gt;&lt;RecNum&gt;92&lt;/RecNum&gt;&lt;DisplayText&gt;(5)&lt;/DisplayText&gt;&lt;record&gt;&lt;rec-number&gt;92&lt;/rec-number&gt;&lt;foreign-keys&gt;&lt;key app="EN" db-id="xwts0fz21atwpxe2avovtpe5rz9v2fw0dtxf" timestamp="1492772696"&gt;92&lt;/key&gt;&lt;/foreign-keys&gt;&lt;ref-type name="Journal Article"&gt;17&lt;/ref-type&gt;&lt;contributors&gt;&lt;authors&gt;&lt;author&gt;Canudas-Romo, Vladimir&lt;/author&gt;&lt;author&gt;Aburto, José Manuel&lt;/author&gt;&lt;author&gt;García-Guerrero, Victor Manuel&lt;/author&gt;&lt;author&gt;Beltrán-Sánchez, Hiram&lt;/author&gt;&lt;/authors&gt;&lt;/contributors&gt;&lt;titles&gt;&lt;title&gt;Mexico&amp;apos;s epidemic of violence and its public health significance on average length of life&lt;/title&gt;&lt;secondary-title&gt;Journal of epidemiology and community health&lt;/secondary-title&gt;&lt;/titles&gt;&lt;periodical&gt;&lt;full-title&gt;Journal of epidemiology and community health&lt;/full-title&gt;&lt;/periodical&gt;&lt;pages&gt;188-193&lt;/pages&gt;&lt;volume&gt;71&lt;/volume&gt;&lt;number&gt;2&lt;/number&gt;&lt;dates&gt;&lt;year&gt;2017&lt;/year&gt;&lt;/dates&gt;&lt;isbn&gt;1470-2738&lt;/isbn&gt;&lt;urls&gt;&lt;/urls&gt;&lt;/record&gt;&lt;/Cite&gt;&lt;/EndNote&gt;</w:instrText>
      </w:r>
      <w:r w:rsidR="007543CE" w:rsidRPr="00AD15FB">
        <w:rPr>
          <w:rFonts w:ascii="Times New Roman" w:hAnsi="Times New Roman" w:cs="Times New Roman"/>
        </w:rPr>
        <w:fldChar w:fldCharType="separate"/>
      </w:r>
      <w:r>
        <w:rPr>
          <w:rFonts w:ascii="Times New Roman" w:hAnsi="Times New Roman" w:cs="Times New Roman"/>
          <w:noProof/>
        </w:rPr>
        <w:t>(5)</w:t>
      </w:r>
      <w:r w:rsidR="007543CE" w:rsidRPr="00AD15FB">
        <w:rPr>
          <w:rFonts w:ascii="Times New Roman" w:hAnsi="Times New Roman" w:cs="Times New Roman"/>
        </w:rPr>
        <w:fldChar w:fldCharType="end"/>
      </w:r>
      <w:r w:rsidR="00B02AEF" w:rsidRPr="00AD15FB">
        <w:rPr>
          <w:rFonts w:ascii="Times New Roman" w:hAnsi="Times New Roman" w:cs="Times New Roman"/>
        </w:rPr>
        <w:t xml:space="preserve">. </w:t>
      </w:r>
    </w:p>
    <w:p w:rsidR="007452CB" w:rsidRDefault="007C54A1" w:rsidP="007452CB">
      <w:pPr>
        <w:spacing w:line="480" w:lineRule="auto"/>
        <w:ind w:firstLine="720"/>
        <w:rPr>
          <w:rFonts w:ascii="Times New Roman" w:hAnsi="Times New Roman" w:cs="Times New Roman"/>
        </w:rPr>
      </w:pPr>
      <w:r w:rsidRPr="00AD15FB">
        <w:rPr>
          <w:rFonts w:ascii="Times New Roman" w:hAnsi="Times New Roman" w:cs="Times New Roman"/>
        </w:rPr>
        <w:t>The effect of violence was such that improvements</w:t>
      </w:r>
      <w:r w:rsidR="00B02AEF" w:rsidRPr="00AD15FB">
        <w:rPr>
          <w:rFonts w:ascii="Times New Roman" w:hAnsi="Times New Roman" w:cs="Times New Roman"/>
        </w:rPr>
        <w:t xml:space="preserve"> in life expectancy </w:t>
      </w:r>
      <w:r w:rsidR="00865035" w:rsidRPr="00AD15FB">
        <w:rPr>
          <w:rFonts w:ascii="Times New Roman" w:hAnsi="Times New Roman" w:cs="Times New Roman"/>
        </w:rPr>
        <w:t xml:space="preserve">made </w:t>
      </w:r>
      <w:r w:rsidR="00B02AEF" w:rsidRPr="00AD15FB">
        <w:rPr>
          <w:rFonts w:ascii="Times New Roman" w:hAnsi="Times New Roman" w:cs="Times New Roman"/>
        </w:rPr>
        <w:t>by</w:t>
      </w:r>
      <w:r w:rsidRPr="00AD15FB">
        <w:rPr>
          <w:rFonts w:ascii="Times New Roman" w:hAnsi="Times New Roman" w:cs="Times New Roman"/>
        </w:rPr>
        <w:t xml:space="preserve"> other causes of death, such as birth conditions and respiratory diseases, were w</w:t>
      </w:r>
      <w:r w:rsidR="007452CB">
        <w:rPr>
          <w:rFonts w:ascii="Times New Roman" w:hAnsi="Times New Roman" w:cs="Times New Roman"/>
        </w:rPr>
        <w:t>iped</w:t>
      </w:r>
      <w:r w:rsidRPr="00AD15FB">
        <w:rPr>
          <w:rFonts w:ascii="Times New Roman" w:hAnsi="Times New Roman" w:cs="Times New Roman"/>
        </w:rPr>
        <w:t xml:space="preserve"> out by homicides, particularly in males</w:t>
      </w:r>
      <w:r w:rsidR="007543CE" w:rsidRPr="00AD15FB">
        <w:rPr>
          <w:rFonts w:ascii="Times New Roman" w:hAnsi="Times New Roman" w:cs="Times New Roman"/>
        </w:rPr>
        <w:t xml:space="preserve"> </w:t>
      </w:r>
      <w:r w:rsidR="007543CE" w:rsidRPr="00AD15FB">
        <w:rPr>
          <w:rFonts w:ascii="Times New Roman" w:hAnsi="Times New Roman" w:cs="Times New Roman"/>
        </w:rPr>
        <w:fldChar w:fldCharType="begin"/>
      </w:r>
      <w:r w:rsidR="007452CB">
        <w:rPr>
          <w:rFonts w:ascii="Times New Roman" w:hAnsi="Times New Roman" w:cs="Times New Roman"/>
        </w:rPr>
        <w:instrText xml:space="preserve"> ADDIN EN.CITE &lt;EndNote&gt;&lt;Cite&gt;&lt;Author&gt;Aburto&lt;/Author&gt;&lt;Year&gt;2016&lt;/Year&gt;&lt;RecNum&gt;90&lt;/RecNum&gt;&lt;DisplayText&gt;(6)&lt;/DisplayText&gt;&lt;record&gt;&lt;rec-number&gt;90&lt;/rec-number&gt;&lt;foreign-keys&gt;&lt;key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7543CE" w:rsidRPr="00AD15FB">
        <w:rPr>
          <w:rFonts w:ascii="Times New Roman" w:hAnsi="Times New Roman" w:cs="Times New Roman"/>
        </w:rPr>
        <w:fldChar w:fldCharType="separate"/>
      </w:r>
      <w:r w:rsidR="007452CB">
        <w:rPr>
          <w:rFonts w:ascii="Times New Roman" w:hAnsi="Times New Roman" w:cs="Times New Roman"/>
          <w:noProof/>
        </w:rPr>
        <w:t>(6)</w:t>
      </w:r>
      <w:r w:rsidR="007543CE" w:rsidRPr="00AD15FB">
        <w:rPr>
          <w:rFonts w:ascii="Times New Roman" w:hAnsi="Times New Roman" w:cs="Times New Roman"/>
        </w:rPr>
        <w:fldChar w:fldCharType="end"/>
      </w:r>
      <w:r w:rsidRPr="00AD15FB">
        <w:rPr>
          <w:rFonts w:ascii="Times New Roman" w:hAnsi="Times New Roman" w:cs="Times New Roman"/>
        </w:rPr>
        <w:t>.</w:t>
      </w:r>
      <w:r w:rsidR="0013165F" w:rsidRPr="00AD15FB">
        <w:rPr>
          <w:rFonts w:ascii="Times New Roman" w:hAnsi="Times New Roman" w:cs="Times New Roman"/>
        </w:rPr>
        <w:t xml:space="preserve"> </w:t>
      </w:r>
      <w:r w:rsidR="00B02AEF" w:rsidRPr="00AD15FB">
        <w:rPr>
          <w:rFonts w:ascii="Times New Roman" w:hAnsi="Times New Roman" w:cs="Times New Roman"/>
        </w:rPr>
        <w:t>A</w:t>
      </w:r>
      <w:r w:rsidRPr="00AD15FB">
        <w:rPr>
          <w:rFonts w:ascii="Times New Roman" w:hAnsi="Times New Roman" w:cs="Times New Roman"/>
        </w:rPr>
        <w:t>s a re</w:t>
      </w:r>
      <w:r w:rsidR="0013165F" w:rsidRPr="00AD15FB">
        <w:rPr>
          <w:rFonts w:ascii="Times New Roman" w:hAnsi="Times New Roman" w:cs="Times New Roman"/>
        </w:rPr>
        <w:t xml:space="preserve">sult </w:t>
      </w:r>
      <w:r w:rsidRPr="00AD15FB">
        <w:rPr>
          <w:rFonts w:ascii="Times New Roman" w:hAnsi="Times New Roman" w:cs="Times New Roman"/>
        </w:rPr>
        <w:t xml:space="preserve">every state in Mexico experienced losses in life expectancy </w:t>
      </w:r>
      <w:r w:rsidR="00152715" w:rsidRPr="00AD15FB">
        <w:rPr>
          <w:rFonts w:ascii="Times New Roman" w:hAnsi="Times New Roman" w:cs="Times New Roman"/>
        </w:rPr>
        <w:t xml:space="preserve">between 2005 and 2010 </w:t>
      </w:r>
      <w:r w:rsidRPr="00AD15FB">
        <w:rPr>
          <w:rFonts w:ascii="Times New Roman" w:hAnsi="Times New Roman" w:cs="Times New Roman"/>
        </w:rPr>
        <w:t>and some states, like Chihu</w:t>
      </w:r>
      <w:r w:rsidRPr="00AD15FB">
        <w:rPr>
          <w:rFonts w:ascii="Times New Roman" w:hAnsi="Times New Roman" w:cs="Times New Roman"/>
        </w:rPr>
        <w:t>a</w:t>
      </w:r>
      <w:r w:rsidRPr="00AD15FB">
        <w:rPr>
          <w:rFonts w:ascii="Times New Roman" w:hAnsi="Times New Roman" w:cs="Times New Roman"/>
        </w:rPr>
        <w:lastRenderedPageBreak/>
        <w:t>hua in the northern part of the country,</w:t>
      </w:r>
      <w:r w:rsidR="00B02AEF" w:rsidRPr="00AD15FB">
        <w:rPr>
          <w:rFonts w:ascii="Times New Roman" w:hAnsi="Times New Roman" w:cs="Times New Roman"/>
        </w:rPr>
        <w:t xml:space="preserve"> the loss was</w:t>
      </w:r>
      <w:r w:rsidRPr="00AD15FB">
        <w:rPr>
          <w:rFonts w:ascii="Times New Roman" w:hAnsi="Times New Roman" w:cs="Times New Roman"/>
        </w:rPr>
        <w:t xml:space="preserve"> almost </w:t>
      </w:r>
      <w:r w:rsidR="00B02AEF" w:rsidRPr="00AD15FB">
        <w:rPr>
          <w:rFonts w:ascii="Times New Roman" w:hAnsi="Times New Roman" w:cs="Times New Roman"/>
        </w:rPr>
        <w:t xml:space="preserve">of </w:t>
      </w:r>
      <w:r w:rsidRPr="00AD15FB">
        <w:rPr>
          <w:rFonts w:ascii="Times New Roman" w:hAnsi="Times New Roman" w:cs="Times New Roman"/>
        </w:rPr>
        <w:t>3 years in male</w:t>
      </w:r>
      <w:r w:rsidR="00865035" w:rsidRPr="00AD15FB">
        <w:rPr>
          <w:rFonts w:ascii="Times New Roman" w:hAnsi="Times New Roman" w:cs="Times New Roman"/>
        </w:rPr>
        <w:t>s</w:t>
      </w:r>
      <w:r w:rsidR="007543CE" w:rsidRPr="00AD15FB">
        <w:rPr>
          <w:rFonts w:ascii="Times New Roman" w:hAnsi="Times New Roman" w:cs="Times New Roman"/>
        </w:rPr>
        <w:t xml:space="preserve"> </w:t>
      </w:r>
      <w:r w:rsidR="007543CE" w:rsidRPr="00AD15FB">
        <w:rPr>
          <w:rFonts w:ascii="Times New Roman" w:hAnsi="Times New Roman" w:cs="Times New Roman"/>
        </w:rPr>
        <w:fldChar w:fldCharType="begin"/>
      </w:r>
      <w:r w:rsidR="007452CB">
        <w:rPr>
          <w:rFonts w:ascii="Times New Roman" w:hAnsi="Times New Roman" w:cs="Times New Roman"/>
        </w:rPr>
        <w:instrText xml:space="preserve"> ADDIN EN.CITE &lt;EndNote&gt;&lt;Cite&gt;&lt;Author&gt;Aburto&lt;/Author&gt;&lt;Year&gt;2016&lt;/Year&gt;&lt;RecNum&gt;90&lt;/RecNum&gt;&lt;DisplayText&gt;(6)&lt;/DisplayText&gt;&lt;record&gt;&lt;rec-number&gt;90&lt;/rec-number&gt;&lt;foreign-keys&gt;&lt;key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7543CE" w:rsidRPr="00AD15FB">
        <w:rPr>
          <w:rFonts w:ascii="Times New Roman" w:hAnsi="Times New Roman" w:cs="Times New Roman"/>
        </w:rPr>
        <w:fldChar w:fldCharType="separate"/>
      </w:r>
      <w:r w:rsidR="007452CB">
        <w:rPr>
          <w:rFonts w:ascii="Times New Roman" w:hAnsi="Times New Roman" w:cs="Times New Roman"/>
          <w:noProof/>
        </w:rPr>
        <w:t>(6)</w:t>
      </w:r>
      <w:r w:rsidR="007543CE" w:rsidRPr="00AD15FB">
        <w:rPr>
          <w:rFonts w:ascii="Times New Roman" w:hAnsi="Times New Roman" w:cs="Times New Roman"/>
        </w:rPr>
        <w:fldChar w:fldCharType="end"/>
      </w:r>
      <w:r w:rsidRPr="00AD15FB">
        <w:rPr>
          <w:rFonts w:ascii="Times New Roman" w:hAnsi="Times New Roman" w:cs="Times New Roman"/>
        </w:rPr>
        <w:t>.</w:t>
      </w:r>
      <w:r w:rsidR="0085740F" w:rsidRPr="00AD15FB">
        <w:rPr>
          <w:rFonts w:ascii="Times New Roman" w:hAnsi="Times New Roman" w:cs="Times New Roman"/>
        </w:rPr>
        <w:t xml:space="preserve"> </w:t>
      </w:r>
      <w:r w:rsidR="007452CB">
        <w:rPr>
          <w:rFonts w:ascii="Times New Roman" w:hAnsi="Times New Roman" w:cs="Times New Roman"/>
        </w:rPr>
        <w:t xml:space="preserve"> </w:t>
      </w:r>
      <w:r w:rsidR="009B72AE" w:rsidRPr="00AD15FB">
        <w:rPr>
          <w:rFonts w:ascii="Times New Roman" w:hAnsi="Times New Roman" w:cs="Times New Roman"/>
        </w:rPr>
        <w:t>Although these results unde</w:t>
      </w:r>
      <w:r w:rsidR="009B72AE" w:rsidRPr="00AD15FB">
        <w:rPr>
          <w:rFonts w:ascii="Times New Roman" w:hAnsi="Times New Roman" w:cs="Times New Roman"/>
        </w:rPr>
        <w:t>r</w:t>
      </w:r>
      <w:r w:rsidR="009B72AE" w:rsidRPr="00AD15FB">
        <w:rPr>
          <w:rFonts w:ascii="Times New Roman" w:hAnsi="Times New Roman" w:cs="Times New Roman"/>
        </w:rPr>
        <w:t>score important consequences of the rise in homicide mortality, they mask variation in lifespans</w:t>
      </w:r>
      <w:r w:rsidR="004E2A3E" w:rsidRPr="00AD15FB">
        <w:rPr>
          <w:rFonts w:ascii="Times New Roman" w:hAnsi="Times New Roman" w:cs="Times New Roman"/>
        </w:rPr>
        <w:t>, a fundamental inequality between individuals</w:t>
      </w:r>
      <w:r w:rsidR="007543CE" w:rsidRPr="00AD15FB">
        <w:rPr>
          <w:rFonts w:ascii="Times New Roman" w:hAnsi="Times New Roman" w:cs="Times New Roman"/>
        </w:rPr>
        <w:t xml:space="preserve"> </w:t>
      </w:r>
      <w:r w:rsidR="007543CE" w:rsidRPr="00AD15FB">
        <w:rPr>
          <w:rFonts w:ascii="Times New Roman" w:hAnsi="Times New Roman" w:cs="Times New Roman"/>
        </w:rPr>
        <w:fldChar w:fldCharType="begin"/>
      </w:r>
      <w:r w:rsidR="007452CB">
        <w:rPr>
          <w:rFonts w:ascii="Times New Roman" w:hAnsi="Times New Roman" w:cs="Times New Roman"/>
        </w:rPr>
        <w:instrText xml:space="preserve"> ADDIN EN.CITE &lt;EndNote&gt;&lt;Cite&gt;&lt;Author&gt;Colchero&lt;/Author&gt;&lt;Year&gt;2016&lt;/Year&gt;&lt;RecNum&gt;81&lt;/RecNum&gt;&lt;DisplayText&gt;(7)&lt;/DisplayText&gt;&lt;record&gt;&lt;rec-number&gt;81&lt;/rec-number&gt;&lt;foreign-keys&gt;&lt;key app="EN" db-id="xwts0fz21atwpxe2avovtpe5rz9v2fw0dtxf" timestamp="0"&gt;81&lt;/key&gt;&lt;/foreign-keys&gt;&lt;ref-type name="Journal Article"&gt;17&lt;/ref-type&gt;&lt;contributors&gt;&lt;authors&gt;&lt;author&gt;Colchero, Fernando&lt;/author&gt;&lt;author&gt;Rau, Roland&lt;/author&gt;&lt;author&gt;Jones, Owen R.&lt;/author&gt;&lt;author&gt;Barthold, Julia A.&lt;/author&gt;&lt;author&gt;Conde, Dalia A.&lt;/author&gt;&lt;author&gt;Lenart, Adam&lt;/author&gt;&lt;author&gt;Nemeth, Laszlo&lt;/author&gt;&lt;author&gt;Scheuerlein, Alexander&lt;/author&gt;&lt;author&gt;Schoeley, Jonas&lt;/author&gt;&lt;author&gt;Torres, Catalina&lt;/author&gt;&lt;author&gt;Zarulli, Virginia&lt;/author&gt;&lt;author&gt;Altmann, Jeanne&lt;/author&gt;&lt;author&gt;Brockman, Diane K.&lt;/author&gt;&lt;author&gt;Bronikowski, Anne M.&lt;/author&gt;&lt;author&gt;Fedigan, Linda M.&lt;/author&gt;&lt;author&gt;Pusey, Anne E.&lt;/author&gt;&lt;author&gt;Stoinski, Tara S.&lt;/author&gt;&lt;author&gt;Strier, Karen B.&lt;/author&gt;&lt;author&gt;Baudisch, Annette&lt;/author&gt;&lt;author&gt;Alberts, Susan C.&lt;/author&gt;&lt;author&gt;Vaupel, James W.&lt;/author&gt;&lt;/authors&gt;&lt;/contributors&gt;&lt;titles&gt;&lt;title&gt;The emergence of longevous populations&lt;/title&gt;&lt;secondary-title&gt;Proceedings of the National Academy of Sciences&lt;/secondary-title&gt;&lt;/titles&gt;&lt;dates&gt;&lt;year&gt;2016&lt;/year&gt;&lt;pub-dates&gt;&lt;date&gt;November 21, 2016&lt;/date&gt;&lt;/pub-dates&gt;&lt;/dates&gt;&lt;urls&gt;&lt;related-urls&gt;&lt;url&gt;http://www.pnas.org/content/early/2016/11/15/1612191113.abstract&lt;/url&gt;&lt;/related-urls&gt;&lt;/urls&gt;&lt;electronic-resource-num&gt;10.1073/pnas.1612191113&lt;/electronic-resource-num&gt;&lt;/record&gt;&lt;/Cite&gt;&lt;/EndNote&gt;</w:instrText>
      </w:r>
      <w:r w:rsidR="007543CE" w:rsidRPr="00AD15FB">
        <w:rPr>
          <w:rFonts w:ascii="Times New Roman" w:hAnsi="Times New Roman" w:cs="Times New Roman"/>
        </w:rPr>
        <w:fldChar w:fldCharType="separate"/>
      </w:r>
      <w:r w:rsidR="007452CB">
        <w:rPr>
          <w:rFonts w:ascii="Times New Roman" w:hAnsi="Times New Roman" w:cs="Times New Roman"/>
          <w:noProof/>
        </w:rPr>
        <w:t>(7)</w:t>
      </w:r>
      <w:r w:rsidR="007543CE" w:rsidRPr="00AD15FB">
        <w:rPr>
          <w:rFonts w:ascii="Times New Roman" w:hAnsi="Times New Roman" w:cs="Times New Roman"/>
        </w:rPr>
        <w:fldChar w:fldCharType="end"/>
      </w:r>
      <w:r w:rsidR="009B72AE" w:rsidRPr="00AD15FB">
        <w:rPr>
          <w:rFonts w:ascii="Times New Roman" w:hAnsi="Times New Roman" w:cs="Times New Roman"/>
        </w:rPr>
        <w:t>.</w:t>
      </w:r>
    </w:p>
    <w:p w:rsidR="00152715" w:rsidRPr="00AD15FB" w:rsidRDefault="004E2A3E" w:rsidP="007452CB">
      <w:pPr>
        <w:spacing w:line="480" w:lineRule="auto"/>
        <w:ind w:firstLine="720"/>
        <w:rPr>
          <w:rFonts w:ascii="Times New Roman" w:hAnsi="Times New Roman" w:cs="Times New Roman"/>
        </w:rPr>
      </w:pPr>
      <w:r w:rsidRPr="00AD15FB">
        <w:rPr>
          <w:rFonts w:ascii="Times New Roman" w:hAnsi="Times New Roman" w:cs="Times New Roman"/>
        </w:rPr>
        <w:t xml:space="preserve"> </w:t>
      </w:r>
      <w:r w:rsidR="006C2776" w:rsidRPr="00AD15FB">
        <w:rPr>
          <w:rFonts w:ascii="Times New Roman" w:hAnsi="Times New Roman" w:cs="Times New Roman"/>
        </w:rPr>
        <w:t>In this paper, we assess the impact of violence, through homicides, on</w:t>
      </w:r>
      <w:r w:rsidR="00152715" w:rsidRPr="00AD15FB">
        <w:rPr>
          <w:rFonts w:ascii="Times New Roman" w:hAnsi="Times New Roman" w:cs="Times New Roman"/>
        </w:rPr>
        <w:t xml:space="preserve"> life expectancy and on</w:t>
      </w:r>
      <w:r w:rsidR="006C2776" w:rsidRPr="00AD15FB">
        <w:rPr>
          <w:rFonts w:ascii="Times New Roman" w:hAnsi="Times New Roman" w:cs="Times New Roman"/>
        </w:rPr>
        <w:t xml:space="preserve"> the unce</w:t>
      </w:r>
      <w:r w:rsidR="006C2776" w:rsidRPr="00AD15FB">
        <w:rPr>
          <w:rFonts w:ascii="Times New Roman" w:hAnsi="Times New Roman" w:cs="Times New Roman"/>
        </w:rPr>
        <w:t>r</w:t>
      </w:r>
      <w:r w:rsidR="006C2776" w:rsidRPr="00AD15FB">
        <w:rPr>
          <w:rFonts w:ascii="Times New Roman" w:hAnsi="Times New Roman" w:cs="Times New Roman"/>
        </w:rPr>
        <w:t xml:space="preserve">tainty </w:t>
      </w:r>
      <w:r w:rsidR="00152715" w:rsidRPr="00AD15FB">
        <w:rPr>
          <w:rFonts w:ascii="Times New Roman" w:hAnsi="Times New Roman" w:cs="Times New Roman"/>
        </w:rPr>
        <w:t>surrounding</w:t>
      </w:r>
      <w:r w:rsidR="006C2776" w:rsidRPr="00AD15FB">
        <w:rPr>
          <w:rFonts w:ascii="Times New Roman" w:hAnsi="Times New Roman" w:cs="Times New Roman"/>
        </w:rPr>
        <w:t xml:space="preserve"> age at death </w:t>
      </w:r>
      <w:r w:rsidR="00152715" w:rsidRPr="00AD15FB">
        <w:rPr>
          <w:rFonts w:ascii="Times New Roman" w:hAnsi="Times New Roman" w:cs="Times New Roman"/>
        </w:rPr>
        <w:t xml:space="preserve">in Mexico and its </w:t>
      </w:r>
      <w:r w:rsidR="007A7C9E" w:rsidRPr="00AD15FB">
        <w:rPr>
          <w:rFonts w:ascii="Times New Roman" w:hAnsi="Times New Roman" w:cs="Times New Roman"/>
        </w:rPr>
        <w:t>32 states</w:t>
      </w:r>
      <w:r w:rsidR="00152715" w:rsidRPr="00AD15FB">
        <w:rPr>
          <w:rFonts w:ascii="Times New Roman" w:hAnsi="Times New Roman" w:cs="Times New Roman"/>
        </w:rPr>
        <w:t xml:space="preserve">. We cover a 20 year period from 1995 to 2015 </w:t>
      </w:r>
      <w:r w:rsidR="007A7C9E" w:rsidRPr="00AD15FB">
        <w:rPr>
          <w:rFonts w:ascii="Times New Roman" w:hAnsi="Times New Roman" w:cs="Times New Roman"/>
        </w:rPr>
        <w:t>and an</w:t>
      </w:r>
      <w:r w:rsidR="007A7C9E" w:rsidRPr="00AD15FB">
        <w:rPr>
          <w:rFonts w:ascii="Times New Roman" w:hAnsi="Times New Roman" w:cs="Times New Roman"/>
        </w:rPr>
        <w:t>a</w:t>
      </w:r>
      <w:r w:rsidR="007A7C9E" w:rsidRPr="00AD15FB">
        <w:rPr>
          <w:rFonts w:ascii="Times New Roman" w:hAnsi="Times New Roman" w:cs="Times New Roman"/>
        </w:rPr>
        <w:t>lyze females and males separately. We chose this particular period because it covers two comparable 10-year p</w:t>
      </w:r>
      <w:r w:rsidR="007A7C9E" w:rsidRPr="00AD15FB">
        <w:rPr>
          <w:rFonts w:ascii="Times New Roman" w:hAnsi="Times New Roman" w:cs="Times New Roman"/>
        </w:rPr>
        <w:t>e</w:t>
      </w:r>
      <w:r w:rsidR="007452CB">
        <w:rPr>
          <w:rFonts w:ascii="Times New Roman" w:hAnsi="Times New Roman" w:cs="Times New Roman"/>
        </w:rPr>
        <w:t>riods: 1995-2005,</w:t>
      </w:r>
      <w:r w:rsidR="007A7C9E" w:rsidRPr="00AD15FB">
        <w:rPr>
          <w:rFonts w:ascii="Times New Roman" w:hAnsi="Times New Roman" w:cs="Times New Roman"/>
        </w:rPr>
        <w:t xml:space="preserve"> period during which homicides rates fell down, and 2005-2015 when an unexpected increase in hom</w:t>
      </w:r>
      <w:r w:rsidR="007452CB">
        <w:rPr>
          <w:rFonts w:ascii="Times New Roman" w:hAnsi="Times New Roman" w:cs="Times New Roman"/>
        </w:rPr>
        <w:t>icide rates bega</w:t>
      </w:r>
      <w:r w:rsidR="007A7C9E" w:rsidRPr="00AD15FB">
        <w:rPr>
          <w:rFonts w:ascii="Times New Roman" w:hAnsi="Times New Roman" w:cs="Times New Roman"/>
        </w:rPr>
        <w:t>n</w:t>
      </w:r>
      <w:r w:rsidR="00AD5099">
        <w:rPr>
          <w:rFonts w:ascii="Times New Roman" w:hAnsi="Times New Roman" w:cs="Times New Roman"/>
        </w:rPr>
        <w:t>,</w:t>
      </w:r>
      <w:r w:rsidR="007A7C9E" w:rsidRPr="00AD15FB">
        <w:rPr>
          <w:rFonts w:ascii="Times New Roman" w:hAnsi="Times New Roman" w:cs="Times New Roman"/>
        </w:rPr>
        <w:t xml:space="preserve"> paralleling the so-called War on drugs.</w:t>
      </w:r>
    </w:p>
    <w:p w:rsidR="000A2B79" w:rsidRPr="00AD15FB" w:rsidRDefault="002F3ACA" w:rsidP="00EC6E93">
      <w:pPr>
        <w:pStyle w:val="Subtitle"/>
        <w:spacing w:line="480" w:lineRule="auto"/>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Study data and Methods</w:t>
      </w:r>
    </w:p>
    <w:p w:rsidR="00184A14" w:rsidRPr="00AD15FB" w:rsidRDefault="002F3ACA" w:rsidP="00EE5574">
      <w:pPr>
        <w:autoSpaceDE w:val="0"/>
        <w:autoSpaceDN w:val="0"/>
        <w:adjustRightInd w:val="0"/>
        <w:spacing w:after="100" w:afterAutospacing="1" w:line="480" w:lineRule="auto"/>
        <w:ind w:firstLine="720"/>
        <w:rPr>
          <w:rFonts w:ascii="Times New Roman" w:hAnsi="Times New Roman" w:cs="Times New Roman"/>
        </w:rPr>
      </w:pPr>
      <w:r w:rsidRPr="00AD15FB">
        <w:rPr>
          <w:rFonts w:ascii="Times New Roman" w:hAnsi="Times New Roman" w:cs="Times New Roman"/>
        </w:rPr>
        <w:t>D</w:t>
      </w:r>
      <w:r w:rsidR="00184A14" w:rsidRPr="00AD15FB">
        <w:rPr>
          <w:rFonts w:ascii="Times New Roman" w:hAnsi="Times New Roman" w:cs="Times New Roman"/>
        </w:rPr>
        <w:t>ata on deaths from vital statistics files</w:t>
      </w:r>
      <w:r w:rsidRPr="00AD15FB">
        <w:rPr>
          <w:rFonts w:ascii="Times New Roman" w:hAnsi="Times New Roman" w:cs="Times New Roman"/>
        </w:rPr>
        <w:t xml:space="preserve"> publicly</w:t>
      </w:r>
      <w:r w:rsidR="00184A14" w:rsidRPr="00AD15FB">
        <w:rPr>
          <w:rFonts w:ascii="Times New Roman" w:hAnsi="Times New Roman" w:cs="Times New Roman"/>
        </w:rPr>
        <w:t xml:space="preserve"> available through the Mexican National Institute of St</w:t>
      </w:r>
      <w:r w:rsidR="00184A14" w:rsidRPr="00AD15FB">
        <w:rPr>
          <w:rFonts w:ascii="Times New Roman" w:hAnsi="Times New Roman" w:cs="Times New Roman"/>
        </w:rPr>
        <w:t>a</w:t>
      </w:r>
      <w:r w:rsidR="00184A14" w:rsidRPr="00AD15FB">
        <w:rPr>
          <w:rFonts w:ascii="Times New Roman" w:hAnsi="Times New Roman" w:cs="Times New Roman"/>
        </w:rPr>
        <w:t>tistics and Geography</w:t>
      </w:r>
      <w:r w:rsidRPr="00AD15FB">
        <w:rPr>
          <w:rFonts w:ascii="Times New Roman" w:hAnsi="Times New Roman" w:cs="Times New Roman"/>
        </w:rPr>
        <w:t xml:space="preserve"> were used</w:t>
      </w:r>
      <w:r w:rsidR="005D44B2" w:rsidRPr="00AD15FB">
        <w:rPr>
          <w:rFonts w:ascii="Times New Roman" w:hAnsi="Times New Roman" w:cs="Times New Roman"/>
        </w:rPr>
        <w:t xml:space="preserve"> </w:t>
      </w:r>
      <w:r w:rsidR="005D44B2" w:rsidRPr="00AD15FB">
        <w:rPr>
          <w:rFonts w:ascii="Times New Roman" w:hAnsi="Times New Roman" w:cs="Times New Roman"/>
        </w:rPr>
        <w:fldChar w:fldCharType="begin"/>
      </w:r>
      <w:r w:rsidR="008013ED" w:rsidRPr="00AD15FB">
        <w:rPr>
          <w:rFonts w:ascii="Times New Roman" w:hAnsi="Times New Roman" w:cs="Times New Roman"/>
        </w:rPr>
        <w:instrText xml:space="preserve"> ADDIN EN.CITE &lt;EndNote&gt;&lt;Cite&gt;&lt;Author&gt;INEGI&lt;/Author&gt;&lt;Year&gt;2017&lt;/Year&gt;&lt;RecNum&gt;93&lt;/RecNum&gt;&lt;DisplayText&gt;(8)&lt;/DisplayText&gt;&lt;record&gt;&lt;rec-number&gt;93&lt;/rec-number&gt;&lt;foreign-keys&gt;&lt;key app="EN" db-id="xwts0fz21atwpxe2avovtpe5rz9v2fw0dtxf" timestamp="1492773352"&gt;93&lt;/key&gt;&lt;/foreign-keys&gt;&lt;ref-type name="Web Page"&gt;12&lt;/ref-type&gt;&lt;contributors&gt;&lt;authors&gt;&lt;author&gt;INEGI&lt;/author&gt;&lt;/authors&gt;&lt;/contributors&gt;&lt;titles&gt;&lt;title&gt;National Institute of Statistics: Micro-data files on mortality data 1995-2015&lt;/title&gt;&lt;/titles&gt;&lt;volume&gt;2017&lt;/volume&gt;&lt;number&gt;21/4/2017&lt;/number&gt;&lt;dates&gt;&lt;year&gt;2017&lt;/year&gt;&lt;/dates&gt;&lt;urls&gt;&lt;related-urls&gt;&lt;url&gt;http://www.beta.inegi.org.mx/proyectos/registros/vitales/mortalidad/default.html&lt;/url&gt;&lt;/related-urls&gt;&lt;/urls&gt;&lt;/record&gt;&lt;/Cite&gt;&lt;/EndNote&gt;</w:instrText>
      </w:r>
      <w:r w:rsidR="005D44B2" w:rsidRPr="00AD15FB">
        <w:rPr>
          <w:rFonts w:ascii="Times New Roman" w:hAnsi="Times New Roman" w:cs="Times New Roman"/>
        </w:rPr>
        <w:fldChar w:fldCharType="separate"/>
      </w:r>
      <w:r w:rsidR="008013ED" w:rsidRPr="00AD15FB">
        <w:rPr>
          <w:rFonts w:ascii="Times New Roman" w:hAnsi="Times New Roman" w:cs="Times New Roman"/>
          <w:noProof/>
        </w:rPr>
        <w:t>(8)</w:t>
      </w:r>
      <w:r w:rsidR="005D44B2" w:rsidRPr="00AD15FB">
        <w:rPr>
          <w:rFonts w:ascii="Times New Roman" w:hAnsi="Times New Roman" w:cs="Times New Roman"/>
        </w:rPr>
        <w:fldChar w:fldCharType="end"/>
      </w:r>
      <w:r w:rsidR="00184A14" w:rsidRPr="00AD15FB">
        <w:rPr>
          <w:rFonts w:ascii="Times New Roman" w:hAnsi="Times New Roman" w:cs="Times New Roman"/>
        </w:rPr>
        <w:t>. These data include information on cause of death by age at the time of death, sex, and place of occurrence</w:t>
      </w:r>
      <w:r w:rsidR="006218DF" w:rsidRPr="00AD15FB">
        <w:rPr>
          <w:rFonts w:ascii="Times New Roman" w:hAnsi="Times New Roman" w:cs="Times New Roman"/>
        </w:rPr>
        <w:t xml:space="preserve"> from 1995 to 2015</w:t>
      </w:r>
      <w:r w:rsidR="00184A14" w:rsidRPr="00AD15FB">
        <w:rPr>
          <w:rFonts w:ascii="Times New Roman" w:hAnsi="Times New Roman" w:cs="Times New Roman"/>
        </w:rPr>
        <w:t>. Additionally, we used population estimates corrected for co</w:t>
      </w:r>
      <w:r w:rsidR="00184A14" w:rsidRPr="00AD15FB">
        <w:rPr>
          <w:rFonts w:ascii="Times New Roman" w:hAnsi="Times New Roman" w:cs="Times New Roman"/>
        </w:rPr>
        <w:t>m</w:t>
      </w:r>
      <w:r w:rsidR="00184A14" w:rsidRPr="00AD15FB">
        <w:rPr>
          <w:rFonts w:ascii="Times New Roman" w:hAnsi="Times New Roman" w:cs="Times New Roman"/>
        </w:rPr>
        <w:t>pleteness, age misstatement, and international migration available from the Mexican</w:t>
      </w:r>
      <w:r w:rsidRPr="00AD15FB">
        <w:rPr>
          <w:rFonts w:ascii="Times New Roman" w:hAnsi="Times New Roman" w:cs="Times New Roman"/>
        </w:rPr>
        <w:t xml:space="preserve"> Population Council</w:t>
      </w:r>
      <w:r w:rsidR="00184A14" w:rsidRPr="00AD15FB">
        <w:rPr>
          <w:rFonts w:ascii="Times New Roman" w:hAnsi="Times New Roman" w:cs="Times New Roman"/>
        </w:rPr>
        <w:t xml:space="preserve"> </w:t>
      </w:r>
      <w:r w:rsidR="007452CB">
        <w:rPr>
          <w:rFonts w:ascii="Times New Roman" w:hAnsi="Times New Roman" w:cs="Times New Roman"/>
        </w:rPr>
        <w:t xml:space="preserve">to </w:t>
      </w:r>
      <w:r w:rsidR="00184A14" w:rsidRPr="00AD15FB">
        <w:rPr>
          <w:rFonts w:ascii="Times New Roman" w:hAnsi="Times New Roman" w:cs="Times New Roman"/>
        </w:rPr>
        <w:t>co</w:t>
      </w:r>
      <w:r w:rsidR="00184A14" w:rsidRPr="00AD15FB">
        <w:rPr>
          <w:rFonts w:ascii="Times New Roman" w:hAnsi="Times New Roman" w:cs="Times New Roman"/>
        </w:rPr>
        <w:t>n</w:t>
      </w:r>
      <w:r w:rsidR="00184A14" w:rsidRPr="00AD15FB">
        <w:rPr>
          <w:rFonts w:ascii="Times New Roman" w:hAnsi="Times New Roman" w:cs="Times New Roman"/>
        </w:rPr>
        <w:t>struct age-specific death rates by sex and state</w:t>
      </w:r>
      <w:r w:rsidR="005D44B2" w:rsidRPr="00AD15FB">
        <w:rPr>
          <w:rFonts w:ascii="Times New Roman" w:hAnsi="Times New Roman" w:cs="Times New Roman"/>
        </w:rPr>
        <w:t xml:space="preserve"> </w:t>
      </w:r>
      <w:r w:rsidR="005D44B2" w:rsidRPr="00AD15FB">
        <w:rPr>
          <w:rFonts w:ascii="Times New Roman" w:hAnsi="Times New Roman" w:cs="Times New Roman"/>
        </w:rPr>
        <w:fldChar w:fldCharType="begin"/>
      </w:r>
      <w:r w:rsidR="008013ED" w:rsidRPr="00AD15FB">
        <w:rPr>
          <w:rFonts w:ascii="Times New Roman" w:hAnsi="Times New Roman" w:cs="Times New Roman"/>
        </w:rPr>
        <w:instrText xml:space="preserve"> ADDIN EN.CITE &lt;EndNote&gt;&lt;Cite&gt;&lt;Author&gt;CONAPO&lt;/Author&gt;&lt;Year&gt;2017&lt;/Year&gt;&lt;RecNum&gt;94&lt;/RecNum&gt;&lt;DisplayText&gt;(9)&lt;/DisplayText&gt;&lt;record&gt;&lt;rec-number&gt;94&lt;/rec-number&gt;&lt;foreign-keys&gt;&lt;key app="EN" db-id="xwts0fz21atwpxe2avovtpe5rz9v2fw0dtxf" timestamp="1492773497"&gt;94&lt;/key&gt;&lt;/foreign-keys&gt;&lt;ref-type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sidR="005D44B2" w:rsidRPr="00AD15FB">
        <w:rPr>
          <w:rFonts w:ascii="Times New Roman" w:hAnsi="Times New Roman" w:cs="Times New Roman"/>
        </w:rPr>
        <w:fldChar w:fldCharType="separate"/>
      </w:r>
      <w:r w:rsidR="008013ED" w:rsidRPr="00AD15FB">
        <w:rPr>
          <w:rFonts w:ascii="Times New Roman" w:hAnsi="Times New Roman" w:cs="Times New Roman"/>
          <w:noProof/>
        </w:rPr>
        <w:t>(9)</w:t>
      </w:r>
      <w:r w:rsidR="005D44B2" w:rsidRPr="00AD15FB">
        <w:rPr>
          <w:rFonts w:ascii="Times New Roman" w:hAnsi="Times New Roman" w:cs="Times New Roman"/>
        </w:rPr>
        <w:fldChar w:fldCharType="end"/>
      </w:r>
      <w:r w:rsidR="00184A14" w:rsidRPr="00AD15FB">
        <w:rPr>
          <w:rFonts w:ascii="Times New Roman" w:hAnsi="Times New Roman" w:cs="Times New Roman"/>
        </w:rPr>
        <w:t>.</w:t>
      </w:r>
    </w:p>
    <w:p w:rsidR="00184A14" w:rsidRPr="00AD15FB" w:rsidRDefault="005E392D" w:rsidP="00EE5574">
      <w:pPr>
        <w:autoSpaceDE w:val="0"/>
        <w:autoSpaceDN w:val="0"/>
        <w:adjustRightInd w:val="0"/>
        <w:spacing w:after="100" w:afterAutospacing="1" w:line="480" w:lineRule="auto"/>
        <w:rPr>
          <w:rFonts w:ascii="Times New Roman" w:hAnsi="Times New Roman" w:cs="Times New Roman"/>
        </w:rPr>
      </w:pPr>
      <w:r w:rsidRPr="00AD15FB">
        <w:rPr>
          <w:rFonts w:ascii="Times New Roman" w:hAnsi="Times New Roman" w:cs="Times New Roman"/>
          <w:b/>
          <w:i/>
        </w:rPr>
        <w:t>Cause-of-death classification</w:t>
      </w:r>
    </w:p>
    <w:p w:rsidR="005E392D" w:rsidRPr="00AD15FB" w:rsidRDefault="005E392D" w:rsidP="00EE5574">
      <w:pPr>
        <w:autoSpaceDE w:val="0"/>
        <w:autoSpaceDN w:val="0"/>
        <w:adjustRightInd w:val="0"/>
        <w:spacing w:after="100" w:afterAutospacing="1" w:line="480" w:lineRule="auto"/>
        <w:ind w:firstLine="720"/>
        <w:rPr>
          <w:rFonts w:ascii="Times New Roman" w:hAnsi="Times New Roman" w:cs="Times New Roman"/>
        </w:rPr>
      </w:pPr>
      <w:r w:rsidRPr="00AD15FB">
        <w:rPr>
          <w:rFonts w:ascii="Times New Roman" w:hAnsi="Times New Roman" w:cs="Times New Roman"/>
        </w:rPr>
        <w:t>We classify deaths in ten categories according to previous studies targeting the main causes of death in Mexico</w:t>
      </w:r>
      <w:r w:rsidR="000B163F" w:rsidRPr="00AD15FB">
        <w:rPr>
          <w:rFonts w:ascii="Times New Roman" w:hAnsi="Times New Roman" w:cs="Times New Roman"/>
        </w:rPr>
        <w:t xml:space="preserve"> </w:t>
      </w:r>
      <w:r w:rsidR="000B163F" w:rsidRPr="00AD15FB">
        <w:rPr>
          <w:rFonts w:ascii="Times New Roman" w:hAnsi="Times New Roman" w:cs="Times New Roman"/>
        </w:rPr>
        <w:fldChar w:fldCharType="begin"/>
      </w:r>
      <w:r w:rsidR="007452CB">
        <w:rPr>
          <w:rFonts w:ascii="Times New Roman" w:hAnsi="Times New Roman" w:cs="Times New Roman"/>
        </w:rPr>
        <w:instrText xml:space="preserve"> ADDIN EN.CITE &lt;EndNote&gt;&lt;Cite&gt;&lt;Author&gt;Aburto&lt;/Author&gt;&lt;Year&gt;2016&lt;/Year&gt;&lt;RecNum&gt;90&lt;/RecNum&gt;&lt;DisplayText&gt;(6)&lt;/DisplayText&gt;&lt;record&gt;&lt;rec-number&gt;90&lt;/rec-number&gt;&lt;foreign-keys&gt;&lt;key app="EN" db-id="xwts0fz21atwpxe2avovtpe5rz9v2fw0dtxf" timestamp="1492772597"&gt;90&lt;/key&gt;&lt;/foreign-keys&gt;&lt;ref-type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0B163F" w:rsidRPr="00AD15FB">
        <w:rPr>
          <w:rFonts w:ascii="Times New Roman" w:hAnsi="Times New Roman" w:cs="Times New Roman"/>
        </w:rPr>
        <w:fldChar w:fldCharType="separate"/>
      </w:r>
      <w:r w:rsidR="007452CB">
        <w:rPr>
          <w:rFonts w:ascii="Times New Roman" w:hAnsi="Times New Roman" w:cs="Times New Roman"/>
          <w:noProof/>
        </w:rPr>
        <w:t>(6)</w:t>
      </w:r>
      <w:r w:rsidR="000B163F" w:rsidRPr="00AD15FB">
        <w:rPr>
          <w:rFonts w:ascii="Times New Roman" w:hAnsi="Times New Roman" w:cs="Times New Roman"/>
        </w:rPr>
        <w:fldChar w:fldCharType="end"/>
      </w:r>
      <w:r w:rsidRPr="00AD15FB">
        <w:rPr>
          <w:rFonts w:ascii="Times New Roman" w:hAnsi="Times New Roman" w:cs="Times New Roman"/>
        </w:rPr>
        <w:t>. The first category refers to conditions amenable to medical service. We analyze separately diabetes, ischemic heart diseases (IHD), HIV/AIDS, lung cancer, cirrhosis, road traffic accidents, suicide, homicides, and the rest of causes of death labeled “Other causes”.</w:t>
      </w:r>
    </w:p>
    <w:p w:rsidR="00EE5574" w:rsidRPr="00AD15FB" w:rsidRDefault="005E392D" w:rsidP="00EE5574">
      <w:pPr>
        <w:autoSpaceDE w:val="0"/>
        <w:autoSpaceDN w:val="0"/>
        <w:adjustRightInd w:val="0"/>
        <w:spacing w:after="100" w:afterAutospacing="1" w:line="480" w:lineRule="auto"/>
        <w:ind w:firstLine="720"/>
        <w:rPr>
          <w:rFonts w:ascii="Times New Roman" w:hAnsi="Times New Roman" w:cs="Times New Roman"/>
        </w:rPr>
      </w:pPr>
      <w:r w:rsidRPr="00AD15FB">
        <w:rPr>
          <w:rFonts w:ascii="Times New Roman" w:hAnsi="Times New Roman" w:cs="Times New Roman"/>
        </w:rPr>
        <w:t xml:space="preserve">Originally, data on deaths were classified according to the International Classification of Diseases (ICD), revision 9 for years 1995-1997 and revision 10 for 1998-2015. Previous studies have checked </w:t>
      </w:r>
      <w:r w:rsidR="00096503">
        <w:rPr>
          <w:rFonts w:ascii="Times New Roman" w:hAnsi="Times New Roman" w:cs="Times New Roman"/>
        </w:rPr>
        <w:t xml:space="preserve">the </w:t>
      </w:r>
      <w:r w:rsidRPr="00AD15FB">
        <w:rPr>
          <w:rFonts w:ascii="Times New Roman" w:hAnsi="Times New Roman" w:cs="Times New Roman"/>
        </w:rPr>
        <w:t>validity of the cause-of-death codes used in this paper and did not find cause-specific ruptures in the transition from ICD 9 to ICD 10</w:t>
      </w:r>
      <w:r w:rsidR="000B163F" w:rsidRPr="00AD15FB">
        <w:rPr>
          <w:rFonts w:ascii="Times New Roman" w:hAnsi="Times New Roman" w:cs="Times New Roman"/>
        </w:rPr>
        <w:t xml:space="preserve"> </w:t>
      </w:r>
      <w:r w:rsidR="000B163F" w:rsidRPr="00AD15FB">
        <w:rPr>
          <w:rFonts w:ascii="Times New Roman" w:hAnsi="Times New Roman" w:cs="Times New Roman"/>
        </w:rPr>
        <w:fldChar w:fldCharType="begin"/>
      </w:r>
      <w:r w:rsidR="008013ED" w:rsidRPr="00AD15FB">
        <w:rPr>
          <w:rFonts w:ascii="Times New Roman" w:hAnsi="Times New Roman" w:cs="Times New Roman"/>
        </w:rPr>
        <w:instrText xml:space="preserve"> ADDIN EN.CITE &lt;EndNote&gt;&lt;Cite&gt;&lt;Author&gt;Aburto&lt;/Author&gt;&lt;Year&gt;2017&lt;/Year&gt;&lt;RecNum&gt;95&lt;/RecNum&gt;&lt;DisplayText&gt;(10)&lt;/DisplayText&gt;&lt;record&gt;&lt;rec-number&gt;95&lt;/rec-number&gt;&lt;foreign-keys&gt;&lt;key app="EN" db-id="xwts0fz21atwpxe2avovtpe5rz9v2fw0dtxf" timestamp="1492773759"&gt;95&lt;/key&gt;&lt;/foreign-keys&gt;&lt;ref-type name="Unpublished Work"&gt;34&lt;/ref-type&gt;&lt;contributors&gt;&lt;authors&gt;&lt;author&gt;Aburto, Jose Manuel&lt;/author&gt;&lt;author&gt;Riffe, Tim&lt;/author&gt;&lt;author&gt;Canudas-Romo, Vladimir&lt;/author&gt;&lt;/authors&gt;&lt;/contributors&gt;&lt;titles&gt;&lt;title&gt;Stagnation, deterioration abd disparities on adulthood survival in Mexican states, 1990-2015&lt;/title&gt;&lt;/titles&gt;&lt;dates&gt;&lt;year&gt;2017&lt;/year&gt;&lt;/dates&gt;&lt;publisher&gt;Max Planck Odense Center on Biodemography of Aging. Available from authors.&lt;/publisher&gt;&lt;urls&gt;&lt;/urls&gt;&lt;/record&gt;&lt;/Cite&gt;&lt;/EndNote&gt;</w:instrText>
      </w:r>
      <w:r w:rsidR="000B163F" w:rsidRPr="00AD15FB">
        <w:rPr>
          <w:rFonts w:ascii="Times New Roman" w:hAnsi="Times New Roman" w:cs="Times New Roman"/>
        </w:rPr>
        <w:fldChar w:fldCharType="separate"/>
      </w:r>
      <w:r w:rsidR="008013ED" w:rsidRPr="00AD15FB">
        <w:rPr>
          <w:rFonts w:ascii="Times New Roman" w:hAnsi="Times New Roman" w:cs="Times New Roman"/>
          <w:noProof/>
        </w:rPr>
        <w:t>(10)</w:t>
      </w:r>
      <w:r w:rsidR="000B163F" w:rsidRPr="00AD15FB">
        <w:rPr>
          <w:rFonts w:ascii="Times New Roman" w:hAnsi="Times New Roman" w:cs="Times New Roman"/>
        </w:rPr>
        <w:fldChar w:fldCharType="end"/>
      </w:r>
      <w:r w:rsidRPr="00AD15FB">
        <w:rPr>
          <w:rFonts w:ascii="Times New Roman" w:hAnsi="Times New Roman" w:cs="Times New Roman"/>
        </w:rPr>
        <w:t xml:space="preserve">. </w:t>
      </w:r>
    </w:p>
    <w:p w:rsidR="006825DF" w:rsidRPr="00AD15FB" w:rsidRDefault="0047614E" w:rsidP="00EE5574">
      <w:pPr>
        <w:autoSpaceDE w:val="0"/>
        <w:autoSpaceDN w:val="0"/>
        <w:adjustRightInd w:val="0"/>
        <w:spacing w:after="100" w:afterAutospacing="1" w:line="480" w:lineRule="auto"/>
        <w:rPr>
          <w:rFonts w:ascii="Times New Roman" w:hAnsi="Times New Roman" w:cs="Times New Roman"/>
        </w:rPr>
      </w:pPr>
      <w:r w:rsidRPr="00AD15FB">
        <w:rPr>
          <w:rFonts w:ascii="Times New Roman" w:hAnsi="Times New Roman" w:cs="Times New Roman"/>
          <w:b/>
          <w:i/>
        </w:rPr>
        <w:lastRenderedPageBreak/>
        <w:t>Dispersion measure</w:t>
      </w:r>
    </w:p>
    <w:p w:rsidR="00AF7B1D" w:rsidRPr="00AD15FB" w:rsidRDefault="00706116" w:rsidP="00EE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rPr>
      </w:pPr>
      <w:r w:rsidRPr="00AD15FB">
        <w:rPr>
          <w:rFonts w:ascii="Times New Roman" w:hAnsi="Times New Roman" w:cs="Times New Roman"/>
        </w:rPr>
        <w:tab/>
      </w:r>
      <w:r w:rsidR="00AD66A7" w:rsidRPr="00AD15FB">
        <w:rPr>
          <w:rFonts w:ascii="Times New Roman" w:hAnsi="Times New Roman" w:cs="Times New Roman"/>
        </w:rPr>
        <w:t>Several dispersion measures have been proposed to analyze lifespan variability</w:t>
      </w:r>
      <w:r w:rsidR="000B163F" w:rsidRPr="00AD15FB">
        <w:rPr>
          <w:rFonts w:ascii="Times New Roman" w:hAnsi="Times New Roman" w:cs="Times New Roman"/>
        </w:rPr>
        <w:t xml:space="preserve"> </w:t>
      </w:r>
      <w:r w:rsidR="000B163F" w:rsidRPr="00AD15FB">
        <w:rPr>
          <w:rFonts w:ascii="Times New Roman" w:hAnsi="Times New Roman" w:cs="Times New Roman"/>
        </w:rPr>
        <w:fldChar w:fldCharType="begin"/>
      </w:r>
      <w:r w:rsidR="008013ED" w:rsidRPr="00AD15FB">
        <w:rPr>
          <w:rFonts w:ascii="Times New Roman" w:hAnsi="Times New Roman" w:cs="Times New Roman"/>
        </w:rPr>
        <w:instrText xml:space="preserve"> ADDIN EN.CITE &lt;EndNote&gt;&lt;Cite&gt;&lt;Author&gt;van Raalte&lt;/Author&gt;&lt;Year&gt;2013&lt;/Year&gt;&lt;RecNum&gt;9&lt;/RecNum&gt;&lt;DisplayText&gt;(11)&lt;/DisplayText&gt;&lt;record&gt;&lt;rec-number&gt;9&lt;/rec-number&gt;&lt;foreign-keys&gt;&lt;key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ages&gt;1615-1640&lt;/pages&gt;&lt;volume&gt;50&lt;/volume&gt;&lt;number&gt;5&lt;/number&gt;&lt;dates&gt;&lt;year&gt;2013&lt;/year&gt;&lt;/dates&gt;&lt;publisher&gt;Springer&lt;/publisher&gt;&lt;label&gt;van2013perturbation&lt;/label&gt;&lt;urls&gt;&lt;/urls&gt;&lt;/record&gt;&lt;/Cite&gt;&lt;/EndNote&gt;</w:instrText>
      </w:r>
      <w:r w:rsidR="000B163F" w:rsidRPr="00AD15FB">
        <w:rPr>
          <w:rFonts w:ascii="Times New Roman" w:hAnsi="Times New Roman" w:cs="Times New Roman"/>
        </w:rPr>
        <w:fldChar w:fldCharType="separate"/>
      </w:r>
      <w:r w:rsidR="008013ED" w:rsidRPr="00AD15FB">
        <w:rPr>
          <w:rFonts w:ascii="Times New Roman" w:hAnsi="Times New Roman" w:cs="Times New Roman"/>
          <w:noProof/>
        </w:rPr>
        <w:t>(11)</w:t>
      </w:r>
      <w:r w:rsidR="000B163F" w:rsidRPr="00AD15FB">
        <w:rPr>
          <w:rFonts w:ascii="Times New Roman" w:hAnsi="Times New Roman" w:cs="Times New Roman"/>
        </w:rPr>
        <w:fldChar w:fldCharType="end"/>
      </w:r>
      <w:r w:rsidR="00AD66A7" w:rsidRPr="00AD15FB">
        <w:rPr>
          <w:rFonts w:ascii="Times New Roman" w:hAnsi="Times New Roman" w:cs="Times New Roman"/>
        </w:rPr>
        <w:t xml:space="preserve">. In this </w:t>
      </w:r>
      <w:r w:rsidR="006825DF" w:rsidRPr="00AD15FB">
        <w:rPr>
          <w:rFonts w:ascii="Times New Roman" w:hAnsi="Times New Roman" w:cs="Times New Roman"/>
        </w:rPr>
        <w:t xml:space="preserve">study,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825DF" w:rsidRPr="00AD15FB">
        <w:rPr>
          <w:rFonts w:ascii="Times New Roman" w:hAnsi="Times New Roman" w:cs="Times New Roman"/>
        </w:rPr>
        <w:t xml:space="preserve"> is used as a dispersion indicator and we refer to it as “life disparity”. It is defined as the average remaining life e</w:t>
      </w:r>
      <w:r w:rsidR="006825DF" w:rsidRPr="00AD15FB">
        <w:rPr>
          <w:rFonts w:ascii="Times New Roman" w:hAnsi="Times New Roman" w:cs="Times New Roman"/>
        </w:rPr>
        <w:t>x</w:t>
      </w:r>
      <w:r w:rsidR="006825DF" w:rsidRPr="00AD15FB">
        <w:rPr>
          <w:rFonts w:ascii="Times New Roman" w:hAnsi="Times New Roman" w:cs="Times New Roman"/>
        </w:rPr>
        <w:t>pectancy when death occurs, or life years lost due to death</w:t>
      </w:r>
      <w:r w:rsidR="008F26BD" w:rsidRPr="00AD15FB">
        <w:rPr>
          <w:rFonts w:ascii="Times New Roman" w:hAnsi="Times New Roman" w:cs="Times New Roman"/>
        </w:rPr>
        <w:t xml:space="preserve"> </w:t>
      </w:r>
      <w:r w:rsidR="008F26BD" w:rsidRPr="00AD15FB">
        <w:rPr>
          <w:rFonts w:ascii="Times New Roman" w:hAnsi="Times New Roman" w:cs="Times New Roman"/>
        </w:rPr>
        <w:fldChar w:fldCharType="begin"/>
      </w:r>
      <w:r w:rsidR="008013ED" w:rsidRPr="00AD15FB">
        <w:rPr>
          <w:rFonts w:ascii="Times New Roman" w:hAnsi="Times New Roman" w:cs="Times New Roman"/>
        </w:rPr>
        <w:instrText xml:space="preserve"> ADDIN EN.CITE &lt;EndNote&gt;&lt;Cite&gt;&lt;Author&gt;Vaupel&lt;/Author&gt;&lt;Year&gt;2003&lt;/Year&gt;&lt;RecNum&gt;22&lt;/RecNum&gt;&lt;DisplayText&gt;(12, 13)&lt;/DisplayText&gt;&lt;record&gt;&lt;rec-number&gt;22&lt;/rec-number&gt;&lt;foreign-keys&gt;&lt;key app="EN" db-id="xwts0fz21atwpxe2avovtpe5rz9v2fw0dtxf" timestamp="0"&gt;22&lt;/key&gt;&lt;/foreign-keys&gt;&lt;ref-type name="Journal Article"&gt;17&lt;/ref-type&gt;&lt;contributors&gt;&lt;authors&gt;&lt;author&gt;Vaupel, James W&lt;/author&gt;&lt;author&gt;Canudas-Romo, Vladimir&lt;/author&gt;&lt;/authors&gt;&lt;/contributors&gt;&lt;titles&gt;&lt;title&gt;Decomposing change in life expectancy: A bouquet of formulas in honor of Nathan Keyfitz’s 90th birthday&lt;/title&gt;&lt;secondary-title&gt;Demography&lt;/secondary-title&gt;&lt;/titles&gt;&lt;pages&gt;201-216&lt;/pages&gt;&lt;volume&gt;40&lt;/volume&gt;&lt;number&gt;2&lt;/number&gt;&lt;dates&gt;&lt;year&gt;2003&lt;/year&gt;&lt;/dates&gt;&lt;publisher&gt;Springer&lt;/publisher&gt;&lt;label&gt;vaupel&amp;amp;Canudas2003&lt;/label&gt;&lt;urls&gt;&lt;/urls&gt;&lt;/record&gt;&lt;/Cite&gt;&lt;Cite&gt;&lt;Author&gt;Vaupel&lt;/Author&gt;&lt;Year&gt;2011&lt;/Year&gt;&lt;RecNum&gt;4&lt;/RecNum&gt;&lt;record&gt;&lt;rec-number&gt;4&lt;/rec-number&gt;&lt;foreign-keys&gt;&lt;key app="EN" db-id="xwts0fz21atwpxe2avovtpe5rz9v2fw0dtxf" timestamp="0"&gt;4&lt;/key&gt;&lt;/foreign-keys&gt;&lt;ref-type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open&lt;/secondary-title&gt;&lt;/titles&gt;&lt;pages&gt;e000128&lt;/pages&gt;&lt;volume&gt;1&lt;/volume&gt;&lt;number&gt;1&lt;/number&gt;&lt;dates&gt;&lt;year&gt;2011&lt;/year&gt;&lt;/dates&gt;&lt;publisher&gt;British Medical Journal Publishing Group&lt;/publisher&gt;&lt;label&gt;vaupel2011life&lt;/label&gt;&lt;urls&gt;&lt;/urls&gt;&lt;/record&gt;&lt;/Cite&gt;&lt;/EndNote&gt;</w:instrText>
      </w:r>
      <w:r w:rsidR="008F26BD" w:rsidRPr="00AD15FB">
        <w:rPr>
          <w:rFonts w:ascii="Times New Roman" w:hAnsi="Times New Roman" w:cs="Times New Roman"/>
        </w:rPr>
        <w:fldChar w:fldCharType="separate"/>
      </w:r>
      <w:r w:rsidR="008013ED" w:rsidRPr="00AD15FB">
        <w:rPr>
          <w:rFonts w:ascii="Times New Roman" w:hAnsi="Times New Roman" w:cs="Times New Roman"/>
          <w:noProof/>
        </w:rPr>
        <w:t>(12, 13)</w:t>
      </w:r>
      <w:r w:rsidR="008F26BD" w:rsidRPr="00AD15FB">
        <w:rPr>
          <w:rFonts w:ascii="Times New Roman" w:hAnsi="Times New Roman" w:cs="Times New Roman"/>
        </w:rPr>
        <w:fldChar w:fldCharType="end"/>
      </w:r>
      <w:r w:rsidR="006825DF" w:rsidRPr="00AD15FB">
        <w:rPr>
          <w:rFonts w:ascii="Times New Roman" w:hAnsi="Times New Roman" w:cs="Times New Roman"/>
        </w:rPr>
        <w:t xml:space="preserve">. For example, if a cohort of newborns die at the same age then the value of </w:t>
      </w: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oMath>
      <w:r w:rsidR="006825DF" w:rsidRPr="00AD15FB">
        <w:rPr>
          <w:rFonts w:ascii="Times New Roman" w:hAnsi="Times New Roman" w:cs="Times New Roman"/>
        </w:rPr>
        <w:t xml:space="preserve"> is zero; while when death is very variable, people will die before their expected lifetime, contributing lost years to life disparity</w:t>
      </w:r>
      <w:r w:rsidR="00AF7B1D" w:rsidRPr="00AD15FB">
        <w:rPr>
          <w:rFonts w:ascii="Times New Roman" w:hAnsi="Times New Roman" w:cs="Times New Roman"/>
        </w:rPr>
        <w:t>. In lifetable notation it is defined as:</w:t>
      </w:r>
    </w:p>
    <w:p w:rsidR="001154AB" w:rsidRPr="00AD15FB" w:rsidRDefault="00EC3276" w:rsidP="00EE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rPr>
          <w:rFonts w:ascii="Times New Roman" w:hAnsi="Times New Roman" w:cs="Times New Roman"/>
        </w:rPr>
      </w:pPr>
      <m:oMath>
        <m:sSup>
          <m:sSupPr>
            <m:ctrlPr>
              <w:rPr>
                <w:rFonts w:ascii="Cambria Math" w:hAnsi="Cambria Math" w:cs="Times New Roman"/>
              </w:rPr>
            </m:ctrlPr>
          </m:sSupPr>
          <m:e>
            <m:r>
              <m:rPr>
                <m:sty m:val="p"/>
              </m:rPr>
              <w:rPr>
                <w:rFonts w:ascii="Cambria Math" w:hAnsi="Cambria Math" w:cs="Times New Roman"/>
              </w:rPr>
              <m:t>e</m:t>
            </m:r>
          </m:e>
          <m:sup>
            <m:r>
              <m:rPr>
                <m:sty m:val="p"/>
              </m:rPr>
              <w:rPr>
                <w:rFonts w:ascii="Cambria Math" w:hAnsi="Cambria Math" w:cs="Times New Roman"/>
              </w:rPr>
              <m:t>†</m:t>
            </m:r>
          </m:sup>
        </m:sSup>
        <m:r>
          <m:rPr>
            <m:sty m:val="p"/>
          </m:rPr>
          <w:rPr>
            <w:rFonts w:ascii="Cambria Math" w:hAnsi="Cambria Math" w:cs="Times New Roman"/>
          </w:rPr>
          <m:t>= -</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μ(</m:t>
            </m:r>
            <m:r>
              <m:rPr>
                <m:sty m:val="p"/>
              </m:rPr>
              <w:rPr>
                <w:rFonts w:ascii="Cambria Math" w:hAnsi="Cambria Math" w:cs="Times New Roman"/>
              </w:rPr>
              <m:t>x)e</m:t>
            </m:r>
            <m:r>
              <m:rPr>
                <m:nor/>
              </m:rPr>
              <w:rPr>
                <w:rFonts w:ascii="Times New Roman" w:hAnsi="Times New Roman" w:cs="Times New Roman"/>
              </w:rPr>
              <m:t>(</m:t>
            </m:r>
            <m:r>
              <m:rPr>
                <m:sty m:val="p"/>
              </m:rPr>
              <w:rPr>
                <w:rFonts w:ascii="Cambria Math" w:hAnsi="Cambria Math" w:cs="Times New Roman"/>
              </w:rPr>
              <m:t>x)</m:t>
            </m:r>
            <m:r>
              <m:rPr>
                <m:nor/>
              </m:rPr>
              <w:rPr>
                <w:rFonts w:ascii="Times New Roman" w:hAnsi="Times New Roman" w:cs="Times New Roman"/>
              </w:rPr>
              <m:t>d</m:t>
            </m:r>
            <m:r>
              <m:rPr>
                <m:sty m:val="p"/>
              </m:rPr>
              <w:rPr>
                <w:rFonts w:ascii="Cambria Math" w:hAnsi="Cambria Math" w:cs="Times New Roman"/>
              </w:rPr>
              <m:t>x</m:t>
            </m:r>
          </m:e>
        </m:nary>
        <m:r>
          <m:rPr>
            <m:sty m:val="p"/>
          </m:rPr>
          <w:rPr>
            <w:rFonts w:ascii="Cambria Math" w:hAnsi="Cambria Math" w:cs="Times New Roman"/>
          </w:rPr>
          <m:t>=-</m:t>
        </m:r>
        <m:nary>
          <m:naryPr>
            <m:limLoc m:val="undOvr"/>
            <m:ctrlPr>
              <w:rPr>
                <w:rFonts w:ascii="Cambria Math" w:hAnsi="Cambria Math" w:cs="Times New Roman"/>
              </w:rPr>
            </m:ctrlPr>
          </m:naryPr>
          <m:sub>
            <m:r>
              <m:rPr>
                <m:sty m:val="p"/>
              </m:rPr>
              <w:rPr>
                <w:rFonts w:ascii="Cambria Math" w:hAnsi="Cambria Math" w:cs="Times New Roman"/>
              </w:rPr>
              <m:t>0</m:t>
            </m:r>
          </m:sub>
          <m:sup>
            <m:r>
              <m:rPr>
                <m:sty m:val="p"/>
              </m:rPr>
              <w:rPr>
                <w:rFonts w:ascii="Cambria Math" w:hAnsi="Cambria Math" w:cs="Times New Roman"/>
              </w:rPr>
              <m:t>ω</m:t>
            </m:r>
          </m:sup>
          <m:e>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ln</m:t>
            </m:r>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d</m:t>
            </m:r>
            <m:r>
              <m:rPr>
                <m:sty m:val="p"/>
              </m:rPr>
              <w:rPr>
                <w:rFonts w:ascii="Cambria Math" w:hAnsi="Cambria Math" w:cs="Times New Roman"/>
              </w:rPr>
              <m:t>x</m:t>
            </m:r>
          </m:e>
        </m:nary>
      </m:oMath>
      <w:r w:rsidR="004F3A00" w:rsidRPr="00AD15FB">
        <w:rPr>
          <w:rFonts w:ascii="Times New Roman" w:eastAsiaTheme="minorEastAsia" w:hAnsi="Times New Roman" w:cs="Times New Roman"/>
        </w:rPr>
        <w:t>.</w:t>
      </w:r>
    </w:p>
    <w:p w:rsidR="00EE5574" w:rsidRPr="00AD15FB" w:rsidRDefault="00706116" w:rsidP="00EE5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heme="minorEastAsia" w:hAnsi="Times New Roman" w:cs="Times New Roman"/>
        </w:rPr>
      </w:pPr>
      <w:r w:rsidRPr="00AD15FB">
        <w:rPr>
          <w:rFonts w:ascii="Times New Roman" w:hAnsi="Times New Roman" w:cs="Times New Roman"/>
        </w:rPr>
        <w:tab/>
      </w:r>
      <w:proofErr w:type="gramStart"/>
      <w:r w:rsidR="00096503">
        <w:rPr>
          <w:rFonts w:ascii="Times New Roman" w:hAnsi="Times New Roman" w:cs="Times New Roman"/>
        </w:rPr>
        <w:t>w</w:t>
      </w:r>
      <w:r w:rsidR="004F3A00" w:rsidRPr="00AD15FB">
        <w:rPr>
          <w:rFonts w:ascii="Times New Roman" w:hAnsi="Times New Roman" w:cs="Times New Roman"/>
        </w:rPr>
        <w:t xml:space="preserve">here </w:t>
      </w:r>
      <w:r w:rsidR="001154AB" w:rsidRPr="00AD15FB">
        <w:rPr>
          <w:rFonts w:ascii="Times New Roman" w:hAnsi="Times New Roman" w:cs="Times New Roman"/>
        </w:rPr>
        <w:t xml:space="preserve"> </w:t>
      </w:r>
      <w:proofErr w:type="gramEnd"/>
      <m:oMath>
        <m:r>
          <m:rPr>
            <m:scr m:val="script"/>
            <m:sty m:val="p"/>
          </m:rPr>
          <w:rPr>
            <w:rFonts w:ascii="Cambria Math" w:hAnsi="Cambria Math" w:cs="Times New Roman"/>
          </w:rPr>
          <m:t>l</m:t>
        </m:r>
        <m:d>
          <m:dPr>
            <m:ctrlPr>
              <w:rPr>
                <w:rFonts w:ascii="Cambria Math" w:hAnsi="Cambria Math" w:cs="Times New Roman"/>
              </w:rPr>
            </m:ctrlPr>
          </m:dPr>
          <m:e>
            <m:r>
              <m:rPr>
                <m:sty m:val="p"/>
              </m:rPr>
              <w:rPr>
                <w:rFonts w:ascii="Cambria Math" w:hAnsi="Cambria Math" w:cs="Times New Roman"/>
              </w:rPr>
              <m:t>x</m:t>
            </m:r>
          </m:e>
        </m:d>
        <m:r>
          <m:rPr>
            <m:nor/>
          </m:rPr>
          <w:rPr>
            <w:rFonts w:ascii="Times New Roman" w:hAnsi="Times New Roman" w:cs="Times New Roman"/>
          </w:rPr>
          <m:t xml:space="preserve">, </m:t>
        </m:r>
        <m:r>
          <m:rPr>
            <m:nor/>
          </m:rPr>
          <w:rPr>
            <w:rFonts w:ascii="Cambria Math" w:hAnsi="Times New Roman" w:cs="Times New Roman"/>
          </w:rPr>
          <m:t xml:space="preserve"> </m:t>
        </m:r>
        <m:r>
          <m:rPr>
            <m:nor/>
          </m:rPr>
          <w:rPr>
            <w:rFonts w:ascii="Times New Roman" w:hAnsi="Times New Roman" w:cs="Times New Roman"/>
          </w:rPr>
          <m:t>μ(</m:t>
        </m:r>
        <m:r>
          <m:rPr>
            <m:sty m:val="p"/>
          </m:rPr>
          <w:rPr>
            <w:rFonts w:ascii="Cambria Math" w:hAnsi="Cambria Math" w:cs="Times New Roman"/>
          </w:rPr>
          <m:t>x),  e</m:t>
        </m:r>
        <m:r>
          <m:rPr>
            <m:nor/>
          </m:rPr>
          <w:rPr>
            <w:rFonts w:ascii="Times New Roman" w:hAnsi="Times New Roman" w:cs="Times New Roman"/>
          </w:rPr>
          <m:t>(</m:t>
        </m:r>
        <m:r>
          <m:rPr>
            <m:sty m:val="p"/>
          </m:rPr>
          <w:rPr>
            <w:rFonts w:ascii="Cambria Math" w:hAnsi="Cambria Math" w:cs="Times New Roman"/>
          </w:rPr>
          <m:t>x)</m:t>
        </m:r>
      </m:oMath>
      <w:r w:rsidR="001154AB" w:rsidRPr="00AD15FB">
        <w:rPr>
          <w:rFonts w:ascii="Times New Roman" w:eastAsiaTheme="minorEastAsia" w:hAnsi="Times New Roman" w:cs="Times New Roman"/>
        </w:rPr>
        <w:t xml:space="preserve"> and </w:t>
      </w:r>
      <m:oMath>
        <m:r>
          <m:rPr>
            <m:sty m:val="p"/>
          </m:rPr>
          <w:rPr>
            <w:rFonts w:ascii="Cambria Math" w:hAnsi="Cambria Math" w:cs="Times New Roman"/>
          </w:rPr>
          <m:t>ω</m:t>
        </m:r>
      </m:oMath>
      <w:r w:rsidR="001154AB" w:rsidRPr="00AD15FB">
        <w:rPr>
          <w:rFonts w:ascii="Times New Roman" w:eastAsiaTheme="minorEastAsia" w:hAnsi="Times New Roman" w:cs="Times New Roman"/>
        </w:rPr>
        <w:t xml:space="preserve"> are the survival function, the force of mortality, life expectancy at age </w:t>
      </w:r>
      <m:oMath>
        <m:r>
          <m:rPr>
            <m:sty m:val="p"/>
          </m:rPr>
          <w:rPr>
            <w:rFonts w:ascii="Cambria Math" w:hAnsi="Cambria Math" w:cs="Times New Roman"/>
          </w:rPr>
          <m:t>x</m:t>
        </m:r>
      </m:oMath>
      <w:r w:rsidR="001154AB" w:rsidRPr="00AD15FB">
        <w:rPr>
          <w:rFonts w:ascii="Times New Roman" w:eastAsiaTheme="minorEastAsia" w:hAnsi="Times New Roman" w:cs="Times New Roman"/>
        </w:rPr>
        <w:t>, and the open-aged interval (100+ in our case), respectively.</w:t>
      </w:r>
      <w:r w:rsidR="00EE5574" w:rsidRPr="00AD15FB">
        <w:rPr>
          <w:rFonts w:ascii="Times New Roman" w:eastAsiaTheme="minorEastAsia" w:hAnsi="Times New Roman" w:cs="Times New Roman"/>
        </w:rPr>
        <w:t xml:space="preserve"> </w:t>
      </w:r>
      <w:r w:rsidR="001154AB" w:rsidRPr="00AD15FB">
        <w:rPr>
          <w:rFonts w:ascii="Times New Roman" w:eastAsiaTheme="minorEastAsia" w:hAnsi="Times New Roman" w:cs="Times New Roman"/>
        </w:rPr>
        <w:t>This indicator was chosen because it has an easy to understand interpretation and it is decomposable</w:t>
      </w:r>
      <w:r w:rsidR="00EE5574" w:rsidRPr="00AD15FB">
        <w:rPr>
          <w:rFonts w:ascii="Times New Roman" w:eastAsiaTheme="minorEastAsia" w:hAnsi="Times New Roman" w:cs="Times New Roman"/>
        </w:rPr>
        <w:t xml:space="preserve"> </w:t>
      </w:r>
      <w:r w:rsidR="00EE5574" w:rsidRPr="00AD15FB">
        <w:rPr>
          <w:rFonts w:ascii="Times New Roman" w:eastAsiaTheme="minorEastAsia" w:hAnsi="Times New Roman" w:cs="Times New Roman"/>
        </w:rPr>
        <w:fldChar w:fldCharType="begin"/>
      </w:r>
      <w:r w:rsidR="008013ED" w:rsidRPr="00AD15FB">
        <w:rPr>
          <w:rFonts w:ascii="Times New Roman" w:eastAsiaTheme="minorEastAsia" w:hAnsi="Times New Roman" w:cs="Times New Roman"/>
        </w:rPr>
        <w:instrText xml:space="preserve"> ADDIN EN.CITE &lt;EndNote&gt;&lt;Cite&gt;&lt;Author&gt;Shkolnikov&lt;/Author&gt;&lt;Year&gt;2011&lt;/Year&gt;&lt;RecNum&gt;7&lt;/RecNum&gt;&lt;DisplayText&gt;(14, 15)&lt;/DisplayText&gt;&lt;record&gt;&lt;rec-number&gt;7&lt;/rec-number&gt;&lt;foreign-keys&gt;&lt;key app="EN" db-id="xwts0fz21atwpxe2avovtpe5rz9v2fw0dtxf" timestamp="0"&gt;7&lt;/key&gt;&lt;/foreign-keys&gt;&lt;ref-type name="Journal Article"&gt;17&lt;/ref-type&gt;&lt;contributors&gt;&lt;authors&gt;&lt;author&gt;Shkolnikov, Vladimir M&lt;/author&gt;&lt;author&gt;Andreev, Evgeny M&lt;/author&gt;&lt;author&gt;Zhang, Zhen&lt;/author&gt;&lt;author&gt;Oeppen, James&lt;/author&gt;&lt;author&gt;Vaupel, James W&lt;/author&gt;&lt;/authors&gt;&lt;/contributors&gt;&lt;titles&gt;&lt;title&gt;Losses of expected lifetime in the United States and other developed countries: methods and empirical analyses&lt;/title&gt;&lt;secondary-title&gt;Demography&lt;/secondary-title&gt;&lt;/titles&gt;&lt;pages&gt;211-239&lt;/pages&gt;&lt;volume&gt;48&lt;/volume&gt;&lt;number&gt;1&lt;/number&gt;&lt;dates&gt;&lt;year&gt;2011&lt;/year&gt;&lt;/dates&gt;&lt;publisher&gt;Springer&lt;/publisher&gt;&lt;label&gt;shkolnikov2011losses&lt;/label&gt;&lt;urls&gt;&lt;/urls&gt;&lt;/record&gt;&lt;/Cite&gt;&lt;Cite&gt;&lt;Author&gt;Zhang&lt;/Author&gt;&lt;Year&gt;2009&lt;/Year&gt;&lt;RecNum&gt;23&lt;/RecNum&gt;&lt;record&gt;&lt;rec-number&gt;23&lt;/rec-number&gt;&lt;foreign-keys&gt;&lt;key app="EN" db-id="xwts0fz21atwpxe2avovtpe5rz9v2fw0dtxf" timestamp="0"&gt;23&lt;/key&gt;&lt;/foreign-keys&gt;&lt;ref-type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00EE5574" w:rsidRPr="00AD15FB">
        <w:rPr>
          <w:rFonts w:ascii="Times New Roman" w:eastAsiaTheme="minorEastAsia" w:hAnsi="Times New Roman" w:cs="Times New Roman"/>
        </w:rPr>
        <w:fldChar w:fldCharType="separate"/>
      </w:r>
      <w:r w:rsidR="008013ED" w:rsidRPr="00AD15FB">
        <w:rPr>
          <w:rFonts w:ascii="Times New Roman" w:eastAsiaTheme="minorEastAsia" w:hAnsi="Times New Roman" w:cs="Times New Roman"/>
          <w:noProof/>
        </w:rPr>
        <w:t>(14, 15)</w:t>
      </w:r>
      <w:r w:rsidR="00EE5574" w:rsidRPr="00AD15FB">
        <w:rPr>
          <w:rFonts w:ascii="Times New Roman" w:eastAsiaTheme="minorEastAsia" w:hAnsi="Times New Roman" w:cs="Times New Roman"/>
        </w:rPr>
        <w:fldChar w:fldCharType="end"/>
      </w:r>
      <w:r w:rsidR="001154AB" w:rsidRPr="00AD15FB">
        <w:rPr>
          <w:rFonts w:ascii="Times New Roman" w:eastAsiaTheme="minorEastAsia" w:hAnsi="Times New Roman" w:cs="Times New Roman"/>
        </w:rPr>
        <w:t>. These properties allow quantifying the impact of age and cause-specific mortality on changes in life disparity over time. The high correlation with other variation ind</w:t>
      </w:r>
      <w:r w:rsidR="001154AB" w:rsidRPr="00AD15FB">
        <w:rPr>
          <w:rFonts w:ascii="Times New Roman" w:eastAsiaTheme="minorEastAsia" w:hAnsi="Times New Roman" w:cs="Times New Roman"/>
        </w:rPr>
        <w:t>i</w:t>
      </w:r>
      <w:r w:rsidR="001154AB" w:rsidRPr="00AD15FB">
        <w:rPr>
          <w:rFonts w:ascii="Times New Roman" w:eastAsiaTheme="minorEastAsia" w:hAnsi="Times New Roman" w:cs="Times New Roman"/>
        </w:rPr>
        <w:t xml:space="preserve">ces, such as </w:t>
      </w:r>
      <w:proofErr w:type="spellStart"/>
      <w:r w:rsidR="001154AB" w:rsidRPr="00AD15FB">
        <w:rPr>
          <w:rFonts w:ascii="Times New Roman" w:eastAsiaTheme="minorEastAsia" w:hAnsi="Times New Roman" w:cs="Times New Roman"/>
        </w:rPr>
        <w:t>Keyfitz</w:t>
      </w:r>
      <w:proofErr w:type="spellEnd"/>
      <w:r w:rsidR="001154AB" w:rsidRPr="00AD15FB">
        <w:rPr>
          <w:rFonts w:ascii="Times New Roman" w:eastAsiaTheme="minorEastAsia" w:hAnsi="Times New Roman" w:cs="Times New Roman"/>
        </w:rPr>
        <w:t xml:space="preserve"> entropy, coefficient of variation, or the Gini coefficient, suggests that the main results would not differ by a large extent regardless of the measure used</w:t>
      </w:r>
      <w:r w:rsidR="00EE5574" w:rsidRPr="00AD15FB">
        <w:rPr>
          <w:rFonts w:ascii="Times New Roman" w:eastAsiaTheme="minorEastAsia" w:hAnsi="Times New Roman" w:cs="Times New Roman"/>
        </w:rPr>
        <w:t xml:space="preserve"> </w:t>
      </w:r>
      <w:r w:rsidR="00EE5574" w:rsidRPr="00AD15FB">
        <w:rPr>
          <w:rFonts w:ascii="Times New Roman" w:eastAsiaTheme="minorEastAsia" w:hAnsi="Times New Roman" w:cs="Times New Roman"/>
        </w:rPr>
        <w:fldChar w:fldCharType="begin"/>
      </w:r>
      <w:r w:rsidR="008013ED" w:rsidRPr="00AD15FB">
        <w:rPr>
          <w:rFonts w:ascii="Times New Roman" w:eastAsiaTheme="minorEastAsia" w:hAnsi="Times New Roman" w:cs="Times New Roman"/>
        </w:rPr>
        <w:instrText xml:space="preserve"> ADDIN EN.CITE &lt;EndNote&gt;&lt;Cite&gt;&lt;Author&gt;van Raalte&lt;/Author&gt;&lt;Year&gt;2013&lt;/Year&gt;&lt;RecNum&gt;9&lt;/RecNum&gt;&lt;DisplayText&gt;(11)&lt;/DisplayText&gt;&lt;record&gt;&lt;rec-number&gt;9&lt;/rec-number&gt;&lt;foreign-keys&gt;&lt;key app="EN" db-id="xwts0fz21atwpxe2avovtpe5rz9v2fw0dtxf" timestamp="0"&gt;9&lt;/key&gt;&lt;/foreign-keys&gt;&lt;ref-type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ages&gt;1615-1640&lt;/pages&gt;&lt;volume&gt;50&lt;/volume&gt;&lt;number&gt;5&lt;/number&gt;&lt;dates&gt;&lt;year&gt;2013&lt;/year&gt;&lt;/dates&gt;&lt;publisher&gt;Springer&lt;/publisher&gt;&lt;label&gt;van2013perturbation&lt;/label&gt;&lt;urls&gt;&lt;/urls&gt;&lt;/record&gt;&lt;/Cite&gt;&lt;/EndNote&gt;</w:instrText>
      </w:r>
      <w:r w:rsidR="00EE5574" w:rsidRPr="00AD15FB">
        <w:rPr>
          <w:rFonts w:ascii="Times New Roman" w:eastAsiaTheme="minorEastAsia" w:hAnsi="Times New Roman" w:cs="Times New Roman"/>
        </w:rPr>
        <w:fldChar w:fldCharType="separate"/>
      </w:r>
      <w:r w:rsidR="008013ED" w:rsidRPr="00AD15FB">
        <w:rPr>
          <w:rFonts w:ascii="Times New Roman" w:eastAsiaTheme="minorEastAsia" w:hAnsi="Times New Roman" w:cs="Times New Roman"/>
          <w:noProof/>
        </w:rPr>
        <w:t>(11)</w:t>
      </w:r>
      <w:r w:rsidR="00EE5574" w:rsidRPr="00AD15FB">
        <w:rPr>
          <w:rFonts w:ascii="Times New Roman" w:eastAsiaTheme="minorEastAsia" w:hAnsi="Times New Roman" w:cs="Times New Roman"/>
        </w:rPr>
        <w:fldChar w:fldCharType="end"/>
      </w:r>
      <w:r w:rsidR="001154AB" w:rsidRPr="00AD15FB">
        <w:rPr>
          <w:rFonts w:ascii="Times New Roman" w:eastAsiaTheme="minorEastAsia" w:hAnsi="Times New Roman" w:cs="Times New Roman"/>
        </w:rPr>
        <w:t>.</w:t>
      </w:r>
    </w:p>
    <w:p w:rsidR="00EE5574" w:rsidRPr="00AD15FB" w:rsidRDefault="00706116" w:rsidP="00EE5574">
      <w:pPr>
        <w:autoSpaceDE w:val="0"/>
        <w:autoSpaceDN w:val="0"/>
        <w:adjustRightInd w:val="0"/>
        <w:spacing w:after="100" w:afterAutospacing="1" w:line="480" w:lineRule="auto"/>
        <w:rPr>
          <w:rFonts w:ascii="Times New Roman" w:hAnsi="Times New Roman" w:cs="Times New Roman"/>
          <w:b/>
          <w:i/>
        </w:rPr>
      </w:pPr>
      <w:r w:rsidRPr="00AD15FB">
        <w:rPr>
          <w:rFonts w:ascii="Times New Roman" w:hAnsi="Times New Roman" w:cs="Times New Roman"/>
          <w:b/>
          <w:i/>
        </w:rPr>
        <w:t>Demographic and statistical methods</w:t>
      </w:r>
    </w:p>
    <w:p w:rsidR="00011D23" w:rsidRPr="00AD15FB" w:rsidRDefault="00AD66A7" w:rsidP="00011D23">
      <w:pPr>
        <w:autoSpaceDE w:val="0"/>
        <w:autoSpaceDN w:val="0"/>
        <w:adjustRightInd w:val="0"/>
        <w:spacing w:after="100" w:afterAutospacing="1" w:line="480" w:lineRule="auto"/>
        <w:rPr>
          <w:rFonts w:ascii="Times New Roman" w:hAnsi="Times New Roman" w:cs="Times New Roman"/>
          <w:b/>
          <w:i/>
        </w:rPr>
      </w:pPr>
      <w:r w:rsidRPr="00AD15FB">
        <w:rPr>
          <w:rFonts w:ascii="Times New Roman" w:eastAsiaTheme="minorEastAsia" w:hAnsi="Times New Roman" w:cs="Times New Roman"/>
        </w:rPr>
        <w:t>To mitigate random variations, these rates are adjusted in two steps. First, cause-specific death rates over age and time for each state and sex separately using a 2-d p-spline</w:t>
      </w:r>
      <w:r w:rsidR="00706116" w:rsidRPr="00AD15FB">
        <w:rPr>
          <w:rFonts w:ascii="Times New Roman" w:eastAsiaTheme="minorEastAsia" w:hAnsi="Times New Roman" w:cs="Times New Roman"/>
        </w:rPr>
        <w:t xml:space="preserve"> were smoothed</w:t>
      </w:r>
      <w:r w:rsidR="00EE5574" w:rsidRPr="00AD15FB">
        <w:rPr>
          <w:rFonts w:ascii="Times New Roman" w:eastAsiaTheme="minorEastAsia" w:hAnsi="Times New Roman" w:cs="Times New Roman"/>
        </w:rPr>
        <w:t xml:space="preserve"> </w:t>
      </w:r>
      <w:r w:rsidR="00EE5574" w:rsidRPr="00AD15FB">
        <w:rPr>
          <w:rFonts w:ascii="Times New Roman" w:eastAsiaTheme="minorEastAsia" w:hAnsi="Times New Roman" w:cs="Times New Roman"/>
        </w:rPr>
        <w:fldChar w:fldCharType="begin"/>
      </w:r>
      <w:r w:rsidR="008013ED" w:rsidRPr="00AD15FB">
        <w:rPr>
          <w:rFonts w:ascii="Times New Roman" w:eastAsiaTheme="minorEastAsia" w:hAnsi="Times New Roman" w:cs="Times New Roman"/>
        </w:rPr>
        <w:instrText xml:space="preserve"> ADDIN EN.CITE &lt;EndNote&gt;&lt;Cite&gt;&lt;Author&gt;Camarda&lt;/Author&gt;&lt;Year&gt;2012&lt;/Year&gt;&lt;RecNum&gt;19&lt;/RecNum&gt;&lt;DisplayText&gt;(16)&lt;/DisplayText&gt;&lt;record&gt;&lt;rec-number&gt;19&lt;/rec-number&gt;&lt;foreign-keys&gt;&lt;key app="EN" db-id="xwts0fz21atwpxe2avovtpe5rz9v2fw0dtxf" timestamp="0"&gt;19&lt;/key&gt;&lt;/foreign-keys&gt;&lt;ref-type name="Journal Article"&gt;17&lt;/ref-type&gt;&lt;contributors&gt;&lt;authors&gt;&lt;author&gt;Camarda, Carlo G.&lt;/author&gt;&lt;/authors&gt;&lt;/contributors&gt;&lt;titles&gt;&lt;title&gt;MortalitySmooth: An \textttR Package for Smoothing Poisson Counts with $P$-Splines&lt;/title&gt;&lt;secondary-title&gt;Journal of Statistical Software&lt;/secondary-title&gt;&lt;/titles&gt;&lt;pages&gt;1-24&lt;/pages&gt;&lt;volume&gt;50&lt;/volume&gt;&lt;dates&gt;&lt;year&gt;2012&lt;/year&gt;&lt;/dates&gt;&lt;label&gt;CamardaJSSpackage2012&lt;/label&gt;&lt;urls&gt;&lt;/urls&gt;&lt;/record&gt;&lt;/Cite&gt;&lt;/EndNote&gt;</w:instrText>
      </w:r>
      <w:r w:rsidR="00EE5574" w:rsidRPr="00AD15FB">
        <w:rPr>
          <w:rFonts w:ascii="Times New Roman" w:eastAsiaTheme="minorEastAsia" w:hAnsi="Times New Roman" w:cs="Times New Roman"/>
        </w:rPr>
        <w:fldChar w:fldCharType="separate"/>
      </w:r>
      <w:r w:rsidR="008013ED" w:rsidRPr="00AD15FB">
        <w:rPr>
          <w:rFonts w:ascii="Times New Roman" w:eastAsiaTheme="minorEastAsia" w:hAnsi="Times New Roman" w:cs="Times New Roman"/>
          <w:noProof/>
        </w:rPr>
        <w:t>(16)</w:t>
      </w:r>
      <w:r w:rsidR="00EE5574" w:rsidRPr="00AD15FB">
        <w:rPr>
          <w:rFonts w:ascii="Times New Roman" w:eastAsiaTheme="minorEastAsia" w:hAnsi="Times New Roman" w:cs="Times New Roman"/>
        </w:rPr>
        <w:fldChar w:fldCharType="end"/>
      </w:r>
      <w:r w:rsidRPr="00AD15FB">
        <w:rPr>
          <w:rFonts w:ascii="Times New Roman" w:eastAsiaTheme="minorEastAsia" w:hAnsi="Times New Roman" w:cs="Times New Roman"/>
        </w:rPr>
        <w:t xml:space="preserve">. Second, smoothed cause-specific </w:t>
      </w:r>
      <w:r w:rsidR="00706116" w:rsidRPr="00AD15FB">
        <w:rPr>
          <w:rFonts w:ascii="Times New Roman" w:eastAsiaTheme="minorEastAsia" w:hAnsi="Times New Roman" w:cs="Times New Roman"/>
        </w:rPr>
        <w:t xml:space="preserve">deaths were rescaled to </w:t>
      </w:r>
      <w:r w:rsidRPr="00AD15FB">
        <w:rPr>
          <w:rFonts w:ascii="Times New Roman" w:eastAsiaTheme="minorEastAsia" w:hAnsi="Times New Roman" w:cs="Times New Roman"/>
        </w:rPr>
        <w:t>raw all-cause death rates for each sex and</w:t>
      </w:r>
      <w:r w:rsidR="00706116" w:rsidRPr="00AD15FB">
        <w:rPr>
          <w:rFonts w:ascii="Times New Roman" w:eastAsiaTheme="minorEastAsia" w:hAnsi="Times New Roman" w:cs="Times New Roman"/>
        </w:rPr>
        <w:t xml:space="preserve"> state. Period life tables </w:t>
      </w:r>
      <w:r w:rsidRPr="00AD15FB">
        <w:rPr>
          <w:rFonts w:ascii="Times New Roman" w:eastAsiaTheme="minorEastAsia" w:hAnsi="Times New Roman" w:cs="Times New Roman"/>
        </w:rPr>
        <w:t>for males and females fro</w:t>
      </w:r>
      <w:r w:rsidR="00706116" w:rsidRPr="00AD15FB">
        <w:rPr>
          <w:rFonts w:ascii="Times New Roman" w:eastAsiaTheme="minorEastAsia" w:hAnsi="Times New Roman" w:cs="Times New Roman"/>
        </w:rPr>
        <w:t>m 1995</w:t>
      </w:r>
      <w:r w:rsidRPr="00AD15FB">
        <w:rPr>
          <w:rFonts w:ascii="Times New Roman" w:eastAsiaTheme="minorEastAsia" w:hAnsi="Times New Roman" w:cs="Times New Roman"/>
        </w:rPr>
        <w:t xml:space="preserve"> to 2015 were calculated following standard demo</w:t>
      </w:r>
      <w:r w:rsidR="00706116" w:rsidRPr="00AD15FB">
        <w:rPr>
          <w:rFonts w:ascii="Times New Roman" w:eastAsiaTheme="minorEastAsia" w:hAnsi="Times New Roman" w:cs="Times New Roman"/>
        </w:rPr>
        <w:t>graphic methods</w:t>
      </w:r>
      <w:r w:rsidR="00EE5574" w:rsidRPr="00AD15FB">
        <w:rPr>
          <w:rFonts w:ascii="Times New Roman" w:eastAsiaTheme="minorEastAsia" w:hAnsi="Times New Roman" w:cs="Times New Roman"/>
        </w:rPr>
        <w:t xml:space="preserve"> </w:t>
      </w:r>
      <w:r w:rsidR="00EE5574" w:rsidRPr="00AD15FB">
        <w:rPr>
          <w:rFonts w:ascii="Times New Roman" w:eastAsiaTheme="minorEastAsia" w:hAnsi="Times New Roman" w:cs="Times New Roman"/>
        </w:rPr>
        <w:fldChar w:fldCharType="begin"/>
      </w:r>
      <w:r w:rsidR="008013ED" w:rsidRPr="00AD15FB">
        <w:rPr>
          <w:rFonts w:ascii="Times New Roman" w:eastAsiaTheme="minorEastAsia" w:hAnsi="Times New Roman" w:cs="Times New Roman"/>
        </w:rPr>
        <w:instrText xml:space="preserve"> ADDIN EN.CITE &lt;EndNote&gt;&lt;Cite&gt;&lt;Author&gt;Preston&lt;/Author&gt;&lt;Year&gt;2001&lt;/Year&gt;&lt;RecNum&gt;10&lt;/RecNum&gt;&lt;DisplayText&gt;(17)&lt;/DisplayText&gt;&lt;record&gt;&lt;rec-number&gt;10&lt;/rec-number&gt;&lt;foreign-keys&gt;&lt;key app="EN" db-id="xwts0fz21atwpxe2avovtpe5rz9v2fw0dtxf" timestamp="0"&gt;10&lt;/key&gt;&lt;/foreign-keys&gt;&lt;ref-type name="Book"&gt;6&lt;/ref-type&gt;&lt;contributors&gt;&lt;authors&gt;&lt;author&gt;Preston, Samuel H.&lt;/author&gt;&lt;author&gt;Heuveline, Patrick&lt;/author&gt;&lt;author&gt;Guillot, Michel&lt;/author&gt;&lt;/authors&gt;&lt;/contributors&gt;&lt;titles&gt;&lt;title&gt;Demography. Measuring and Modeling Population Processes&lt;/title&gt;&lt;/titles&gt;&lt;dates&gt;&lt;year&gt;2001&lt;/year&gt;&lt;/dates&gt;&lt;publisher&gt;Blackwell&lt;/publisher&gt;&lt;label&gt;PrestonDemogr2001&lt;/label&gt;&lt;urls&gt;&lt;/urls&gt;&lt;/record&gt;&lt;/Cite&gt;&lt;/EndNote&gt;</w:instrText>
      </w:r>
      <w:r w:rsidR="00EE5574" w:rsidRPr="00AD15FB">
        <w:rPr>
          <w:rFonts w:ascii="Times New Roman" w:eastAsiaTheme="minorEastAsia" w:hAnsi="Times New Roman" w:cs="Times New Roman"/>
        </w:rPr>
        <w:fldChar w:fldCharType="separate"/>
      </w:r>
      <w:r w:rsidR="008013ED" w:rsidRPr="00AD15FB">
        <w:rPr>
          <w:rFonts w:ascii="Times New Roman" w:eastAsiaTheme="minorEastAsia" w:hAnsi="Times New Roman" w:cs="Times New Roman"/>
          <w:noProof/>
        </w:rPr>
        <w:t>(17)</w:t>
      </w:r>
      <w:r w:rsidR="00EE5574" w:rsidRPr="00AD15FB">
        <w:rPr>
          <w:rFonts w:ascii="Times New Roman" w:eastAsiaTheme="minorEastAsia" w:hAnsi="Times New Roman" w:cs="Times New Roman"/>
        </w:rPr>
        <w:fldChar w:fldCharType="end"/>
      </w:r>
      <w:r w:rsidR="00706116" w:rsidRPr="00AD15FB">
        <w:rPr>
          <w:rFonts w:ascii="Times New Roman" w:eastAsiaTheme="minorEastAsia" w:hAnsi="Times New Roman" w:cs="Times New Roman"/>
        </w:rPr>
        <w:t>. L</w:t>
      </w:r>
      <w:r w:rsidRPr="00AD15FB">
        <w:rPr>
          <w:rFonts w:ascii="Times New Roman" w:eastAsiaTheme="minorEastAsia" w:hAnsi="Times New Roman" w:cs="Times New Roman"/>
        </w:rPr>
        <w:t>ife expectancies</w:t>
      </w:r>
      <w:r w:rsidR="00706116" w:rsidRPr="00AD15FB">
        <w:rPr>
          <w:rFonts w:ascii="Times New Roman" w:eastAsiaTheme="minorEastAsia" w:hAnsi="Times New Roman" w:cs="Times New Roman"/>
        </w:rPr>
        <w:t xml:space="preserve"> and life di</w:t>
      </w:r>
      <w:r w:rsidR="00706116" w:rsidRPr="00AD15FB">
        <w:rPr>
          <w:rFonts w:ascii="Times New Roman" w:eastAsiaTheme="minorEastAsia" w:hAnsi="Times New Roman" w:cs="Times New Roman"/>
        </w:rPr>
        <w:t>s</w:t>
      </w:r>
      <w:r w:rsidR="00706116" w:rsidRPr="00AD15FB">
        <w:rPr>
          <w:rFonts w:ascii="Times New Roman" w:eastAsiaTheme="minorEastAsia" w:hAnsi="Times New Roman" w:cs="Times New Roman"/>
        </w:rPr>
        <w:t>parities</w:t>
      </w:r>
      <w:r w:rsidRPr="00AD15FB">
        <w:rPr>
          <w:rFonts w:ascii="Times New Roman" w:eastAsiaTheme="minorEastAsia" w:hAnsi="Times New Roman" w:cs="Times New Roman"/>
        </w:rPr>
        <w:t xml:space="preserve"> were calculated </w:t>
      </w:r>
      <w:r w:rsidR="00706116" w:rsidRPr="00AD15FB">
        <w:rPr>
          <w:rFonts w:ascii="Times New Roman" w:eastAsiaTheme="minorEastAsia" w:hAnsi="Times New Roman" w:cs="Times New Roman"/>
        </w:rPr>
        <w:t>and cause</w:t>
      </w:r>
      <w:r w:rsidRPr="00AD15FB">
        <w:rPr>
          <w:rFonts w:ascii="Times New Roman" w:eastAsiaTheme="minorEastAsia" w:hAnsi="Times New Roman" w:cs="Times New Roman"/>
        </w:rPr>
        <w:t>-specific contributions to the difference between</w:t>
      </w:r>
      <w:r w:rsidR="00706116" w:rsidRPr="00AD15FB">
        <w:rPr>
          <w:rFonts w:ascii="Times New Roman" w:eastAsiaTheme="minorEastAsia" w:hAnsi="Times New Roman" w:cs="Times New Roman"/>
        </w:rPr>
        <w:t xml:space="preserve"> 1995-2005 and 2005-2015 were estimated </w:t>
      </w:r>
      <w:r w:rsidRPr="00AD15FB">
        <w:rPr>
          <w:rFonts w:ascii="Times New Roman" w:eastAsiaTheme="minorEastAsia" w:hAnsi="Times New Roman" w:cs="Times New Roman"/>
        </w:rPr>
        <w:t>using</w:t>
      </w:r>
      <w:r w:rsidR="00706116" w:rsidRPr="00AD15FB">
        <w:rPr>
          <w:rFonts w:ascii="Times New Roman" w:eastAsiaTheme="minorEastAsia" w:hAnsi="Times New Roman" w:cs="Times New Roman"/>
        </w:rPr>
        <w:t xml:space="preserve"> </w:t>
      </w:r>
      <w:r w:rsidRPr="00AD15FB">
        <w:rPr>
          <w:rFonts w:ascii="Times New Roman" w:eastAsiaTheme="minorEastAsia" w:hAnsi="Times New Roman" w:cs="Times New Roman"/>
        </w:rPr>
        <w:t>standard decomposition techniques</w:t>
      </w:r>
      <w:r w:rsidR="00EE5574" w:rsidRPr="00AD15FB">
        <w:rPr>
          <w:rFonts w:ascii="Times New Roman" w:eastAsiaTheme="minorEastAsia" w:hAnsi="Times New Roman" w:cs="Times New Roman"/>
        </w:rPr>
        <w:t xml:space="preserve"> </w:t>
      </w:r>
      <w:r w:rsidR="00EE5574" w:rsidRPr="00AD15FB">
        <w:rPr>
          <w:rFonts w:ascii="Times New Roman" w:eastAsiaTheme="minorEastAsia" w:hAnsi="Times New Roman" w:cs="Times New Roman"/>
        </w:rPr>
        <w:fldChar w:fldCharType="begin"/>
      </w:r>
      <w:r w:rsidR="008013ED" w:rsidRPr="00AD15FB">
        <w:rPr>
          <w:rFonts w:ascii="Times New Roman" w:eastAsiaTheme="minorEastAsia" w:hAnsi="Times New Roman" w:cs="Times New Roman"/>
        </w:rPr>
        <w:instrText xml:space="preserve"> ADDIN EN.CITE &lt;EndNote&gt;&lt;Cite&gt;&lt;Author&gt;Horiuchi&lt;/Author&gt;&lt;Year&gt;2008&lt;/Year&gt;&lt;RecNum&gt;29&lt;/RecNum&gt;&lt;DisplayText&gt;(18)&lt;/DisplayText&gt;&lt;record&gt;&lt;rec-number&gt;29&lt;/rec-number&gt;&lt;foreign-keys&gt;&lt;key app="EN" db-id="xwts0fz21atwpxe2avovtpe5rz9v2fw0dtxf" timestamp="0"&gt;29&lt;/key&gt;&lt;/foreign-keys&gt;&lt;ref-type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ages&gt;785-801&lt;/pages&gt;&lt;volume&gt;45&lt;/volume&gt;&lt;number&gt;4&lt;/number&gt;&lt;dates&gt;&lt;year&gt;2008&lt;/year&gt;&lt;/dates&gt;&lt;publisher&gt;Springer&lt;/publisher&gt;&lt;label&gt;horiuchi2008decomposition&lt;/label&gt;&lt;urls&gt;&lt;/urls&gt;&lt;/record&gt;&lt;/Cite&gt;&lt;/EndNote&gt;</w:instrText>
      </w:r>
      <w:r w:rsidR="00EE5574" w:rsidRPr="00AD15FB">
        <w:rPr>
          <w:rFonts w:ascii="Times New Roman" w:eastAsiaTheme="minorEastAsia" w:hAnsi="Times New Roman" w:cs="Times New Roman"/>
        </w:rPr>
        <w:fldChar w:fldCharType="separate"/>
      </w:r>
      <w:r w:rsidR="008013ED" w:rsidRPr="00AD15FB">
        <w:rPr>
          <w:rFonts w:ascii="Times New Roman" w:eastAsiaTheme="minorEastAsia" w:hAnsi="Times New Roman" w:cs="Times New Roman"/>
          <w:noProof/>
        </w:rPr>
        <w:t>(18)</w:t>
      </w:r>
      <w:r w:rsidR="00EE5574" w:rsidRPr="00AD15FB">
        <w:rPr>
          <w:rFonts w:ascii="Times New Roman" w:eastAsiaTheme="minorEastAsia" w:hAnsi="Times New Roman" w:cs="Times New Roman"/>
        </w:rPr>
        <w:fldChar w:fldCharType="end"/>
      </w:r>
      <w:r w:rsidR="00706116" w:rsidRPr="00AD15FB">
        <w:rPr>
          <w:rFonts w:ascii="Times New Roman" w:eastAsiaTheme="minorEastAsia" w:hAnsi="Times New Roman" w:cs="Times New Roman"/>
        </w:rPr>
        <w:t>.</w:t>
      </w:r>
      <w:r w:rsidRPr="00AD15FB">
        <w:rPr>
          <w:rFonts w:ascii="Times New Roman" w:eastAsiaTheme="minorEastAsia" w:hAnsi="Times New Roman" w:cs="Times New Roman"/>
        </w:rPr>
        <w:t xml:space="preserve"> </w:t>
      </w:r>
    </w:p>
    <w:p w:rsidR="00A33A4F" w:rsidRPr="00AD15FB" w:rsidRDefault="00011D23" w:rsidP="00A33A4F">
      <w:pPr>
        <w:pStyle w:val="Subtitle"/>
        <w:rPr>
          <w:rFonts w:ascii="Times New Roman" w:hAnsi="Times New Roman" w:cs="Times New Roman"/>
          <w:b/>
          <w:i w:val="0"/>
          <w:color w:val="auto"/>
          <w:sz w:val="22"/>
          <w:szCs w:val="22"/>
        </w:rPr>
      </w:pPr>
      <w:r w:rsidRPr="00AD15FB">
        <w:rPr>
          <w:rFonts w:ascii="Times New Roman" w:hAnsi="Times New Roman" w:cs="Times New Roman"/>
          <w:b/>
          <w:i w:val="0"/>
          <w:color w:val="auto"/>
          <w:sz w:val="22"/>
          <w:szCs w:val="22"/>
        </w:rPr>
        <w:t>Preliminary R</w:t>
      </w:r>
      <w:r w:rsidR="00B62339" w:rsidRPr="00AD15FB">
        <w:rPr>
          <w:rFonts w:ascii="Times New Roman" w:hAnsi="Times New Roman" w:cs="Times New Roman"/>
          <w:b/>
          <w:i w:val="0"/>
          <w:color w:val="auto"/>
          <w:sz w:val="22"/>
          <w:szCs w:val="22"/>
        </w:rPr>
        <w:t>esults</w:t>
      </w:r>
    </w:p>
    <w:p w:rsidR="00A33A4F" w:rsidRPr="00AD15FB" w:rsidRDefault="00A33A4F" w:rsidP="00A33A4F">
      <w:pPr>
        <w:pStyle w:val="Subtitle"/>
        <w:rPr>
          <w:rFonts w:ascii="Times New Roman" w:hAnsi="Times New Roman" w:cs="Times New Roman"/>
          <w:b/>
          <w:i w:val="0"/>
          <w:color w:val="auto"/>
          <w:sz w:val="22"/>
          <w:szCs w:val="22"/>
        </w:rPr>
      </w:pPr>
    </w:p>
    <w:p w:rsidR="0093127D" w:rsidRDefault="00A33A4F" w:rsidP="005A626C">
      <w:pPr>
        <w:spacing w:line="480" w:lineRule="auto"/>
        <w:ind w:firstLine="720"/>
        <w:rPr>
          <w:rFonts w:ascii="Times New Roman" w:eastAsiaTheme="minorEastAsia" w:hAnsi="Times New Roman" w:cs="Times New Roman"/>
        </w:rPr>
      </w:pPr>
      <w:r w:rsidRPr="00AD15FB">
        <w:rPr>
          <w:rFonts w:ascii="Times New Roman" w:eastAsiaTheme="minorEastAsia" w:hAnsi="Times New Roman" w:cs="Times New Roman"/>
        </w:rPr>
        <w:t>Life expectancy increased</w:t>
      </w:r>
      <w:r w:rsidR="00A757DB" w:rsidRPr="00AD15FB">
        <w:rPr>
          <w:rFonts w:ascii="Times New Roman" w:eastAsiaTheme="minorEastAsia" w:hAnsi="Times New Roman" w:cs="Times New Roman"/>
        </w:rPr>
        <w:t xml:space="preserve"> gradually</w:t>
      </w:r>
      <w:r w:rsidRPr="00AD15FB">
        <w:rPr>
          <w:rFonts w:ascii="Times New Roman" w:eastAsiaTheme="minorEastAsia" w:hAnsi="Times New Roman" w:cs="Times New Roman"/>
        </w:rPr>
        <w:t xml:space="preserve"> between 1995 and 2005 in both females and males from 75.3 and 69.2 years to </w:t>
      </w:r>
      <w:r w:rsidR="00A757DB" w:rsidRPr="00AD15FB">
        <w:rPr>
          <w:rFonts w:ascii="Times New Roman" w:eastAsiaTheme="minorEastAsia" w:hAnsi="Times New Roman" w:cs="Times New Roman"/>
        </w:rPr>
        <w:t xml:space="preserve">76.7 and 71.3, respectively. However, from 2005 to 2010 life expectancy decreased for males (from 71.3 to 71.0) and stagnated for females. </w:t>
      </w:r>
      <w:r w:rsidR="006E30EE">
        <w:rPr>
          <w:rFonts w:ascii="Times New Roman" w:eastAsiaTheme="minorEastAsia" w:hAnsi="Times New Roman" w:cs="Times New Roman"/>
        </w:rPr>
        <w:t>By</w:t>
      </w:r>
      <w:r w:rsidR="00A757DB" w:rsidRPr="00AD15FB">
        <w:rPr>
          <w:rFonts w:ascii="Times New Roman" w:eastAsiaTheme="minorEastAsia" w:hAnsi="Times New Roman" w:cs="Times New Roman"/>
        </w:rPr>
        <w:t xml:space="preserve"> 2015, males showed a slow recovery</w:t>
      </w:r>
      <w:r w:rsidR="00966D84" w:rsidRPr="00AD15FB">
        <w:rPr>
          <w:rFonts w:ascii="Times New Roman" w:eastAsiaTheme="minorEastAsia" w:hAnsi="Times New Roman" w:cs="Times New Roman"/>
        </w:rPr>
        <w:t xml:space="preserve"> causing life expectancy to return </w:t>
      </w:r>
      <w:r w:rsidR="00966D84" w:rsidRPr="00AD15FB">
        <w:rPr>
          <w:rFonts w:ascii="Times New Roman" w:eastAsiaTheme="minorEastAsia" w:hAnsi="Times New Roman" w:cs="Times New Roman"/>
        </w:rPr>
        <w:lastRenderedPageBreak/>
        <w:t>to its 2005 level</w:t>
      </w:r>
      <w:r w:rsidR="00A757DB" w:rsidRPr="00AD15FB">
        <w:rPr>
          <w:rFonts w:ascii="Times New Roman" w:eastAsiaTheme="minorEastAsia" w:hAnsi="Times New Roman" w:cs="Times New Roman"/>
        </w:rPr>
        <w:t xml:space="preserve">, while females improved life expectancy by an additional year. </w:t>
      </w:r>
      <w:r w:rsidR="00966D84" w:rsidRPr="00AD15FB">
        <w:rPr>
          <w:rFonts w:ascii="Times New Roman" w:eastAsiaTheme="minorEastAsia" w:hAnsi="Times New Roman" w:cs="Times New Roman"/>
        </w:rPr>
        <w:t xml:space="preserve"> Life disparity showed inverse patterns compared to life expectancy. From 2005 to 2015, uncertainty surrounding age at death increased for males and remained constant for females. Figure 1 shows age-cause specific contributions to changes in male life expectancy (top panel) and life dispa</w:t>
      </w:r>
      <w:r w:rsidR="00595671">
        <w:rPr>
          <w:rFonts w:ascii="Times New Roman" w:eastAsiaTheme="minorEastAsia" w:hAnsi="Times New Roman" w:cs="Times New Roman"/>
        </w:rPr>
        <w:t>rity between ages 5 and 80. Between 1995 and 2005, homicides decreased life disparity, while diabetes mortality explained most of increases in variation. However, between 2005 and 2015 homicides explained most of increases in life disparity, mainly concentrated in young-adult ages.</w:t>
      </w:r>
    </w:p>
    <w:p w:rsidR="005A626C" w:rsidRPr="005A626C" w:rsidRDefault="005A626C" w:rsidP="005A626C">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These results underscore the effect of homicides on the unpredictability of time of death that the Mexican population is experiencing. They reinforce the need for new policies targeting reductions in homicide mortality, since clearly those implemented over the last ten years have not been successful in reducing the burden of vi</w:t>
      </w:r>
      <w:r>
        <w:rPr>
          <w:rFonts w:ascii="Times New Roman" w:eastAsiaTheme="minorEastAsia" w:hAnsi="Times New Roman" w:cs="Times New Roman"/>
        </w:rPr>
        <w:t>o</w:t>
      </w:r>
      <w:r>
        <w:rPr>
          <w:rFonts w:ascii="Times New Roman" w:eastAsiaTheme="minorEastAsia" w:hAnsi="Times New Roman" w:cs="Times New Roman"/>
        </w:rPr>
        <w:t>lence in the country.</w:t>
      </w:r>
    </w:p>
    <w:p w:rsidR="00DC31B5" w:rsidRPr="007337A4" w:rsidRDefault="00DC31B5" w:rsidP="00DC31B5">
      <w:pPr>
        <w:pStyle w:val="Caption"/>
        <w:keepNext/>
        <w:jc w:val="center"/>
        <w:rPr>
          <w:rFonts w:ascii="Times New Roman" w:hAnsi="Times New Roman" w:cs="Times New Roman"/>
          <w:color w:val="auto"/>
          <w:szCs w:val="16"/>
        </w:rPr>
      </w:pPr>
      <w:r w:rsidRPr="007337A4">
        <w:rPr>
          <w:rFonts w:ascii="Times New Roman" w:hAnsi="Times New Roman" w:cs="Times New Roman"/>
          <w:color w:val="auto"/>
          <w:szCs w:val="16"/>
        </w:rPr>
        <w:t xml:space="preserve">Figure </w:t>
      </w:r>
      <w:r w:rsidRPr="007337A4">
        <w:rPr>
          <w:rFonts w:ascii="Times New Roman" w:hAnsi="Times New Roman" w:cs="Times New Roman"/>
          <w:color w:val="auto"/>
          <w:szCs w:val="16"/>
        </w:rPr>
        <w:fldChar w:fldCharType="begin"/>
      </w:r>
      <w:r w:rsidRPr="007337A4">
        <w:rPr>
          <w:rFonts w:ascii="Times New Roman" w:hAnsi="Times New Roman" w:cs="Times New Roman"/>
          <w:color w:val="auto"/>
          <w:szCs w:val="16"/>
        </w:rPr>
        <w:instrText xml:space="preserve"> SEQ Figure \* ARABIC </w:instrText>
      </w:r>
      <w:r w:rsidRPr="007337A4">
        <w:rPr>
          <w:rFonts w:ascii="Times New Roman" w:hAnsi="Times New Roman" w:cs="Times New Roman"/>
          <w:color w:val="auto"/>
          <w:szCs w:val="16"/>
        </w:rPr>
        <w:fldChar w:fldCharType="separate"/>
      </w:r>
      <w:r w:rsidRPr="007337A4">
        <w:rPr>
          <w:rFonts w:ascii="Times New Roman" w:hAnsi="Times New Roman" w:cs="Times New Roman"/>
          <w:noProof/>
          <w:color w:val="auto"/>
          <w:szCs w:val="16"/>
        </w:rPr>
        <w:t>1</w:t>
      </w:r>
      <w:r w:rsidRPr="007337A4">
        <w:rPr>
          <w:rFonts w:ascii="Times New Roman" w:hAnsi="Times New Roman" w:cs="Times New Roman"/>
          <w:color w:val="auto"/>
          <w:szCs w:val="16"/>
        </w:rPr>
        <w:fldChar w:fldCharType="end"/>
      </w:r>
      <w:r w:rsidRPr="007337A4">
        <w:rPr>
          <w:rFonts w:ascii="Times New Roman" w:hAnsi="Times New Roman" w:cs="Times New Roman"/>
          <w:color w:val="auto"/>
          <w:szCs w:val="16"/>
        </w:rPr>
        <w:t xml:space="preserve"> Age-cause specific contributions to changes in male life expectancy </w:t>
      </w:r>
      <m:oMath>
        <m:r>
          <m:rPr>
            <m:sty m:val="bi"/>
          </m:rPr>
          <w:rPr>
            <w:rFonts w:ascii="Cambria Math" w:hAnsi="Cambria Math" w:cs="Times New Roman"/>
            <w:color w:val="auto"/>
            <w:szCs w:val="16"/>
          </w:rPr>
          <m:t>(</m:t>
        </m:r>
        <m:sSub>
          <m:sSubPr>
            <m:ctrlPr>
              <w:rPr>
                <w:rFonts w:ascii="Cambria Math" w:hAnsi="Cambria Math" w:cs="Times New Roman"/>
                <w:color w:val="auto"/>
                <w:szCs w:val="16"/>
              </w:rPr>
            </m:ctrlPr>
          </m:sSubPr>
          <m:e>
            <m:r>
              <m:rPr>
                <m:sty m:val="b"/>
              </m:rPr>
              <w:rPr>
                <w:rFonts w:ascii="Cambria Math" w:hAnsi="Cambria Math" w:cs="Times New Roman"/>
                <w:color w:val="auto"/>
                <w:szCs w:val="16"/>
              </w:rPr>
              <m:t>e</m:t>
            </m:r>
          </m:e>
          <m:sub>
            <m:r>
              <m:rPr>
                <m:sty m:val="bi"/>
              </m:rPr>
              <w:rPr>
                <w:rFonts w:ascii="Cambria Math" w:hAnsi="Cambria Math" w:cs="Times New Roman"/>
                <w:color w:val="auto"/>
                <w:szCs w:val="16"/>
              </w:rPr>
              <m:t>0</m:t>
            </m:r>
          </m:sub>
        </m:sSub>
        <m:r>
          <m:rPr>
            <m:sty m:val="bi"/>
          </m:rPr>
          <w:rPr>
            <w:rFonts w:ascii="Cambria Math" w:hAnsi="Cambria Math" w:cs="Times New Roman"/>
            <w:color w:val="auto"/>
            <w:szCs w:val="16"/>
          </w:rPr>
          <m:t>)</m:t>
        </m:r>
      </m:oMath>
      <w:r w:rsidRPr="007337A4">
        <w:rPr>
          <w:rFonts w:ascii="Times New Roman" w:hAnsi="Times New Roman" w:cs="Times New Roman"/>
          <w:color w:val="auto"/>
          <w:szCs w:val="16"/>
        </w:rPr>
        <w:t xml:space="preserve"> and life disparity  </w:t>
      </w:r>
      <m:oMath>
        <m:d>
          <m:dPr>
            <m:ctrlPr>
              <w:rPr>
                <w:rFonts w:ascii="Cambria Math" w:hAnsi="Cambria Math" w:cs="Times New Roman"/>
                <w:i/>
                <w:color w:val="auto"/>
                <w:szCs w:val="16"/>
              </w:rPr>
            </m:ctrlPr>
          </m:dPr>
          <m:e>
            <m:sSup>
              <m:sSupPr>
                <m:ctrlPr>
                  <w:rPr>
                    <w:rFonts w:ascii="Cambria Math" w:hAnsi="Cambria Math" w:cs="Times New Roman"/>
                    <w:color w:val="auto"/>
                    <w:szCs w:val="16"/>
                  </w:rPr>
                </m:ctrlPr>
              </m:sSupPr>
              <m:e>
                <m:r>
                  <m:rPr>
                    <m:sty m:val="b"/>
                  </m:rPr>
                  <w:rPr>
                    <w:rFonts w:ascii="Cambria Math" w:hAnsi="Cambria Math" w:cs="Times New Roman"/>
                    <w:color w:val="auto"/>
                    <w:szCs w:val="16"/>
                  </w:rPr>
                  <m:t>e</m:t>
                </m:r>
              </m:e>
              <m:sup>
                <m:r>
                  <m:rPr>
                    <m:sty m:val="b"/>
                  </m:rPr>
                  <w:rPr>
                    <w:rFonts w:ascii="Cambria Math" w:hAnsi="Cambria Math" w:cs="Times New Roman"/>
                    <w:color w:val="auto"/>
                    <w:szCs w:val="16"/>
                  </w:rPr>
                  <m:t>†</m:t>
                </m:r>
              </m:sup>
            </m:sSup>
          </m:e>
        </m:d>
      </m:oMath>
      <w:r w:rsidRPr="007337A4">
        <w:rPr>
          <w:rFonts w:ascii="Times New Roman" w:eastAsiaTheme="minorEastAsia" w:hAnsi="Times New Roman" w:cs="Times New Roman"/>
          <w:color w:val="auto"/>
          <w:szCs w:val="16"/>
        </w:rPr>
        <w:t xml:space="preserve"> </w:t>
      </w:r>
      <w:r w:rsidRPr="007337A4">
        <w:rPr>
          <w:rFonts w:ascii="Times New Roman" w:hAnsi="Times New Roman" w:cs="Times New Roman"/>
          <w:color w:val="auto"/>
          <w:szCs w:val="16"/>
        </w:rPr>
        <w:t>between 1995-2005 and 2005-2015 for ages above 5 and below 80.</w:t>
      </w:r>
    </w:p>
    <w:p w:rsidR="007337A4" w:rsidRDefault="0093127D" w:rsidP="007337A4">
      <w:pPr>
        <w:spacing w:line="480" w:lineRule="auto"/>
        <w:jc w:val="center"/>
        <w:rPr>
          <w:rFonts w:ascii="Times New Roman" w:hAnsi="Times New Roman" w:cs="Times New Roman"/>
        </w:rPr>
      </w:pPr>
      <w:r>
        <w:rPr>
          <w:noProof/>
        </w:rPr>
        <w:drawing>
          <wp:inline distT="0" distB="0" distL="0" distR="0" wp14:anchorId="28937C58" wp14:editId="3D160B51">
            <wp:extent cx="3633226" cy="3690257"/>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4864" cy="3712235"/>
                    </a:xfrm>
                    <a:prstGeom prst="rect">
                      <a:avLst/>
                    </a:prstGeom>
                  </pic:spPr>
                </pic:pic>
              </a:graphicData>
            </a:graphic>
          </wp:inline>
        </w:drawing>
      </w:r>
    </w:p>
    <w:p w:rsidR="007543CE" w:rsidRPr="007337A4" w:rsidRDefault="00B62339" w:rsidP="007337A4">
      <w:pPr>
        <w:spacing w:line="480" w:lineRule="auto"/>
        <w:jc w:val="center"/>
        <w:rPr>
          <w:rFonts w:ascii="Times New Roman" w:hAnsi="Times New Roman" w:cs="Times New Roman"/>
        </w:rPr>
      </w:pPr>
      <w:r w:rsidRPr="005A626C">
        <w:rPr>
          <w:rFonts w:ascii="Times New Roman" w:hAnsi="Times New Roman" w:cs="Times New Roman"/>
          <w:b/>
          <w:sz w:val="16"/>
          <w:szCs w:val="16"/>
        </w:rPr>
        <w:t>References</w:t>
      </w:r>
    </w:p>
    <w:p w:rsidR="007452CB" w:rsidRPr="005A626C" w:rsidRDefault="007543CE" w:rsidP="007452CB">
      <w:pPr>
        <w:pStyle w:val="EndNoteBibliography"/>
        <w:rPr>
          <w:sz w:val="16"/>
          <w:szCs w:val="16"/>
        </w:rPr>
      </w:pPr>
      <w:r w:rsidRPr="005A626C">
        <w:rPr>
          <w:rFonts w:ascii="Times New Roman" w:hAnsi="Times New Roman" w:cs="Times New Roman"/>
          <w:b/>
          <w:sz w:val="16"/>
          <w:szCs w:val="16"/>
        </w:rPr>
        <w:fldChar w:fldCharType="begin"/>
      </w:r>
      <w:r w:rsidRPr="005A626C">
        <w:rPr>
          <w:rFonts w:ascii="Times New Roman" w:hAnsi="Times New Roman" w:cs="Times New Roman"/>
          <w:b/>
          <w:sz w:val="16"/>
          <w:szCs w:val="16"/>
        </w:rPr>
        <w:instrText xml:space="preserve"> ADDIN EN.REFLIST </w:instrText>
      </w:r>
      <w:r w:rsidRPr="005A626C">
        <w:rPr>
          <w:rFonts w:ascii="Times New Roman" w:hAnsi="Times New Roman" w:cs="Times New Roman"/>
          <w:b/>
          <w:sz w:val="16"/>
          <w:szCs w:val="16"/>
        </w:rPr>
        <w:fldChar w:fldCharType="separate"/>
      </w:r>
      <w:r w:rsidR="007452CB" w:rsidRPr="005A626C">
        <w:rPr>
          <w:sz w:val="16"/>
          <w:szCs w:val="16"/>
        </w:rPr>
        <w:t>1.</w:t>
      </w:r>
      <w:r w:rsidR="007452CB" w:rsidRPr="005A626C">
        <w:rPr>
          <w:sz w:val="16"/>
          <w:szCs w:val="16"/>
        </w:rPr>
        <w:tab/>
        <w:t>Marmot M. Inequalities in health. New England Journal of Medicine. 2001;345(2):134-5.</w:t>
      </w:r>
    </w:p>
    <w:p w:rsidR="007452CB" w:rsidRPr="005A626C" w:rsidRDefault="007452CB" w:rsidP="007452CB">
      <w:pPr>
        <w:pStyle w:val="EndNoteBibliography"/>
        <w:rPr>
          <w:sz w:val="16"/>
          <w:szCs w:val="16"/>
        </w:rPr>
      </w:pPr>
      <w:r w:rsidRPr="005A626C">
        <w:rPr>
          <w:sz w:val="16"/>
          <w:szCs w:val="16"/>
        </w:rPr>
        <w:t>2.</w:t>
      </w:r>
      <w:r w:rsidRPr="005A626C">
        <w:rPr>
          <w:sz w:val="16"/>
          <w:szCs w:val="16"/>
        </w:rPr>
        <w:tab/>
        <w:t>van Raalte AA, Kunst AE, Deboosere P, Leinsalu M, Lundberg O, Martikainen P, et al. More variation in lifespan in lower educated groups: evidence from 10 European countries. International Journal of Epidemiology. 2011:dyr146.</w:t>
      </w:r>
    </w:p>
    <w:p w:rsidR="007452CB" w:rsidRPr="005A626C" w:rsidRDefault="007452CB" w:rsidP="007452CB">
      <w:pPr>
        <w:pStyle w:val="EndNoteBibliography"/>
        <w:rPr>
          <w:sz w:val="16"/>
          <w:szCs w:val="16"/>
        </w:rPr>
      </w:pPr>
      <w:r w:rsidRPr="005A626C">
        <w:rPr>
          <w:sz w:val="16"/>
          <w:szCs w:val="16"/>
        </w:rPr>
        <w:lastRenderedPageBreak/>
        <w:t>3.</w:t>
      </w:r>
      <w:r w:rsidRPr="005A626C">
        <w:rPr>
          <w:sz w:val="16"/>
          <w:szCs w:val="16"/>
        </w:rPr>
        <w:tab/>
        <w:t>Canudas-Romo V, García-Guerrero VM, Echarri-Cánovas CJ. The stagnation of the Mexican male life expectancy in the first decade of the 21st century: the impact of homicides and diabetes mellitus. J Epidemiol Community Health. 2015;69(1):28-34.</w:t>
      </w:r>
    </w:p>
    <w:p w:rsidR="007452CB" w:rsidRPr="005A626C" w:rsidRDefault="007452CB" w:rsidP="007452CB">
      <w:pPr>
        <w:pStyle w:val="EndNoteBibliography"/>
        <w:rPr>
          <w:sz w:val="16"/>
          <w:szCs w:val="16"/>
        </w:rPr>
      </w:pPr>
      <w:r w:rsidRPr="005A626C">
        <w:rPr>
          <w:sz w:val="16"/>
          <w:szCs w:val="16"/>
        </w:rPr>
        <w:t>4.</w:t>
      </w:r>
      <w:r w:rsidRPr="005A626C">
        <w:rPr>
          <w:sz w:val="16"/>
          <w:szCs w:val="16"/>
        </w:rPr>
        <w:tab/>
        <w:t>Gamlin J. Violence and homicide in Mexico: a global health issue. The Lancet. 2015;385(9968):605-6.</w:t>
      </w:r>
    </w:p>
    <w:p w:rsidR="007452CB" w:rsidRPr="005A626C" w:rsidRDefault="007452CB" w:rsidP="007452CB">
      <w:pPr>
        <w:pStyle w:val="EndNoteBibliography"/>
        <w:rPr>
          <w:sz w:val="16"/>
          <w:szCs w:val="16"/>
        </w:rPr>
      </w:pPr>
      <w:r w:rsidRPr="005A626C">
        <w:rPr>
          <w:sz w:val="16"/>
          <w:szCs w:val="16"/>
        </w:rPr>
        <w:t>5.</w:t>
      </w:r>
      <w:r w:rsidRPr="005A626C">
        <w:rPr>
          <w:sz w:val="16"/>
          <w:szCs w:val="16"/>
        </w:rPr>
        <w:tab/>
        <w:t>Canudas-Romo V, Aburto JM, García-Guerrero VM, Beltrán-Sánchez H. Mexico's epidemic of violence and its public health significance on average length of life. Journal of epidemiology and community health. 2017;71(2):188-93.</w:t>
      </w:r>
    </w:p>
    <w:p w:rsidR="007452CB" w:rsidRPr="005A626C" w:rsidRDefault="007452CB" w:rsidP="007452CB">
      <w:pPr>
        <w:pStyle w:val="EndNoteBibliography"/>
        <w:rPr>
          <w:sz w:val="16"/>
          <w:szCs w:val="16"/>
        </w:rPr>
      </w:pPr>
      <w:r w:rsidRPr="005A626C">
        <w:rPr>
          <w:sz w:val="16"/>
          <w:szCs w:val="16"/>
        </w:rPr>
        <w:t>6.</w:t>
      </w:r>
      <w:r w:rsidRPr="005A626C">
        <w:rPr>
          <w:sz w:val="16"/>
          <w:szCs w:val="16"/>
        </w:rPr>
        <w:tab/>
        <w:t>Aburto JM, Beltrán-Sánchez H, García-Guerrero VM, Canudas-Romo V. Homicides in Mexico reversed life expectancy gains for men and slowed them for women, 2000–10. Health Affairs. 2016;35(1):88-95.</w:t>
      </w:r>
    </w:p>
    <w:p w:rsidR="007452CB" w:rsidRPr="005A626C" w:rsidRDefault="007452CB" w:rsidP="007452CB">
      <w:pPr>
        <w:pStyle w:val="EndNoteBibliography"/>
        <w:rPr>
          <w:sz w:val="16"/>
          <w:szCs w:val="16"/>
        </w:rPr>
      </w:pPr>
      <w:r w:rsidRPr="005A626C">
        <w:rPr>
          <w:sz w:val="16"/>
          <w:szCs w:val="16"/>
        </w:rPr>
        <w:t>7.</w:t>
      </w:r>
      <w:r w:rsidRPr="005A626C">
        <w:rPr>
          <w:sz w:val="16"/>
          <w:szCs w:val="16"/>
        </w:rPr>
        <w:tab/>
        <w:t>Colchero F, Rau R, Jones OR, Barthold JA, Conde DA, Lenart A, et al. The emergence of longevous populations. Proceedings of the National Academy of Sciences. 2016.</w:t>
      </w:r>
    </w:p>
    <w:p w:rsidR="007452CB" w:rsidRPr="005A626C" w:rsidRDefault="007452CB" w:rsidP="007452CB">
      <w:pPr>
        <w:pStyle w:val="EndNoteBibliography"/>
        <w:rPr>
          <w:sz w:val="16"/>
          <w:szCs w:val="16"/>
        </w:rPr>
      </w:pPr>
      <w:r w:rsidRPr="005A626C">
        <w:rPr>
          <w:sz w:val="16"/>
          <w:szCs w:val="16"/>
        </w:rPr>
        <w:t>8.</w:t>
      </w:r>
      <w:r w:rsidRPr="005A626C">
        <w:rPr>
          <w:sz w:val="16"/>
          <w:szCs w:val="16"/>
        </w:rPr>
        <w:tab/>
        <w:t xml:space="preserve">INEGI. National Institute of Statistics: Micro-data files on mortality data 1995-2015 2017 [Available from: </w:t>
      </w:r>
      <w:hyperlink r:id="rId11" w:history="1">
        <w:r w:rsidRPr="005A626C">
          <w:rPr>
            <w:rStyle w:val="Hyperlink"/>
            <w:sz w:val="16"/>
            <w:szCs w:val="16"/>
          </w:rPr>
          <w:t>http://www.beta.inegi.org.mx/proyectos/registros/vitales/mortalidad/default.html</w:t>
        </w:r>
      </w:hyperlink>
      <w:r w:rsidRPr="005A626C">
        <w:rPr>
          <w:sz w:val="16"/>
          <w:szCs w:val="16"/>
        </w:rPr>
        <w:t>.</w:t>
      </w:r>
    </w:p>
    <w:p w:rsidR="007452CB" w:rsidRPr="005A626C" w:rsidRDefault="007452CB" w:rsidP="007452CB">
      <w:pPr>
        <w:pStyle w:val="EndNoteBibliography"/>
        <w:rPr>
          <w:sz w:val="16"/>
          <w:szCs w:val="16"/>
        </w:rPr>
      </w:pPr>
      <w:r w:rsidRPr="005A626C">
        <w:rPr>
          <w:sz w:val="16"/>
          <w:szCs w:val="16"/>
        </w:rPr>
        <w:t>9.</w:t>
      </w:r>
      <w:r w:rsidRPr="005A626C">
        <w:rPr>
          <w:sz w:val="16"/>
          <w:szCs w:val="16"/>
        </w:rPr>
        <w:tab/>
        <w:t xml:space="preserve">CONAPO. Mexican Population Council: Population estimates. 2017 [Available from: </w:t>
      </w:r>
      <w:hyperlink r:id="rId12" w:history="1">
        <w:r w:rsidRPr="005A626C">
          <w:rPr>
            <w:rStyle w:val="Hyperlink"/>
            <w:sz w:val="16"/>
            <w:szCs w:val="16"/>
          </w:rPr>
          <w:t>https://datos.gob.mx/busca/dataset/activity/proyecciones-de-la-poblacion-de-mexico</w:t>
        </w:r>
      </w:hyperlink>
      <w:r w:rsidRPr="005A626C">
        <w:rPr>
          <w:sz w:val="16"/>
          <w:szCs w:val="16"/>
        </w:rPr>
        <w:t>.</w:t>
      </w:r>
    </w:p>
    <w:p w:rsidR="007452CB" w:rsidRPr="005A626C" w:rsidRDefault="007452CB" w:rsidP="007452CB">
      <w:pPr>
        <w:pStyle w:val="EndNoteBibliography"/>
        <w:rPr>
          <w:sz w:val="16"/>
          <w:szCs w:val="16"/>
        </w:rPr>
      </w:pPr>
      <w:r w:rsidRPr="005A626C">
        <w:rPr>
          <w:sz w:val="16"/>
          <w:szCs w:val="16"/>
        </w:rPr>
        <w:t>10.</w:t>
      </w:r>
      <w:r w:rsidRPr="005A626C">
        <w:rPr>
          <w:sz w:val="16"/>
          <w:szCs w:val="16"/>
        </w:rPr>
        <w:tab/>
        <w:t>Aburto JM, Riffe T, Canudas-Romo V. Stagnation, deterioration abd disparities on adulthood survival in Mexican states, 1990-2015. 2017.</w:t>
      </w:r>
    </w:p>
    <w:p w:rsidR="007452CB" w:rsidRPr="005A626C" w:rsidRDefault="007452CB" w:rsidP="007452CB">
      <w:pPr>
        <w:pStyle w:val="EndNoteBibliography"/>
        <w:rPr>
          <w:sz w:val="16"/>
          <w:szCs w:val="16"/>
        </w:rPr>
      </w:pPr>
      <w:r w:rsidRPr="005A626C">
        <w:rPr>
          <w:sz w:val="16"/>
          <w:szCs w:val="16"/>
        </w:rPr>
        <w:t>11.</w:t>
      </w:r>
      <w:r w:rsidRPr="005A626C">
        <w:rPr>
          <w:sz w:val="16"/>
          <w:szCs w:val="16"/>
        </w:rPr>
        <w:tab/>
        <w:t>van Raalte AA, Caswell H. Perturbation analysis of indices of lifespan variability. Demography. 2013;50(5):1615-40.</w:t>
      </w:r>
    </w:p>
    <w:p w:rsidR="007452CB" w:rsidRPr="005A626C" w:rsidRDefault="007452CB" w:rsidP="007452CB">
      <w:pPr>
        <w:pStyle w:val="EndNoteBibliography"/>
        <w:rPr>
          <w:sz w:val="16"/>
          <w:szCs w:val="16"/>
        </w:rPr>
      </w:pPr>
      <w:r w:rsidRPr="005A626C">
        <w:rPr>
          <w:sz w:val="16"/>
          <w:szCs w:val="16"/>
        </w:rPr>
        <w:t>12.</w:t>
      </w:r>
      <w:r w:rsidRPr="005A626C">
        <w:rPr>
          <w:sz w:val="16"/>
          <w:szCs w:val="16"/>
        </w:rPr>
        <w:tab/>
        <w:t>Vaupel JW, Canudas-Romo V. Decomposing change in life expectancy: A bouquet of formulas in honor of Nathan Keyfitz’s 90th birthday. Demography. 2003;40(2):201-16.</w:t>
      </w:r>
    </w:p>
    <w:p w:rsidR="007452CB" w:rsidRPr="005A626C" w:rsidRDefault="007452CB" w:rsidP="007452CB">
      <w:pPr>
        <w:pStyle w:val="EndNoteBibliography"/>
        <w:rPr>
          <w:sz w:val="16"/>
          <w:szCs w:val="16"/>
        </w:rPr>
      </w:pPr>
      <w:r w:rsidRPr="005A626C">
        <w:rPr>
          <w:sz w:val="16"/>
          <w:szCs w:val="16"/>
        </w:rPr>
        <w:t>13.</w:t>
      </w:r>
      <w:r w:rsidRPr="005A626C">
        <w:rPr>
          <w:sz w:val="16"/>
          <w:szCs w:val="16"/>
        </w:rPr>
        <w:tab/>
        <w:t>Vaupel JW, Zhang Z, van Raalte AA. Life expectancy and disparity: an international comparison of life table data. BMJ open. 2011;1(1):e000128.</w:t>
      </w:r>
    </w:p>
    <w:p w:rsidR="007452CB" w:rsidRPr="005A626C" w:rsidRDefault="007452CB" w:rsidP="007452CB">
      <w:pPr>
        <w:pStyle w:val="EndNoteBibliography"/>
        <w:rPr>
          <w:sz w:val="16"/>
          <w:szCs w:val="16"/>
        </w:rPr>
      </w:pPr>
      <w:r w:rsidRPr="005A626C">
        <w:rPr>
          <w:sz w:val="16"/>
          <w:szCs w:val="16"/>
        </w:rPr>
        <w:t>14.</w:t>
      </w:r>
      <w:r w:rsidRPr="005A626C">
        <w:rPr>
          <w:sz w:val="16"/>
          <w:szCs w:val="16"/>
        </w:rPr>
        <w:tab/>
        <w:t>Shkolnikov VM, Andreev EM, Zhang Z, Oeppen J, Vaupel JW. Losses of expected lifetime in the United States and other developed countries: methods and empirical analyses. Demography. 2011;48(1):211-39.</w:t>
      </w:r>
    </w:p>
    <w:p w:rsidR="007452CB" w:rsidRPr="005A626C" w:rsidRDefault="007452CB" w:rsidP="007452CB">
      <w:pPr>
        <w:pStyle w:val="EndNoteBibliography"/>
        <w:rPr>
          <w:sz w:val="16"/>
          <w:szCs w:val="16"/>
        </w:rPr>
      </w:pPr>
      <w:r w:rsidRPr="005A626C">
        <w:rPr>
          <w:sz w:val="16"/>
          <w:szCs w:val="16"/>
        </w:rPr>
        <w:t>15.</w:t>
      </w:r>
      <w:r w:rsidRPr="005A626C">
        <w:rPr>
          <w:sz w:val="16"/>
          <w:szCs w:val="16"/>
        </w:rPr>
        <w:tab/>
        <w:t>Zhang Z, Vaupel JW. The age separating early deaths from late deaths. Demographic Research. 2009;20(29):721-30.</w:t>
      </w:r>
    </w:p>
    <w:p w:rsidR="007452CB" w:rsidRPr="005A626C" w:rsidRDefault="007452CB" w:rsidP="007452CB">
      <w:pPr>
        <w:pStyle w:val="EndNoteBibliography"/>
        <w:rPr>
          <w:sz w:val="16"/>
          <w:szCs w:val="16"/>
        </w:rPr>
      </w:pPr>
      <w:r w:rsidRPr="005A626C">
        <w:rPr>
          <w:sz w:val="16"/>
          <w:szCs w:val="16"/>
        </w:rPr>
        <w:t>16.</w:t>
      </w:r>
      <w:r w:rsidRPr="005A626C">
        <w:rPr>
          <w:sz w:val="16"/>
          <w:szCs w:val="16"/>
        </w:rPr>
        <w:tab/>
        <w:t>Camarda CG. MortalitySmooth: An \textttR Package for Smoothing Poisson Counts with $P$-Splines. Journal of Statistical Software. 2012;50:1-24.</w:t>
      </w:r>
    </w:p>
    <w:p w:rsidR="007452CB" w:rsidRPr="005A626C" w:rsidRDefault="007452CB" w:rsidP="007452CB">
      <w:pPr>
        <w:pStyle w:val="EndNoteBibliography"/>
        <w:rPr>
          <w:sz w:val="16"/>
          <w:szCs w:val="16"/>
        </w:rPr>
      </w:pPr>
      <w:r w:rsidRPr="005A626C">
        <w:rPr>
          <w:sz w:val="16"/>
          <w:szCs w:val="16"/>
        </w:rPr>
        <w:t>17.</w:t>
      </w:r>
      <w:r w:rsidRPr="005A626C">
        <w:rPr>
          <w:sz w:val="16"/>
          <w:szCs w:val="16"/>
        </w:rPr>
        <w:tab/>
        <w:t>Preston SH, Heuveline P, Guillot M. Demography. Measuring and Modeling Population Processes: Blackwell; 2001.</w:t>
      </w:r>
    </w:p>
    <w:p w:rsidR="007452CB" w:rsidRPr="005A626C" w:rsidRDefault="007452CB" w:rsidP="007452CB">
      <w:pPr>
        <w:pStyle w:val="EndNoteBibliography"/>
        <w:rPr>
          <w:sz w:val="16"/>
          <w:szCs w:val="16"/>
        </w:rPr>
      </w:pPr>
      <w:r w:rsidRPr="005A626C">
        <w:rPr>
          <w:sz w:val="16"/>
          <w:szCs w:val="16"/>
        </w:rPr>
        <w:t>18.</w:t>
      </w:r>
      <w:r w:rsidRPr="005A626C">
        <w:rPr>
          <w:sz w:val="16"/>
          <w:szCs w:val="16"/>
        </w:rPr>
        <w:tab/>
        <w:t>Horiuchi S, Wilmoth JR, Pletcher SD. A decomposition method based on a model of continuous change. Demography. 2008;45(4):785-801.</w:t>
      </w:r>
    </w:p>
    <w:p w:rsidR="007E0D66" w:rsidRPr="0093127D" w:rsidRDefault="007543CE">
      <w:pPr>
        <w:spacing w:line="480" w:lineRule="auto"/>
        <w:rPr>
          <w:rFonts w:ascii="Times New Roman" w:hAnsi="Times New Roman" w:cs="Times New Roman"/>
          <w:b/>
          <w:sz w:val="16"/>
          <w:szCs w:val="16"/>
        </w:rPr>
      </w:pPr>
      <w:r w:rsidRPr="005A626C">
        <w:rPr>
          <w:rFonts w:ascii="Times New Roman" w:hAnsi="Times New Roman" w:cs="Times New Roman"/>
          <w:b/>
          <w:sz w:val="16"/>
          <w:szCs w:val="16"/>
        </w:rPr>
        <w:fldChar w:fldCharType="end"/>
      </w:r>
    </w:p>
    <w:sectPr w:rsidR="007E0D66" w:rsidRPr="0093127D" w:rsidSect="00ED725A">
      <w:headerReference w:type="default" r:id="rId13"/>
      <w:footerReference w:type="defaul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276" w:rsidRDefault="00EC3276" w:rsidP="008626B5">
      <w:r>
        <w:separator/>
      </w:r>
    </w:p>
  </w:endnote>
  <w:endnote w:type="continuationSeparator" w:id="0">
    <w:p w:rsidR="00EC3276" w:rsidRDefault="00EC3276"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3695895"/>
      <w:docPartObj>
        <w:docPartGallery w:val="Page Numbers (Bottom of Page)"/>
        <w:docPartUnique/>
      </w:docPartObj>
    </w:sdtPr>
    <w:sdtEndPr>
      <w:rPr>
        <w:noProof/>
      </w:rPr>
    </w:sdtEndPr>
    <w:sdtContent>
      <w:p w:rsidR="002E059C" w:rsidRDefault="002E059C">
        <w:pPr>
          <w:pStyle w:val="Footer"/>
          <w:jc w:val="right"/>
        </w:pPr>
        <w:r>
          <w:fldChar w:fldCharType="begin"/>
        </w:r>
        <w:r>
          <w:instrText xml:space="preserve"> PAGE   \* MERGEFORMAT </w:instrText>
        </w:r>
        <w:r>
          <w:fldChar w:fldCharType="separate"/>
        </w:r>
        <w:r w:rsidR="002812A4">
          <w:rPr>
            <w:noProof/>
          </w:rPr>
          <w:t>1</w:t>
        </w:r>
        <w:r>
          <w:rPr>
            <w:noProof/>
          </w:rPr>
          <w:fldChar w:fldCharType="end"/>
        </w:r>
      </w:p>
    </w:sdtContent>
  </w:sdt>
  <w:p w:rsidR="002E059C" w:rsidRDefault="002E05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276" w:rsidRDefault="00EC3276" w:rsidP="008626B5">
      <w:r>
        <w:separator/>
      </w:r>
    </w:p>
  </w:footnote>
  <w:footnote w:type="continuationSeparator" w:id="0">
    <w:p w:rsidR="00EC3276" w:rsidRDefault="00EC3276" w:rsidP="008626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0413550"/>
      <w:docPartObj>
        <w:docPartGallery w:val="Page Numbers (Top of Page)"/>
        <w:docPartUnique/>
      </w:docPartObj>
    </w:sdtPr>
    <w:sdtEndPr>
      <w:rPr>
        <w:noProof/>
      </w:rPr>
    </w:sdtEndPr>
    <w:sdtContent>
      <w:p w:rsidR="00590148" w:rsidRPr="00991CA3" w:rsidRDefault="00590148" w:rsidP="008626B5">
        <w:pPr>
          <w:pStyle w:val="Header"/>
          <w:rPr>
            <w:lang w:val="es-MX"/>
          </w:rPr>
        </w:pPr>
        <w:r w:rsidRPr="00991CA3">
          <w:rPr>
            <w:lang w:val="es-MX"/>
          </w:rPr>
          <w:t>Aburto</w:t>
        </w:r>
        <w:r>
          <w:rPr>
            <w:lang w:val="es-MX"/>
          </w:rPr>
          <w:t xml:space="preserve">, Lifespan </w:t>
        </w:r>
        <w:proofErr w:type="spellStart"/>
        <w:r w:rsidRPr="002E059C">
          <w:rPr>
            <w:lang w:val="es-MX"/>
          </w:rPr>
          <w:t>variation</w:t>
        </w:r>
        <w:proofErr w:type="spellEnd"/>
        <w:r>
          <w:rPr>
            <w:lang w:val="es-MX"/>
          </w:rPr>
          <w:t xml:space="preserve"> in </w:t>
        </w:r>
        <w:proofErr w:type="spellStart"/>
        <w:r w:rsidRPr="002E059C">
          <w:rPr>
            <w:lang w:val="es-MX"/>
          </w:rPr>
          <w:t>Mexico</w:t>
        </w:r>
        <w:proofErr w:type="spellEnd"/>
        <w:r w:rsidR="002E059C" w:rsidRPr="002E059C">
          <w:rPr>
            <w:lang w:val="es-MX"/>
          </w:rPr>
          <w:t xml:space="preserve"> </w:t>
        </w:r>
      </w:p>
    </w:sdtContent>
  </w:sdt>
  <w:p w:rsidR="00590148" w:rsidRPr="00991CA3" w:rsidRDefault="00590148">
    <w:pPr>
      <w:pStyle w:val="Header"/>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wts0fz21atwpxe2avovtpe5rz9v2fw0dtxf&quot;&gt;LifespanMx_2017&lt;record-ids&gt;&lt;item&gt;4&lt;/item&gt;&lt;item&gt;7&lt;/item&gt;&lt;item&gt;9&lt;/item&gt;&lt;item&gt;10&lt;/item&gt;&lt;item&gt;19&lt;/item&gt;&lt;item&gt;22&lt;/item&gt;&lt;item&gt;23&lt;/item&gt;&lt;item&gt;29&lt;/item&gt;&lt;item&gt;69&lt;/item&gt;&lt;item&gt;81&lt;/item&gt;&lt;item&gt;88&lt;/item&gt;&lt;item&gt;89&lt;/item&gt;&lt;item&gt;90&lt;/item&gt;&lt;item&gt;91&lt;/item&gt;&lt;item&gt;92&lt;/item&gt;&lt;item&gt;93&lt;/item&gt;&lt;item&gt;94&lt;/item&gt;&lt;item&gt;95&lt;/item&gt;&lt;/record-ids&gt;&lt;/item&gt;&lt;/Libraries&gt;"/>
  </w:docVars>
  <w:rsids>
    <w:rsidRoot w:val="00897FA5"/>
    <w:rsid w:val="0000056F"/>
    <w:rsid w:val="000052D1"/>
    <w:rsid w:val="00011D23"/>
    <w:rsid w:val="000133A2"/>
    <w:rsid w:val="000140A4"/>
    <w:rsid w:val="00023253"/>
    <w:rsid w:val="00024C0A"/>
    <w:rsid w:val="00030E6E"/>
    <w:rsid w:val="00034D1D"/>
    <w:rsid w:val="00035F7D"/>
    <w:rsid w:val="00053A64"/>
    <w:rsid w:val="00057052"/>
    <w:rsid w:val="000610F5"/>
    <w:rsid w:val="000623C6"/>
    <w:rsid w:val="000652F3"/>
    <w:rsid w:val="0007098C"/>
    <w:rsid w:val="00070F33"/>
    <w:rsid w:val="0007160B"/>
    <w:rsid w:val="000751FF"/>
    <w:rsid w:val="00093F2C"/>
    <w:rsid w:val="00096503"/>
    <w:rsid w:val="0009676B"/>
    <w:rsid w:val="000976B1"/>
    <w:rsid w:val="000A2B79"/>
    <w:rsid w:val="000A7C70"/>
    <w:rsid w:val="000B163F"/>
    <w:rsid w:val="000B1F3F"/>
    <w:rsid w:val="000B29F0"/>
    <w:rsid w:val="000B5931"/>
    <w:rsid w:val="000C7752"/>
    <w:rsid w:val="000D4103"/>
    <w:rsid w:val="000D6E25"/>
    <w:rsid w:val="000E1409"/>
    <w:rsid w:val="000E348B"/>
    <w:rsid w:val="000E3B4F"/>
    <w:rsid w:val="000E70CE"/>
    <w:rsid w:val="000F3403"/>
    <w:rsid w:val="000F6024"/>
    <w:rsid w:val="000F6E84"/>
    <w:rsid w:val="00102234"/>
    <w:rsid w:val="00102266"/>
    <w:rsid w:val="00103644"/>
    <w:rsid w:val="00114117"/>
    <w:rsid w:val="001154AB"/>
    <w:rsid w:val="00115CC5"/>
    <w:rsid w:val="0013165F"/>
    <w:rsid w:val="00133EFE"/>
    <w:rsid w:val="00147C2A"/>
    <w:rsid w:val="001520C4"/>
    <w:rsid w:val="00152715"/>
    <w:rsid w:val="001815A2"/>
    <w:rsid w:val="00184A14"/>
    <w:rsid w:val="00185EDC"/>
    <w:rsid w:val="00186759"/>
    <w:rsid w:val="00190B5F"/>
    <w:rsid w:val="00196DF0"/>
    <w:rsid w:val="001B4A59"/>
    <w:rsid w:val="001B5964"/>
    <w:rsid w:val="001B5AE5"/>
    <w:rsid w:val="001C18C8"/>
    <w:rsid w:val="001D3A4E"/>
    <w:rsid w:val="001E3927"/>
    <w:rsid w:val="001E562B"/>
    <w:rsid w:val="001E58D9"/>
    <w:rsid w:val="00211E35"/>
    <w:rsid w:val="00212E6B"/>
    <w:rsid w:val="00214128"/>
    <w:rsid w:val="0021479E"/>
    <w:rsid w:val="0022329A"/>
    <w:rsid w:val="00230647"/>
    <w:rsid w:val="0023597C"/>
    <w:rsid w:val="00237F54"/>
    <w:rsid w:val="00241894"/>
    <w:rsid w:val="002463B3"/>
    <w:rsid w:val="002550BE"/>
    <w:rsid w:val="00256CCC"/>
    <w:rsid w:val="00267B7B"/>
    <w:rsid w:val="002812A4"/>
    <w:rsid w:val="0028674F"/>
    <w:rsid w:val="00292D6F"/>
    <w:rsid w:val="00292DD8"/>
    <w:rsid w:val="00293E5A"/>
    <w:rsid w:val="00294234"/>
    <w:rsid w:val="00296F8E"/>
    <w:rsid w:val="00297BED"/>
    <w:rsid w:val="002A3461"/>
    <w:rsid w:val="002B3A7F"/>
    <w:rsid w:val="002B515A"/>
    <w:rsid w:val="002B5CC4"/>
    <w:rsid w:val="002B5E56"/>
    <w:rsid w:val="002B6154"/>
    <w:rsid w:val="002C5B6D"/>
    <w:rsid w:val="002E059C"/>
    <w:rsid w:val="002E1363"/>
    <w:rsid w:val="002E5917"/>
    <w:rsid w:val="002E61E9"/>
    <w:rsid w:val="002F3ACA"/>
    <w:rsid w:val="002F5300"/>
    <w:rsid w:val="00300272"/>
    <w:rsid w:val="00301966"/>
    <w:rsid w:val="00306181"/>
    <w:rsid w:val="00312221"/>
    <w:rsid w:val="00312C8E"/>
    <w:rsid w:val="003145A2"/>
    <w:rsid w:val="00322AB3"/>
    <w:rsid w:val="003269C6"/>
    <w:rsid w:val="00327149"/>
    <w:rsid w:val="00330988"/>
    <w:rsid w:val="003347D9"/>
    <w:rsid w:val="00340C1C"/>
    <w:rsid w:val="00340C80"/>
    <w:rsid w:val="00344ABF"/>
    <w:rsid w:val="0034584C"/>
    <w:rsid w:val="00345C88"/>
    <w:rsid w:val="003467D2"/>
    <w:rsid w:val="00346F99"/>
    <w:rsid w:val="0035474E"/>
    <w:rsid w:val="0035669C"/>
    <w:rsid w:val="003576E6"/>
    <w:rsid w:val="00357D2E"/>
    <w:rsid w:val="0036116F"/>
    <w:rsid w:val="00361AF1"/>
    <w:rsid w:val="00374DAD"/>
    <w:rsid w:val="00375441"/>
    <w:rsid w:val="00381F01"/>
    <w:rsid w:val="00382A4A"/>
    <w:rsid w:val="00385E11"/>
    <w:rsid w:val="003A0237"/>
    <w:rsid w:val="003A0827"/>
    <w:rsid w:val="003A160D"/>
    <w:rsid w:val="003A7066"/>
    <w:rsid w:val="003B0A16"/>
    <w:rsid w:val="003B54D7"/>
    <w:rsid w:val="003C3797"/>
    <w:rsid w:val="003C5029"/>
    <w:rsid w:val="003C5036"/>
    <w:rsid w:val="003E1A3A"/>
    <w:rsid w:val="003F41E2"/>
    <w:rsid w:val="00410FFF"/>
    <w:rsid w:val="00413168"/>
    <w:rsid w:val="00414E48"/>
    <w:rsid w:val="00422417"/>
    <w:rsid w:val="00430B3C"/>
    <w:rsid w:val="00432140"/>
    <w:rsid w:val="004404A1"/>
    <w:rsid w:val="00442C84"/>
    <w:rsid w:val="0044355A"/>
    <w:rsid w:val="00444CE0"/>
    <w:rsid w:val="004754A8"/>
    <w:rsid w:val="0047614E"/>
    <w:rsid w:val="00483D85"/>
    <w:rsid w:val="00486FE4"/>
    <w:rsid w:val="004901DE"/>
    <w:rsid w:val="004939C9"/>
    <w:rsid w:val="004A4D36"/>
    <w:rsid w:val="004A664C"/>
    <w:rsid w:val="004A763C"/>
    <w:rsid w:val="004C4EA6"/>
    <w:rsid w:val="004D1134"/>
    <w:rsid w:val="004D3C1C"/>
    <w:rsid w:val="004D7A20"/>
    <w:rsid w:val="004E2A3E"/>
    <w:rsid w:val="004F13CE"/>
    <w:rsid w:val="004F3A00"/>
    <w:rsid w:val="004F43B3"/>
    <w:rsid w:val="004F4E17"/>
    <w:rsid w:val="004F5F7B"/>
    <w:rsid w:val="00505200"/>
    <w:rsid w:val="0051024E"/>
    <w:rsid w:val="005127DC"/>
    <w:rsid w:val="00515843"/>
    <w:rsid w:val="00521967"/>
    <w:rsid w:val="00524AC0"/>
    <w:rsid w:val="00525247"/>
    <w:rsid w:val="0053188E"/>
    <w:rsid w:val="0053670C"/>
    <w:rsid w:val="00541E1F"/>
    <w:rsid w:val="005445D9"/>
    <w:rsid w:val="00547C30"/>
    <w:rsid w:val="00561463"/>
    <w:rsid w:val="0056326E"/>
    <w:rsid w:val="00566AA7"/>
    <w:rsid w:val="00571B9F"/>
    <w:rsid w:val="00576B85"/>
    <w:rsid w:val="0057716F"/>
    <w:rsid w:val="00577DFB"/>
    <w:rsid w:val="005821D4"/>
    <w:rsid w:val="00582AFA"/>
    <w:rsid w:val="005841C5"/>
    <w:rsid w:val="005841C8"/>
    <w:rsid w:val="00590148"/>
    <w:rsid w:val="00592485"/>
    <w:rsid w:val="00595671"/>
    <w:rsid w:val="0059737B"/>
    <w:rsid w:val="005A626C"/>
    <w:rsid w:val="005B02EC"/>
    <w:rsid w:val="005B3F32"/>
    <w:rsid w:val="005B45D9"/>
    <w:rsid w:val="005B5B35"/>
    <w:rsid w:val="005C775B"/>
    <w:rsid w:val="005C78C1"/>
    <w:rsid w:val="005C7E5B"/>
    <w:rsid w:val="005D1509"/>
    <w:rsid w:val="005D44B2"/>
    <w:rsid w:val="005D68A9"/>
    <w:rsid w:val="005E0526"/>
    <w:rsid w:val="005E392D"/>
    <w:rsid w:val="005E4AC8"/>
    <w:rsid w:val="005F2A5A"/>
    <w:rsid w:val="005F7F34"/>
    <w:rsid w:val="006158DC"/>
    <w:rsid w:val="006218DF"/>
    <w:rsid w:val="00623083"/>
    <w:rsid w:val="00624AC6"/>
    <w:rsid w:val="006343C1"/>
    <w:rsid w:val="00637015"/>
    <w:rsid w:val="00637863"/>
    <w:rsid w:val="006556AD"/>
    <w:rsid w:val="00657D87"/>
    <w:rsid w:val="00660553"/>
    <w:rsid w:val="00664278"/>
    <w:rsid w:val="006763A3"/>
    <w:rsid w:val="00680D32"/>
    <w:rsid w:val="006825DF"/>
    <w:rsid w:val="00687492"/>
    <w:rsid w:val="0069185B"/>
    <w:rsid w:val="00695911"/>
    <w:rsid w:val="006A1BDD"/>
    <w:rsid w:val="006A67ED"/>
    <w:rsid w:val="006B0500"/>
    <w:rsid w:val="006B646A"/>
    <w:rsid w:val="006C0220"/>
    <w:rsid w:val="006C0332"/>
    <w:rsid w:val="006C2776"/>
    <w:rsid w:val="006D27D1"/>
    <w:rsid w:val="006D4C44"/>
    <w:rsid w:val="006D63B1"/>
    <w:rsid w:val="006D7692"/>
    <w:rsid w:val="006E30EE"/>
    <w:rsid w:val="006E5308"/>
    <w:rsid w:val="006F2D06"/>
    <w:rsid w:val="006F31FB"/>
    <w:rsid w:val="00701C71"/>
    <w:rsid w:val="007021A3"/>
    <w:rsid w:val="00703EDC"/>
    <w:rsid w:val="00706116"/>
    <w:rsid w:val="007142DA"/>
    <w:rsid w:val="00714651"/>
    <w:rsid w:val="00721BA4"/>
    <w:rsid w:val="00723B8A"/>
    <w:rsid w:val="00724004"/>
    <w:rsid w:val="007307BC"/>
    <w:rsid w:val="007337A4"/>
    <w:rsid w:val="007362CE"/>
    <w:rsid w:val="00736F9C"/>
    <w:rsid w:val="007452CB"/>
    <w:rsid w:val="0075108C"/>
    <w:rsid w:val="007543CE"/>
    <w:rsid w:val="00756D74"/>
    <w:rsid w:val="00760823"/>
    <w:rsid w:val="0076399E"/>
    <w:rsid w:val="007640CF"/>
    <w:rsid w:val="0077105C"/>
    <w:rsid w:val="00774C06"/>
    <w:rsid w:val="00776629"/>
    <w:rsid w:val="0077758E"/>
    <w:rsid w:val="00781EA2"/>
    <w:rsid w:val="0079067C"/>
    <w:rsid w:val="00797EDD"/>
    <w:rsid w:val="007A35CE"/>
    <w:rsid w:val="007A6233"/>
    <w:rsid w:val="007A7C9E"/>
    <w:rsid w:val="007B18DA"/>
    <w:rsid w:val="007B1A04"/>
    <w:rsid w:val="007B5189"/>
    <w:rsid w:val="007C0507"/>
    <w:rsid w:val="007C17E2"/>
    <w:rsid w:val="007C4A1C"/>
    <w:rsid w:val="007C54A1"/>
    <w:rsid w:val="007D1DA6"/>
    <w:rsid w:val="007D4970"/>
    <w:rsid w:val="007E0D66"/>
    <w:rsid w:val="007E2FAE"/>
    <w:rsid w:val="007E7562"/>
    <w:rsid w:val="007F36D4"/>
    <w:rsid w:val="007F3CD3"/>
    <w:rsid w:val="007F4E3F"/>
    <w:rsid w:val="00800EDF"/>
    <w:rsid w:val="008013ED"/>
    <w:rsid w:val="00802F99"/>
    <w:rsid w:val="00813155"/>
    <w:rsid w:val="008143C4"/>
    <w:rsid w:val="00814E48"/>
    <w:rsid w:val="0082005B"/>
    <w:rsid w:val="00823A5D"/>
    <w:rsid w:val="00825E78"/>
    <w:rsid w:val="00831DA6"/>
    <w:rsid w:val="00841CDF"/>
    <w:rsid w:val="00852D81"/>
    <w:rsid w:val="00855DAF"/>
    <w:rsid w:val="0085740F"/>
    <w:rsid w:val="008626B5"/>
    <w:rsid w:val="00865035"/>
    <w:rsid w:val="008818A6"/>
    <w:rsid w:val="00885957"/>
    <w:rsid w:val="00885DB7"/>
    <w:rsid w:val="00897FA5"/>
    <w:rsid w:val="008A1093"/>
    <w:rsid w:val="008A175B"/>
    <w:rsid w:val="008A35B4"/>
    <w:rsid w:val="008B1ED9"/>
    <w:rsid w:val="008B5B0F"/>
    <w:rsid w:val="008C2CFB"/>
    <w:rsid w:val="008C5F7F"/>
    <w:rsid w:val="008D6171"/>
    <w:rsid w:val="008D6987"/>
    <w:rsid w:val="008E345E"/>
    <w:rsid w:val="008E4345"/>
    <w:rsid w:val="008E5FAB"/>
    <w:rsid w:val="008E6DD5"/>
    <w:rsid w:val="008F26BD"/>
    <w:rsid w:val="008F6120"/>
    <w:rsid w:val="008F67A1"/>
    <w:rsid w:val="00900AEB"/>
    <w:rsid w:val="00901147"/>
    <w:rsid w:val="00926C45"/>
    <w:rsid w:val="00930804"/>
    <w:rsid w:val="0093127D"/>
    <w:rsid w:val="00941996"/>
    <w:rsid w:val="00955939"/>
    <w:rsid w:val="00966D84"/>
    <w:rsid w:val="00970888"/>
    <w:rsid w:val="00974ACD"/>
    <w:rsid w:val="00976EDA"/>
    <w:rsid w:val="0098075F"/>
    <w:rsid w:val="00981027"/>
    <w:rsid w:val="00983394"/>
    <w:rsid w:val="0098561F"/>
    <w:rsid w:val="00987F65"/>
    <w:rsid w:val="00990BFC"/>
    <w:rsid w:val="00991CA3"/>
    <w:rsid w:val="0099251E"/>
    <w:rsid w:val="00995756"/>
    <w:rsid w:val="009967BC"/>
    <w:rsid w:val="009971ED"/>
    <w:rsid w:val="00997FE3"/>
    <w:rsid w:val="009A35CA"/>
    <w:rsid w:val="009B402C"/>
    <w:rsid w:val="009B72AE"/>
    <w:rsid w:val="009D4EE9"/>
    <w:rsid w:val="009D5CF0"/>
    <w:rsid w:val="009E4F13"/>
    <w:rsid w:val="009E6414"/>
    <w:rsid w:val="009E791B"/>
    <w:rsid w:val="009F25EB"/>
    <w:rsid w:val="009F4B44"/>
    <w:rsid w:val="00A10B18"/>
    <w:rsid w:val="00A122F8"/>
    <w:rsid w:val="00A16BDF"/>
    <w:rsid w:val="00A25E77"/>
    <w:rsid w:val="00A309BD"/>
    <w:rsid w:val="00A33A4F"/>
    <w:rsid w:val="00A47DA0"/>
    <w:rsid w:val="00A51624"/>
    <w:rsid w:val="00A519CD"/>
    <w:rsid w:val="00A60E9F"/>
    <w:rsid w:val="00A67AA2"/>
    <w:rsid w:val="00A72E0F"/>
    <w:rsid w:val="00A757DB"/>
    <w:rsid w:val="00A76246"/>
    <w:rsid w:val="00A82186"/>
    <w:rsid w:val="00A830E0"/>
    <w:rsid w:val="00A85929"/>
    <w:rsid w:val="00A86A02"/>
    <w:rsid w:val="00A91859"/>
    <w:rsid w:val="00A91EF0"/>
    <w:rsid w:val="00AA63FC"/>
    <w:rsid w:val="00AD15FB"/>
    <w:rsid w:val="00AD5099"/>
    <w:rsid w:val="00AD66A7"/>
    <w:rsid w:val="00AD6EB1"/>
    <w:rsid w:val="00AD79ED"/>
    <w:rsid w:val="00AF5790"/>
    <w:rsid w:val="00AF7B1D"/>
    <w:rsid w:val="00B02AEF"/>
    <w:rsid w:val="00B03219"/>
    <w:rsid w:val="00B03D12"/>
    <w:rsid w:val="00B041F0"/>
    <w:rsid w:val="00B04450"/>
    <w:rsid w:val="00B0457F"/>
    <w:rsid w:val="00B0490E"/>
    <w:rsid w:val="00B12350"/>
    <w:rsid w:val="00B25ECB"/>
    <w:rsid w:val="00B2783C"/>
    <w:rsid w:val="00B347B2"/>
    <w:rsid w:val="00B37C3E"/>
    <w:rsid w:val="00B4142C"/>
    <w:rsid w:val="00B421AB"/>
    <w:rsid w:val="00B44767"/>
    <w:rsid w:val="00B516BA"/>
    <w:rsid w:val="00B62339"/>
    <w:rsid w:val="00B62851"/>
    <w:rsid w:val="00B6532B"/>
    <w:rsid w:val="00B70301"/>
    <w:rsid w:val="00B73C4D"/>
    <w:rsid w:val="00B87A2F"/>
    <w:rsid w:val="00B94BE0"/>
    <w:rsid w:val="00B97962"/>
    <w:rsid w:val="00B97C33"/>
    <w:rsid w:val="00BA1202"/>
    <w:rsid w:val="00BB099E"/>
    <w:rsid w:val="00BB58A7"/>
    <w:rsid w:val="00BB58FA"/>
    <w:rsid w:val="00BC188E"/>
    <w:rsid w:val="00BD0F15"/>
    <w:rsid w:val="00BD4760"/>
    <w:rsid w:val="00BE15C0"/>
    <w:rsid w:val="00BE2458"/>
    <w:rsid w:val="00BE3082"/>
    <w:rsid w:val="00BE5969"/>
    <w:rsid w:val="00BE6467"/>
    <w:rsid w:val="00BF0DD1"/>
    <w:rsid w:val="00C108E9"/>
    <w:rsid w:val="00C175CE"/>
    <w:rsid w:val="00C24065"/>
    <w:rsid w:val="00C3613E"/>
    <w:rsid w:val="00C36397"/>
    <w:rsid w:val="00C3799B"/>
    <w:rsid w:val="00C44080"/>
    <w:rsid w:val="00C458A5"/>
    <w:rsid w:val="00C535AE"/>
    <w:rsid w:val="00C5680A"/>
    <w:rsid w:val="00C66D21"/>
    <w:rsid w:val="00C722C6"/>
    <w:rsid w:val="00C8691D"/>
    <w:rsid w:val="00C97F41"/>
    <w:rsid w:val="00CA198F"/>
    <w:rsid w:val="00CA1BC0"/>
    <w:rsid w:val="00CA7710"/>
    <w:rsid w:val="00CB04CC"/>
    <w:rsid w:val="00CB2F9A"/>
    <w:rsid w:val="00CB3B37"/>
    <w:rsid w:val="00CC31CF"/>
    <w:rsid w:val="00CC43E7"/>
    <w:rsid w:val="00CC5927"/>
    <w:rsid w:val="00CC59F4"/>
    <w:rsid w:val="00CD1E0C"/>
    <w:rsid w:val="00CE14DA"/>
    <w:rsid w:val="00CE1553"/>
    <w:rsid w:val="00CE2949"/>
    <w:rsid w:val="00CE41BF"/>
    <w:rsid w:val="00CE6001"/>
    <w:rsid w:val="00CE7213"/>
    <w:rsid w:val="00CE7FCB"/>
    <w:rsid w:val="00CE7FF5"/>
    <w:rsid w:val="00CF1697"/>
    <w:rsid w:val="00CF24C5"/>
    <w:rsid w:val="00CF4C73"/>
    <w:rsid w:val="00D013FD"/>
    <w:rsid w:val="00D02A5C"/>
    <w:rsid w:val="00D0478C"/>
    <w:rsid w:val="00D13D70"/>
    <w:rsid w:val="00D2173D"/>
    <w:rsid w:val="00D33718"/>
    <w:rsid w:val="00D34ACD"/>
    <w:rsid w:val="00D3712D"/>
    <w:rsid w:val="00D4032F"/>
    <w:rsid w:val="00D43270"/>
    <w:rsid w:val="00D461FC"/>
    <w:rsid w:val="00D53A0F"/>
    <w:rsid w:val="00D55053"/>
    <w:rsid w:val="00D557AA"/>
    <w:rsid w:val="00D557F4"/>
    <w:rsid w:val="00D57231"/>
    <w:rsid w:val="00D637C5"/>
    <w:rsid w:val="00D6429C"/>
    <w:rsid w:val="00D733CE"/>
    <w:rsid w:val="00D73619"/>
    <w:rsid w:val="00D8183C"/>
    <w:rsid w:val="00D823B0"/>
    <w:rsid w:val="00D84AE2"/>
    <w:rsid w:val="00D90ECA"/>
    <w:rsid w:val="00D917FF"/>
    <w:rsid w:val="00D91C57"/>
    <w:rsid w:val="00DA09EC"/>
    <w:rsid w:val="00DB1E25"/>
    <w:rsid w:val="00DB5614"/>
    <w:rsid w:val="00DC1F34"/>
    <w:rsid w:val="00DC31B5"/>
    <w:rsid w:val="00DC4AB2"/>
    <w:rsid w:val="00DC6E30"/>
    <w:rsid w:val="00DF3CA7"/>
    <w:rsid w:val="00E07198"/>
    <w:rsid w:val="00E10F2E"/>
    <w:rsid w:val="00E22012"/>
    <w:rsid w:val="00E32FC8"/>
    <w:rsid w:val="00E34DC0"/>
    <w:rsid w:val="00E360C2"/>
    <w:rsid w:val="00E52F67"/>
    <w:rsid w:val="00E54FCA"/>
    <w:rsid w:val="00E67EAE"/>
    <w:rsid w:val="00E70C29"/>
    <w:rsid w:val="00E70CB2"/>
    <w:rsid w:val="00E77D66"/>
    <w:rsid w:val="00E816C3"/>
    <w:rsid w:val="00E83AB5"/>
    <w:rsid w:val="00E83D54"/>
    <w:rsid w:val="00E855E0"/>
    <w:rsid w:val="00E91351"/>
    <w:rsid w:val="00E943AC"/>
    <w:rsid w:val="00EA4EB0"/>
    <w:rsid w:val="00EA65B4"/>
    <w:rsid w:val="00EB0090"/>
    <w:rsid w:val="00EB1435"/>
    <w:rsid w:val="00EB25AE"/>
    <w:rsid w:val="00EB5AAE"/>
    <w:rsid w:val="00EC3276"/>
    <w:rsid w:val="00EC6E93"/>
    <w:rsid w:val="00ED10EE"/>
    <w:rsid w:val="00ED5363"/>
    <w:rsid w:val="00ED6F62"/>
    <w:rsid w:val="00ED725A"/>
    <w:rsid w:val="00EE5574"/>
    <w:rsid w:val="00EE60B6"/>
    <w:rsid w:val="00EF3E82"/>
    <w:rsid w:val="00EF6D66"/>
    <w:rsid w:val="00F01698"/>
    <w:rsid w:val="00F02835"/>
    <w:rsid w:val="00F03ADE"/>
    <w:rsid w:val="00F04F11"/>
    <w:rsid w:val="00F129F8"/>
    <w:rsid w:val="00F17DF1"/>
    <w:rsid w:val="00F2459F"/>
    <w:rsid w:val="00F25F63"/>
    <w:rsid w:val="00F26C7F"/>
    <w:rsid w:val="00F51F22"/>
    <w:rsid w:val="00F57059"/>
    <w:rsid w:val="00F64CC0"/>
    <w:rsid w:val="00F66652"/>
    <w:rsid w:val="00F715BC"/>
    <w:rsid w:val="00F72DF8"/>
    <w:rsid w:val="00F7503A"/>
    <w:rsid w:val="00F77B3E"/>
    <w:rsid w:val="00F80187"/>
    <w:rsid w:val="00F827F9"/>
    <w:rsid w:val="00F847B3"/>
    <w:rsid w:val="00F8569E"/>
    <w:rsid w:val="00F93E3B"/>
    <w:rsid w:val="00F97CB1"/>
    <w:rsid w:val="00FA2BAD"/>
    <w:rsid w:val="00FB44D9"/>
    <w:rsid w:val="00FB705E"/>
    <w:rsid w:val="00FB7DB3"/>
    <w:rsid w:val="00FC6D85"/>
    <w:rsid w:val="00FD0062"/>
    <w:rsid w:val="00FD0196"/>
    <w:rsid w:val="00FE120C"/>
    <w:rsid w:val="00FE468B"/>
    <w:rsid w:val="00FE6BB4"/>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267">
    <w:lsdException w:name="header" w:uiPriority="99"/>
    <w:lsdException w:name="footer" w:uiPriority="99"/>
    <w:lsdException w:name="Normal (Web)" w:uiPriority="99"/>
    <w:lsdException w:name="HTML Preformatted" w:uiPriority="99"/>
    <w:lsdException w:name="Placeholder Text"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C17E2"/>
    <w:rPr>
      <w:rFonts w:ascii="Calibri" w:hAnsi="Calibri"/>
      <w:noProof/>
    </w:rPr>
  </w:style>
  <w:style w:type="paragraph" w:customStyle="1" w:styleId="EndNoteBibliography">
    <w:name w:val="EndNote Bibliography"/>
    <w:basedOn w:val="Normal"/>
    <w:link w:val="EndNoteBibliographyChar"/>
    <w:rsid w:val="007C17E2"/>
    <w:rPr>
      <w:rFonts w:ascii="Calibri" w:hAnsi="Calibri"/>
      <w:noProof/>
    </w:rPr>
  </w:style>
  <w:style w:type="character" w:customStyle="1" w:styleId="EndNoteBibliographyChar">
    <w:name w:val="EndNote Bibliography Char"/>
    <w:basedOn w:val="DefaultParagraphFont"/>
    <w:link w:val="EndNoteBibliography"/>
    <w:rsid w:val="007C17E2"/>
    <w:rPr>
      <w:rFonts w:ascii="Calibri" w:hAnsi="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267">
    <w:lsdException w:name="header" w:uiPriority="99"/>
    <w:lsdException w:name="footer" w:uiPriority="99"/>
    <w:lsdException w:name="Normal (Web)" w:uiPriority="99"/>
    <w:lsdException w:name="HTML Preformatted" w:uiPriority="99"/>
    <w:lsdException w:name="Placeholder Text"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C17E2"/>
    <w:rPr>
      <w:rFonts w:ascii="Calibri" w:hAnsi="Calibri"/>
      <w:noProof/>
    </w:rPr>
  </w:style>
  <w:style w:type="paragraph" w:customStyle="1" w:styleId="EndNoteBibliography">
    <w:name w:val="EndNote Bibliography"/>
    <w:basedOn w:val="Normal"/>
    <w:link w:val="EndNoteBibliographyChar"/>
    <w:rsid w:val="007C17E2"/>
    <w:rPr>
      <w:rFonts w:ascii="Calibri" w:hAnsi="Calibri"/>
      <w:noProof/>
    </w:rPr>
  </w:style>
  <w:style w:type="character" w:customStyle="1" w:styleId="EndNoteBibliographyChar">
    <w:name w:val="EndNote Bibliography Char"/>
    <w:basedOn w:val="DefaultParagraphFont"/>
    <w:link w:val="EndNoteBibliography"/>
    <w:rsid w:val="007C17E2"/>
    <w:rPr>
      <w:rFonts w:ascii="Calibri" w:hAnsi="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atos.gob.mx/busca/dataset/activity/proyecciones-de-la-poblacion-de-mexic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eta.inegi.org.mx/proyectos/registros/vitales/mortalidad/default.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jmaburto@health.sdu.d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7D2B3-B8B3-4CE4-B5B3-C22A96CE3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TotalTime>
  <Pages>5</Pages>
  <Words>4459</Words>
  <Characters>25419</Characters>
  <Application>Microsoft Office Word</Application>
  <DocSecurity>0</DocSecurity>
  <Lines>211</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29819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123</cp:revision>
  <dcterms:created xsi:type="dcterms:W3CDTF">2016-11-30T09:15:00Z</dcterms:created>
  <dcterms:modified xsi:type="dcterms:W3CDTF">2017-04-24T15:12:00Z</dcterms:modified>
</cp:coreProperties>
</file>