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0D0B3C24" w:rsidR="00062C68" w:rsidRPr="008155D7" w:rsidRDefault="008C30A6" w:rsidP="00062C68">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8D7213">
        <w:rPr>
          <w:rFonts w:ascii="Times New Roman" w:hAnsi="Times New Roman" w:cs="Times New Roman"/>
          <w:b/>
          <w:sz w:val="24"/>
          <w:szCs w:val="24"/>
          <w:lang w:val="en-GB"/>
        </w:rPr>
        <w:t>‘</w:t>
      </w:r>
      <w:r w:rsidR="00062C68" w:rsidRPr="008155D7">
        <w:rPr>
          <w:rFonts w:ascii="Times New Roman" w:hAnsi="Times New Roman" w:cs="Times New Roman"/>
          <w:b/>
          <w:sz w:val="24"/>
          <w:szCs w:val="24"/>
          <w:lang w:val="en-GB"/>
        </w:rPr>
        <w:t>Homicides</w:t>
      </w:r>
      <w:r w:rsidR="00062C68">
        <w:rPr>
          <w:rFonts w:ascii="Times New Roman" w:hAnsi="Times New Roman" w:cs="Times New Roman"/>
          <w:b/>
          <w:sz w:val="24"/>
          <w:szCs w:val="24"/>
          <w:lang w:val="en-GB"/>
        </w:rPr>
        <w:t xml:space="preserve"> in Mexico</w:t>
      </w:r>
      <w:r w:rsidR="00062C68" w:rsidRPr="008155D7">
        <w:rPr>
          <w:rFonts w:ascii="Times New Roman" w:hAnsi="Times New Roman" w:cs="Times New Roman"/>
          <w:b/>
          <w:sz w:val="24"/>
          <w:szCs w:val="24"/>
          <w:lang w:val="en-GB"/>
        </w:rPr>
        <w:t xml:space="preserve"> increased inequality of lifespans and slowed down life expectancy gains</w:t>
      </w:r>
      <w:r w:rsidR="00062C68">
        <w:rPr>
          <w:rFonts w:ascii="Times New Roman" w:hAnsi="Times New Roman" w:cs="Times New Roman"/>
          <w:b/>
          <w:sz w:val="24"/>
          <w:szCs w:val="24"/>
          <w:lang w:val="en-GB"/>
        </w:rPr>
        <w:t xml:space="preserve"> in </w:t>
      </w:r>
      <w:r w:rsidR="00062C68" w:rsidRPr="008155D7">
        <w:rPr>
          <w:rFonts w:ascii="Times New Roman" w:hAnsi="Times New Roman" w:cs="Times New Roman"/>
          <w:b/>
          <w:sz w:val="24"/>
          <w:szCs w:val="24"/>
          <w:lang w:val="en-GB"/>
        </w:rPr>
        <w:t>2005-2015</w:t>
      </w:r>
      <w:r w:rsidR="008D7213">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4DC678F6"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3D6D4B8A" w14:textId="77777777" w:rsidR="00062C68" w:rsidRPr="008155D7" w:rsidRDefault="00062C68" w:rsidP="00062C68">
      <w:pPr>
        <w:rPr>
          <w:rFonts w:ascii="Times New Roman" w:hAnsi="Times New Roman" w:cs="Times New Roman"/>
          <w:b/>
          <w:sz w:val="24"/>
          <w:szCs w:val="24"/>
          <w:lang w:val="en-GB"/>
        </w:rPr>
      </w:pPr>
    </w:p>
    <w:p w14:paraId="4E143F6D" w14:textId="45047684" w:rsidR="00062C68" w:rsidRPr="008155D7" w:rsidRDefault="00062C68" w:rsidP="00AD383C">
      <w:pPr>
        <w:rPr>
          <w:rFonts w:ascii="Times New Roman" w:hAnsi="Times New Roman" w:cs="Times New Roman"/>
          <w:sz w:val="24"/>
          <w:szCs w:val="24"/>
          <w:lang w:val="en-GB"/>
        </w:rPr>
      </w:pPr>
      <w:r w:rsidRPr="008155D7">
        <w:rPr>
          <w:rFonts w:ascii="Times New Roman" w:hAnsi="Times New Roman" w:cs="Times New Roman"/>
          <w:b/>
          <w:sz w:val="24"/>
          <w:szCs w:val="24"/>
          <w:lang w:val="en-GB"/>
        </w:rPr>
        <w:t>Author affiliations:</w:t>
      </w:r>
      <w:r w:rsidR="00AD383C" w:rsidRPr="00AD383C">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78D82A9B" w14:textId="77777777" w:rsidR="00AD383C" w:rsidRDefault="00AD383C" w:rsidP="00062C68">
      <w:pPr>
        <w:rPr>
          <w:rFonts w:ascii="Times New Roman" w:hAnsi="Times New Roman" w:cs="Times New Roman"/>
          <w:sz w:val="24"/>
          <w:szCs w:val="24"/>
          <w:vertAlign w:val="superscript"/>
          <w:lang w:val="en-GB"/>
        </w:rPr>
      </w:pPr>
    </w:p>
    <w:p w14:paraId="3F75CE29" w14:textId="4AF5A5DD"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5D2D9FE8" w14:textId="77777777" w:rsidR="00AD383C" w:rsidRDefault="00AD383C">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 xml:space="preserve">I.A.  AM-Infectious  &amp;  respiratory  diseases  :   intestinal  infections,  tuberculosis,  zoonotic  bacterial diseases,  other  bacterial  diseases,  septicemia,  poliomyelitis, measles, rubella, infectious hepatitis, </w:t>
            </w:r>
            <w:proofErr w:type="spellStart"/>
            <w:r w:rsidRPr="00114C91">
              <w:rPr>
                <w:rFonts w:ascii="Times New Roman" w:eastAsia="Times New Roman" w:hAnsi="Times New Roman" w:cs="Times New Roman"/>
                <w:sz w:val="20"/>
                <w:szCs w:val="20"/>
              </w:rPr>
              <w:t>ornithosis</w:t>
            </w:r>
            <w:proofErr w:type="spellEnd"/>
            <w:r w:rsidRPr="00114C91">
              <w:rPr>
                <w:rFonts w:ascii="Times New Roman" w:eastAsia="Times New Roman" w:hAnsi="Times New Roman" w:cs="Times New Roman"/>
                <w:sz w:val="20"/>
                <w:szCs w:val="20"/>
              </w:rPr>
              <w:t>,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t>
            </w:r>
            <w:proofErr w:type="spellStart"/>
            <w:r w:rsidRPr="00114C91">
              <w:rPr>
                <w:rFonts w:ascii="Times New Roman" w:eastAsia="Times New Roman" w:hAnsi="Times New Roman" w:cs="Times New Roman"/>
                <w:sz w:val="20"/>
                <w:szCs w:val="20"/>
              </w:rPr>
              <w:t>Wilm’s</w:t>
            </w:r>
            <w:proofErr w:type="spellEnd"/>
            <w:r w:rsidRPr="00114C91">
              <w:rPr>
                <w:rFonts w:ascii="Times New Roman" w:eastAsia="Times New Roman" w:hAnsi="Times New Roman" w:cs="Times New Roman"/>
                <w:sz w:val="20"/>
                <w:szCs w:val="20"/>
              </w:rPr>
              <w:t xml:space="preserve"> tumor only, eye, thyroid carcinoma,</w:t>
            </w:r>
            <w:r w:rsidRPr="00114C91">
              <w:rPr>
                <w:rFonts w:ascii="Times New Roman" w:eastAsia="Times New Roman" w:hAnsi="Times New Roman" w:cs="Times New Roman"/>
                <w:sz w:val="20"/>
                <w:szCs w:val="20"/>
              </w:rPr>
              <w:br/>
            </w:r>
            <w:proofErr w:type="spellStart"/>
            <w:r w:rsidRPr="00114C91">
              <w:rPr>
                <w:rFonts w:ascii="Times New Roman" w:eastAsia="Times New Roman" w:hAnsi="Times New Roman" w:cs="Times New Roman"/>
                <w:sz w:val="20"/>
                <w:szCs w:val="20"/>
              </w:rPr>
              <w:t>Hodgkins</w:t>
            </w:r>
            <w:proofErr w:type="spellEnd"/>
            <w:r w:rsidRPr="00114C91">
              <w:rPr>
                <w:rFonts w:ascii="Times New Roman" w:eastAsia="Times New Roman" w:hAnsi="Times New Roman" w:cs="Times New Roman"/>
                <w:sz w:val="20"/>
                <w:szCs w:val="20"/>
              </w:rPr>
              <w:t xml:space="preserve">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 xml:space="preserve">I.E. AM-Other:  disease of thyroid, epilepsy, peptic ulcer, appendicitis, abdominal hernia, </w:t>
            </w:r>
            <w:proofErr w:type="spellStart"/>
            <w:r w:rsidRPr="00114C91">
              <w:rPr>
                <w:rFonts w:ascii="Times New Roman" w:eastAsia="Times New Roman" w:hAnsi="Times New Roman" w:cs="Times New Roman"/>
                <w:sz w:val="20"/>
                <w:szCs w:val="20"/>
              </w:rPr>
              <w:t>cholelithiasis</w:t>
            </w:r>
            <w:proofErr w:type="spellEnd"/>
            <w:r w:rsidRPr="00114C91">
              <w:rPr>
                <w:rFonts w:ascii="Times New Roman" w:eastAsia="Times New Roman" w:hAnsi="Times New Roman" w:cs="Times New Roman"/>
                <w:sz w:val="20"/>
                <w:szCs w:val="20"/>
              </w:rPr>
              <w:t xml:space="preserve"> &amp;  cholecystitis,  nephritis,  benign  prostatic  hyperplasia, misadventures to patients during surgical or</w:t>
            </w:r>
            <w:r w:rsidRPr="00114C91">
              <w:rPr>
                <w:rFonts w:ascii="Times New Roman" w:eastAsia="Times New Roman" w:hAnsi="Times New Roman" w:cs="Times New Roman"/>
                <w:sz w:val="20"/>
                <w:szCs w:val="20"/>
              </w:rPr>
              <w:br/>
              <w:t xml:space="preserve">medical care, </w:t>
            </w:r>
            <w:proofErr w:type="spellStart"/>
            <w:r w:rsidRPr="00114C91">
              <w:rPr>
                <w:rFonts w:ascii="Times New Roman" w:eastAsia="Times New Roman" w:hAnsi="Times New Roman" w:cs="Times New Roman"/>
                <w:sz w:val="20"/>
                <w:szCs w:val="20"/>
              </w:rPr>
              <w:t>cisticerchosis</w:t>
            </w:r>
            <w:proofErr w:type="spellEnd"/>
            <w:r w:rsidRPr="00114C91">
              <w:rPr>
                <w:rFonts w:ascii="Times New Roman" w:eastAsia="Times New Roman" w:hAnsi="Times New Roman" w:cs="Times New Roman"/>
                <w:sz w:val="20"/>
                <w:szCs w:val="20"/>
              </w:rPr>
              <w:t>.</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764F8C"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The decomposition method used in this paper is based on the line integral model (</w:t>
      </w:r>
      <w:proofErr w:type="spellStart"/>
      <w:r w:rsidRPr="00946080">
        <w:rPr>
          <w:rFonts w:ascii="Times New Roman" w:eastAsiaTheme="minorEastAsia" w:hAnsi="Times New Roman" w:cs="Times New Roman"/>
          <w:sz w:val="24"/>
          <w:szCs w:val="24"/>
          <w:lang w:val="en-GB"/>
        </w:rPr>
        <w:t>Horiuchi</w:t>
      </w:r>
      <w:proofErr w:type="spellEnd"/>
      <w:r w:rsidRPr="00946080">
        <w:rPr>
          <w:rFonts w:ascii="Times New Roman" w:eastAsiaTheme="minorEastAsia" w:hAnsi="Times New Roman" w:cs="Times New Roman"/>
          <w:sz w:val="24"/>
          <w:szCs w:val="24"/>
          <w:lang w:val="en-GB"/>
        </w:rPr>
        <w:t xml:space="preserve">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764F8C"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8"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bookmarkStart w:id="0" w:name="_GoBack"/>
      <w:bookmarkEnd w:id="0"/>
    </w:p>
    <w:p w14:paraId="31CF6558" w14:textId="4D6C65F6" w:rsidR="00534499" w:rsidRDefault="00534499">
      <w:pPr>
        <w:rPr>
          <w:rFonts w:ascii="Times New Roman" w:eastAsiaTheme="minorEastAsia" w:hAnsi="Times New Roman" w:cs="Times New Roman"/>
          <w:b/>
        </w:rPr>
      </w:pPr>
      <w:r>
        <w:rPr>
          <w:noProof/>
        </w:rPr>
        <w:drawing>
          <wp:anchor distT="0" distB="0" distL="114300" distR="114300" simplePos="0" relativeHeight="251681792" behindDoc="0" locked="0" layoutInCell="1" allowOverlap="1" wp14:anchorId="529062F6" wp14:editId="083153FB">
            <wp:simplePos x="0" y="0"/>
            <wp:positionH relativeFrom="column">
              <wp:posOffset>0</wp:posOffset>
            </wp:positionH>
            <wp:positionV relativeFrom="paragraph">
              <wp:posOffset>157480</wp:posOffset>
            </wp:positionV>
            <wp:extent cx="5943600" cy="33693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9310"/>
                    </a:xfrm>
                    <a:prstGeom prst="rect">
                      <a:avLst/>
                    </a:prstGeom>
                  </pic:spPr>
                </pic:pic>
              </a:graphicData>
            </a:graphic>
            <wp14:sizeRelH relativeFrom="page">
              <wp14:pctWidth>0</wp14:pctWidth>
            </wp14:sizeRelH>
            <wp14:sizeRelV relativeFrom="page">
              <wp14:pctHeight>0</wp14:pctHeight>
            </wp14:sizeRelV>
          </wp:anchor>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7B602E9B" w:rsidR="00F95711" w:rsidRDefault="00D0324D">
      <w:pPr>
        <w:rPr>
          <w:rFonts w:ascii="Times New Roman" w:eastAsiaTheme="minorEastAsia" w:hAnsi="Times New Roman" w:cs="Times New Roman"/>
          <w:b/>
        </w:rPr>
      </w:pPr>
      <w:r>
        <w:rPr>
          <w:noProof/>
        </w:rPr>
        <w:drawing>
          <wp:anchor distT="0" distB="0" distL="114300" distR="114300" simplePos="0" relativeHeight="251672576" behindDoc="0" locked="0" layoutInCell="1" allowOverlap="1" wp14:anchorId="015EF687" wp14:editId="6DD3DFC8">
            <wp:simplePos x="0" y="0"/>
            <wp:positionH relativeFrom="margin">
              <wp:align>right</wp:align>
            </wp:positionH>
            <wp:positionV relativeFrom="paragraph">
              <wp:posOffset>560578</wp:posOffset>
            </wp:positionV>
            <wp:extent cx="5943600" cy="2595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14:sizeRelH relativeFrom="page">
              <wp14:pctWidth>0</wp14:pctWidth>
            </wp14:sizeRelH>
            <wp14:sizeRelV relativeFrom="page">
              <wp14:pctHeight>0</wp14:pctHeight>
            </wp14:sizeRelV>
          </wp:anchor>
        </w:drawing>
      </w:r>
      <w:r w:rsidR="00F61B9B">
        <w:rPr>
          <w:rFonts w:ascii="Times New Roman" w:eastAsiaTheme="minorEastAsia" w:hAnsi="Times New Roman" w:cs="Times New Roman"/>
          <w:b/>
        </w:rPr>
        <w:t>Figure S2</w:t>
      </w:r>
      <w:r>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8"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19" w:history="1">
        <w:r w:rsidRPr="00D05E0B">
          <w:rPr>
            <w:rStyle w:val="Hyperlink"/>
          </w:rPr>
          <w:t>http://www.beta.inegi.org.mx/proyectos/registros/vitales/mortalidad/default.html</w:t>
        </w:r>
      </w:hyperlink>
    </w:p>
    <w:p w14:paraId="7F29E73E" w14:textId="33A6C11B"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3C08A" w14:textId="77777777" w:rsidR="00764F8C" w:rsidRDefault="00764F8C" w:rsidP="008626B5">
      <w:r>
        <w:separator/>
      </w:r>
    </w:p>
  </w:endnote>
  <w:endnote w:type="continuationSeparator" w:id="0">
    <w:p w14:paraId="396DE08B" w14:textId="77777777" w:rsidR="00764F8C" w:rsidRDefault="00764F8C"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69600444" w:rsidR="00385EAB" w:rsidRDefault="00385EAB">
        <w:pPr>
          <w:pStyle w:val="Footer"/>
          <w:jc w:val="right"/>
        </w:pPr>
        <w:r>
          <w:fldChar w:fldCharType="begin"/>
        </w:r>
        <w:r>
          <w:instrText xml:space="preserve"> PAGE   \* MERGEFORMAT </w:instrText>
        </w:r>
        <w:r>
          <w:fldChar w:fldCharType="separate"/>
        </w:r>
        <w:r w:rsidR="00534499">
          <w:rPr>
            <w:noProof/>
          </w:rPr>
          <w:t>10</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57B552" w14:textId="77777777" w:rsidR="00764F8C" w:rsidRDefault="00764F8C" w:rsidP="008626B5">
      <w:r>
        <w:separator/>
      </w:r>
    </w:p>
  </w:footnote>
  <w:footnote w:type="continuationSeparator" w:id="0">
    <w:p w14:paraId="7B0D6E1A" w14:textId="77777777" w:rsidR="00764F8C" w:rsidRDefault="00764F8C"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graphs.shinyapps.io/LVMx_15_App/" TargetMode="External"/><Relationship Id="rId13" Type="http://schemas.openxmlformats.org/officeDocument/2006/relationships/image" Target="media/image5.png"/><Relationship Id="rId18" Type="http://schemas.openxmlformats.org/officeDocument/2006/relationships/hyperlink" Target="https://datos.gob.mx/busca/dataset/activity/proyecciones-de-la-poblacion-de-mexi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C0E45-C4B6-4973-98A4-F78574DB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10</Pages>
  <Words>1461</Words>
  <Characters>8330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82</cp:revision>
  <dcterms:created xsi:type="dcterms:W3CDTF">2017-09-04T17:48:00Z</dcterms:created>
  <dcterms:modified xsi:type="dcterms:W3CDTF">2018-08-27T09:58:00Z</dcterms:modified>
</cp:coreProperties>
</file>