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5E392D">
        <w:rPr>
          <w:rFonts w:ascii="Times New Roman" w:hAnsi="Times New Roman" w:cs="Times New Roman"/>
          <w:b/>
          <w:sz w:val="24"/>
          <w:szCs w:val="24"/>
        </w:rPr>
        <w:t xml:space="preserve"> variation o</w:t>
      </w:r>
      <w:r w:rsidR="00D43270" w:rsidRPr="00885DB7">
        <w:rPr>
          <w:rFonts w:ascii="Times New Roman" w:hAnsi="Times New Roman" w:cs="Times New Roman"/>
          <w:b/>
          <w:sz w:val="24"/>
          <w:szCs w:val="24"/>
        </w:rPr>
        <w:t>n</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w:t>
      </w:r>
      <w:r w:rsidR="00EA4EB0">
        <w:rPr>
          <w:rFonts w:ascii="Times New Roman" w:hAnsi="Times New Roman" w:cs="Times New Roman"/>
          <w:b/>
          <w:sz w:val="24"/>
          <w:szCs w:val="24"/>
        </w:rPr>
        <w:t xml:space="preserve"> and its States</w:t>
      </w:r>
      <w:r w:rsidR="00991CA3" w:rsidRPr="00885DB7">
        <w:rPr>
          <w:rFonts w:ascii="Times New Roman" w:hAnsi="Times New Roman" w:cs="Times New Roman"/>
          <w:b/>
          <w:sz w:val="24"/>
          <w:szCs w:val="24"/>
        </w:rPr>
        <w:t>, 2005-2015</w:t>
      </w:r>
      <w:r w:rsidR="00885DB7">
        <w:rPr>
          <w:rFonts w:ascii="Times New Roman" w:hAnsi="Times New Roman" w:cs="Times New Roman"/>
          <w:b/>
          <w:sz w:val="24"/>
          <w:szCs w:val="24"/>
        </w:rPr>
        <w:t xml:space="preserve"> [intended for Demography] [Second </w:t>
      </w:r>
      <w:r w:rsidR="00673358">
        <w:rPr>
          <w:rFonts w:ascii="Times New Roman" w:hAnsi="Times New Roman" w:cs="Times New Roman"/>
          <w:b/>
          <w:sz w:val="24"/>
          <w:szCs w:val="24"/>
        </w:rPr>
        <w:t>PDR</w:t>
      </w:r>
      <w:r w:rsidR="00885DB7">
        <w:rPr>
          <w:rFonts w:ascii="Times New Roman" w:hAnsi="Times New Roman" w:cs="Times New Roman"/>
          <w:b/>
          <w:sz w:val="24"/>
          <w:szCs w:val="24"/>
        </w:rPr>
        <w:t>]</w:t>
      </w:r>
      <w:r w:rsidR="0065150E">
        <w:rPr>
          <w:rFonts w:ascii="Times New Roman" w:hAnsi="Times New Roman" w:cs="Times New Roman"/>
          <w:b/>
          <w:sz w:val="24"/>
          <w:szCs w:val="24"/>
        </w:rPr>
        <w:t xml:space="preserve"> [or a health journal]</w:t>
      </w:r>
    </w:p>
    <w:p w:rsidR="007C17E2" w:rsidRPr="00885DB7" w:rsidRDefault="007C17E2">
      <w:pPr>
        <w:rPr>
          <w:rFonts w:ascii="Times New Roman" w:hAnsi="Times New Roman" w:cs="Times New Roman"/>
          <w:b/>
          <w:sz w:val="24"/>
          <w:szCs w:val="24"/>
        </w:rPr>
      </w:pPr>
    </w:p>
    <w:p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w:t>
      </w:r>
      <w:proofErr w:type="spellStart"/>
      <w:r w:rsidR="00673358">
        <w:rPr>
          <w:rFonts w:ascii="Times New Roman" w:hAnsi="Times New Roman" w:cs="Times New Roman"/>
          <w:sz w:val="24"/>
          <w:szCs w:val="24"/>
        </w:rPr>
        <w:t>Aburto</w:t>
      </w:r>
      <w:r w:rsidRPr="00885DB7">
        <w:rPr>
          <w:rFonts w:ascii="Times New Roman" w:hAnsi="Times New Roman" w:cs="Times New Roman"/>
          <w:sz w:val="24"/>
          <w:szCs w:val="24"/>
          <w:vertAlign w:val="superscript"/>
        </w:rPr>
        <w:t>a</w:t>
      </w:r>
      <w:proofErr w:type="spellEnd"/>
      <w:r w:rsidR="00673358">
        <w:rPr>
          <w:rFonts w:ascii="Times New Roman" w:hAnsi="Times New Roman" w:cs="Times New Roman"/>
          <w:sz w:val="24"/>
          <w:szCs w:val="24"/>
        </w:rPr>
        <w:t xml:space="preserve">, Hiram </w:t>
      </w:r>
      <w:proofErr w:type="spellStart"/>
      <w:r w:rsidR="00673358">
        <w:rPr>
          <w:rFonts w:ascii="Times New Roman" w:hAnsi="Times New Roman" w:cs="Times New Roman"/>
          <w:sz w:val="24"/>
          <w:szCs w:val="24"/>
        </w:rPr>
        <w:t>Beltrán-</w:t>
      </w:r>
      <w:r w:rsidR="00CC0A4A">
        <w:rPr>
          <w:rFonts w:ascii="Times New Roman" w:hAnsi="Times New Roman" w:cs="Times New Roman"/>
          <w:sz w:val="24"/>
          <w:szCs w:val="24"/>
        </w:rPr>
        <w:t>Sánchez</w:t>
      </w:r>
      <w:r w:rsidR="00CC0A4A">
        <w:rPr>
          <w:rFonts w:ascii="Times New Roman" w:hAnsi="Times New Roman" w:cs="Times New Roman"/>
          <w:sz w:val="24"/>
          <w:szCs w:val="24"/>
          <w:vertAlign w:val="superscript"/>
        </w:rPr>
        <w:t>b</w:t>
      </w:r>
      <w:proofErr w:type="spellEnd"/>
      <w:r w:rsidR="00CC0A4A">
        <w:rPr>
          <w:rFonts w:ascii="Times New Roman" w:hAnsi="Times New Roman" w:cs="Times New Roman"/>
          <w:sz w:val="24"/>
          <w:szCs w:val="24"/>
          <w:vertAlign w:val="superscript"/>
        </w:rPr>
        <w:t xml:space="preserve"> </w:t>
      </w:r>
      <w:r w:rsidR="00CC0A4A">
        <w:rPr>
          <w:rFonts w:ascii="Times New Roman" w:hAnsi="Times New Roman" w:cs="Times New Roman"/>
          <w:sz w:val="24"/>
          <w:szCs w:val="24"/>
        </w:rPr>
        <w:t>&amp;</w:t>
      </w:r>
      <w:r w:rsidR="00673358">
        <w:rPr>
          <w:rFonts w:ascii="Times New Roman" w:hAnsi="Times New Roman" w:cs="Times New Roman"/>
          <w:sz w:val="24"/>
          <w:szCs w:val="24"/>
        </w:rPr>
        <w:t xml:space="preserve"> </w:t>
      </w:r>
      <w:r w:rsidR="00673358" w:rsidRPr="0065150E">
        <w:rPr>
          <w:rFonts w:ascii="Times New Roman" w:hAnsi="Times New Roman" w:cs="Times New Roman"/>
          <w:sz w:val="24"/>
          <w:szCs w:val="24"/>
        </w:rPr>
        <w:t>Marcela Valdivia</w:t>
      </w:r>
      <w:r w:rsidR="00A4414C">
        <w:rPr>
          <w:rFonts w:ascii="Times New Roman" w:hAnsi="Times New Roman" w:cs="Times New Roman"/>
          <w:sz w:val="24"/>
          <w:szCs w:val="24"/>
        </w:rPr>
        <w:t>-</w:t>
      </w:r>
      <w:proofErr w:type="spellStart"/>
      <w:r w:rsidR="00A4414C">
        <w:rPr>
          <w:rFonts w:ascii="Times New Roman" w:hAnsi="Times New Roman" w:cs="Times New Roman"/>
          <w:sz w:val="24"/>
          <w:szCs w:val="24"/>
        </w:rPr>
        <w:t>Correa</w:t>
      </w:r>
      <w:r w:rsidR="00673358" w:rsidRPr="00673358">
        <w:rPr>
          <w:rFonts w:ascii="Times New Roman" w:hAnsi="Times New Roman" w:cs="Times New Roman"/>
          <w:b/>
          <w:sz w:val="24"/>
          <w:szCs w:val="24"/>
          <w:vertAlign w:val="superscript"/>
        </w:rPr>
        <w:t>c</w:t>
      </w:r>
      <w:proofErr w:type="spellEnd"/>
      <w:r w:rsidR="00673358" w:rsidRPr="00673358">
        <w:rPr>
          <w:rFonts w:ascii="Times New Roman" w:hAnsi="Times New Roman" w:cs="Times New Roman"/>
          <w:b/>
          <w:sz w:val="24"/>
          <w:szCs w:val="24"/>
          <w:vertAlign w:val="superscript"/>
        </w:rPr>
        <w:t xml:space="preserve"> </w:t>
      </w:r>
    </w:p>
    <w:p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897FA5" w:rsidRPr="00885DB7">
        <w:rPr>
          <w:rFonts w:ascii="Times New Roman" w:hAnsi="Times New Roman" w:cs="Times New Roman"/>
          <w:sz w:val="24"/>
          <w:szCs w:val="24"/>
        </w:rPr>
        <w:t>Max-Planck Odense Center on the Biodemography of Aging, University of Southern Denmark, Odense 5000, Denmark.</w:t>
      </w:r>
    </w:p>
    <w:p w:rsidR="00673358" w:rsidRDefault="00673358" w:rsidP="0051024E">
      <w:pPr>
        <w:rPr>
          <w:rFonts w:ascii="Times New Roman" w:hAnsi="Times New Roman" w:cs="Times New Roman"/>
          <w:sz w:val="24"/>
          <w:szCs w:val="24"/>
        </w:rPr>
      </w:pPr>
    </w:p>
    <w:p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Department of Community Health Sciences at the Fielding School of Public Health and California Center for Population Research, Center for Health Sciences, Los Angeles, California, USA</w:t>
      </w:r>
      <w:r>
        <w:rPr>
          <w:rFonts w:ascii="Times New Roman" w:hAnsi="Times New Roman" w:cs="Times New Roman"/>
          <w:sz w:val="24"/>
          <w:szCs w:val="24"/>
        </w:rPr>
        <w:t>.</w:t>
      </w:r>
    </w:p>
    <w:p w:rsidR="00673358" w:rsidRPr="00885DB7" w:rsidRDefault="00673358" w:rsidP="00673358">
      <w:pPr>
        <w:rPr>
          <w:rFonts w:ascii="Times New Roman" w:hAnsi="Times New Roman" w:cs="Times New Roman"/>
          <w:sz w:val="24"/>
          <w:szCs w:val="24"/>
        </w:rPr>
      </w:pPr>
    </w:p>
    <w:p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Affiliation: Max-Planck Odense Center on Biodemography of Aging; IST - EBB/Epidemiology, Biostatistics and Biodemography; University of Southern Denmark.</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Address: J.B. </w:t>
      </w:r>
      <w:proofErr w:type="spellStart"/>
      <w:r w:rsidRPr="00885DB7">
        <w:rPr>
          <w:rFonts w:ascii="Times New Roman" w:hAnsi="Times New Roman" w:cs="Times New Roman"/>
          <w:sz w:val="24"/>
          <w:szCs w:val="24"/>
        </w:rPr>
        <w:t>Winsløws</w:t>
      </w:r>
      <w:proofErr w:type="spellEnd"/>
      <w:r w:rsidRPr="00885DB7">
        <w:rPr>
          <w:rFonts w:ascii="Times New Roman" w:hAnsi="Times New Roman" w:cs="Times New Roman"/>
          <w:sz w:val="24"/>
          <w:szCs w:val="24"/>
        </w:rPr>
        <w:t xml:space="preserve"> </w:t>
      </w:r>
      <w:proofErr w:type="spellStart"/>
      <w:r w:rsidRPr="00885DB7">
        <w:rPr>
          <w:rFonts w:ascii="Times New Roman" w:hAnsi="Times New Roman" w:cs="Times New Roman"/>
          <w:sz w:val="24"/>
          <w:szCs w:val="24"/>
        </w:rPr>
        <w:t>Vej</w:t>
      </w:r>
      <w:proofErr w:type="spellEnd"/>
      <w:r w:rsidRPr="00885DB7">
        <w:rPr>
          <w:rFonts w:ascii="Times New Roman" w:hAnsi="Times New Roman" w:cs="Times New Roman"/>
          <w:sz w:val="24"/>
          <w:szCs w:val="24"/>
        </w:rPr>
        <w:t xml:space="preserve"> 9. DK-5000 Odense C, Denmark</w:t>
      </w:r>
    </w:p>
    <w:p w:rsidR="007C17E2" w:rsidRPr="00885DB7" w:rsidRDefault="007C17E2" w:rsidP="0051024E">
      <w:pPr>
        <w:rPr>
          <w:rFonts w:ascii="Times New Roman" w:hAnsi="Times New Roman" w:cs="Times New Roman"/>
          <w:sz w:val="24"/>
          <w:szCs w:val="24"/>
        </w:rPr>
      </w:pPr>
    </w:p>
    <w:p w:rsidR="008626B5"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Classification:</w:t>
      </w:r>
      <w:r w:rsidR="00997FE3">
        <w:rPr>
          <w:rFonts w:ascii="Times New Roman" w:hAnsi="Times New Roman" w:cs="Times New Roman"/>
          <w:b/>
          <w:sz w:val="24"/>
          <w:szCs w:val="24"/>
        </w:rPr>
        <w:t xml:space="preserve"> </w:t>
      </w:r>
      <w:r w:rsidR="00997FE3" w:rsidRPr="00997FE3">
        <w:rPr>
          <w:rFonts w:ascii="Times New Roman" w:hAnsi="Times New Roman" w:cs="Times New Roman"/>
          <w:sz w:val="24"/>
          <w:szCs w:val="24"/>
        </w:rPr>
        <w:t>Violence,</w:t>
      </w:r>
      <w:r w:rsidRPr="00997FE3">
        <w:rPr>
          <w:rFonts w:ascii="Times New Roman" w:hAnsi="Times New Roman" w:cs="Times New Roman"/>
          <w:sz w:val="24"/>
          <w:szCs w:val="24"/>
        </w:rPr>
        <w:t xml:space="preserve"> </w:t>
      </w:r>
      <w:r w:rsidR="00991CA3" w:rsidRPr="00885DB7">
        <w:rPr>
          <w:rFonts w:ascii="Times New Roman" w:hAnsi="Times New Roman" w:cs="Times New Roman"/>
          <w:sz w:val="24"/>
          <w:szCs w:val="24"/>
        </w:rPr>
        <w:t xml:space="preserve">Population Health and </w:t>
      </w:r>
      <w:r w:rsidRPr="00885DB7">
        <w:rPr>
          <w:rFonts w:ascii="Times New Roman" w:hAnsi="Times New Roman" w:cs="Times New Roman"/>
          <w:sz w:val="24"/>
          <w:szCs w:val="24"/>
        </w:rPr>
        <w:t>Demography</w:t>
      </w:r>
    </w:p>
    <w:p w:rsidR="007C17E2" w:rsidRPr="00997FE3" w:rsidRDefault="007C17E2" w:rsidP="0051024E">
      <w:pPr>
        <w:rPr>
          <w:rFonts w:ascii="Times New Roman" w:hAnsi="Times New Roman" w:cs="Times New Roman"/>
          <w:sz w:val="24"/>
          <w:szCs w:val="24"/>
        </w:rPr>
      </w:pPr>
    </w:p>
    <w:p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homicide, lifespan variation, life expectancy, demography.</w:t>
      </w:r>
    </w:p>
    <w:p w:rsidR="000D6E25" w:rsidRPr="00885DB7" w:rsidRDefault="000D6E25"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8A443A" w:rsidRDefault="008A443A" w:rsidP="002E059C">
      <w:pPr>
        <w:rPr>
          <w:rFonts w:ascii="Times New Roman" w:hAnsi="Times New Roman" w:cs="Times New Roman"/>
          <w:b/>
          <w:sz w:val="24"/>
          <w:szCs w:val="24"/>
        </w:rPr>
      </w:pPr>
      <w:bookmarkStart w:id="0" w:name="_GoBack"/>
      <w:bookmarkEnd w:id="0"/>
    </w:p>
    <w:p w:rsidR="00590148" w:rsidRPr="00885DB7"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lastRenderedPageBreak/>
        <w:t>Abstract</w:t>
      </w:r>
      <w:r w:rsidR="002C2018">
        <w:rPr>
          <w:rFonts w:ascii="Times New Roman" w:hAnsi="Times New Roman" w:cs="Times New Roman"/>
          <w:b/>
          <w:sz w:val="24"/>
          <w:szCs w:val="24"/>
        </w:rPr>
        <w:t>:</w:t>
      </w:r>
    </w:p>
    <w:p w:rsidR="008E6DD5" w:rsidRPr="00885DB7" w:rsidRDefault="00CC0A4A" w:rsidP="00CC0A4A">
      <w:pPr>
        <w:jc w:val="both"/>
        <w:rPr>
          <w:rFonts w:ascii="Times New Roman" w:hAnsi="Times New Roman" w:cs="Times New Roman"/>
          <w:b/>
          <w:sz w:val="24"/>
          <w:szCs w:val="24"/>
        </w:rPr>
      </w:pPr>
      <w:r w:rsidRPr="002812A4">
        <w:rPr>
          <w:rFonts w:ascii="Times New Roman" w:hAnsi="Times New Roman" w:cs="Times New Roman"/>
        </w:rPr>
        <w:t xml:space="preserve">Lifespan variation is a dimension of public health that has arisen as an important topic since it addresses the growing interest in health inequalities and its linkage with health behavior. Studying both life expectancy and lifespan variation is important since individuals make decisions based not only on their expected lifetime, but also on the uncertainty surrounding it. In Mexico, life expectancy stagnated in the first decade of the twenty-first century because of the unprecedented rise of homicide mortality after 2005 and the burden of diabetes mortality throughout the decade. The effect of violence was such that improvements in life expectancy made by other causes of death, such as birth conditions and respiratory diseases, were wiped out by homicides, particularly in males. In this paper, we assess the impact of violence, through homicides, on life expectancy and on the uncertainty surrounding age at death in Mexico and its 32 </w:t>
      </w:r>
      <w:proofErr w:type="gramStart"/>
      <w:r w:rsidRPr="002812A4">
        <w:rPr>
          <w:rFonts w:ascii="Times New Roman" w:hAnsi="Times New Roman" w:cs="Times New Roman"/>
        </w:rPr>
        <w:t>state</w:t>
      </w:r>
      <w:proofErr w:type="gramEnd"/>
      <w:r w:rsidRPr="002812A4">
        <w:rPr>
          <w:rFonts w:ascii="Times New Roman" w:hAnsi="Times New Roman" w:cs="Times New Roman"/>
        </w:rPr>
        <w:t>. We use life disparity as a dispersion indicator. Between 1995 and 2005, homicides decreased life disparity, while diabetes mortality explained most of increases in variation. However, between 2005 and 2015 homicides explained most of increases in life disparity, mainly concentrated in young-adult ages. These results underscore the effect of homicides on the unpredictability of time of death that the Mexican population is experiencing. They reinforce the need for new policies targeting reductions in homicide mortality, since clearly those implemented over the last ten years have not been successful in reducing the burden of violence in the country</w:t>
      </w:r>
    </w:p>
    <w:p w:rsidR="007C17E2" w:rsidRPr="00885DB7" w:rsidRDefault="007C17E2" w:rsidP="007C17E2">
      <w:pPr>
        <w:rPr>
          <w:rFonts w:ascii="Times New Roman" w:hAnsi="Times New Roman" w:cs="Times New Roman"/>
          <w:b/>
          <w:sz w:val="24"/>
          <w:szCs w:val="24"/>
        </w:rPr>
      </w:pPr>
    </w:p>
    <w:p w:rsidR="007C17E2" w:rsidRPr="00885DB7" w:rsidRDefault="007C17E2">
      <w:pPr>
        <w:rPr>
          <w:rFonts w:ascii="Times New Roman" w:hAnsi="Times New Roman" w:cs="Times New Roman"/>
          <w:sz w:val="24"/>
          <w:szCs w:val="24"/>
        </w:rPr>
      </w:pPr>
      <w:r w:rsidRPr="00885DB7">
        <w:rPr>
          <w:rFonts w:ascii="Times New Roman" w:hAnsi="Times New Roman" w:cs="Times New Roman"/>
          <w:sz w:val="24"/>
          <w:szCs w:val="24"/>
        </w:rPr>
        <w:br w:type="page"/>
      </w:r>
    </w:p>
    <w:p w:rsidR="00CC0A4A" w:rsidRPr="00AD15FB" w:rsidRDefault="00CC0A4A" w:rsidP="00CC0A4A">
      <w:pPr>
        <w:pStyle w:val="Subtitle"/>
        <w:spacing w:line="480" w:lineRule="auto"/>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lastRenderedPageBreak/>
        <w:t>Introduction</w:t>
      </w:r>
    </w:p>
    <w:p w:rsidR="00CC0A4A" w:rsidRDefault="00CC0A4A" w:rsidP="00CC0A4A">
      <w:pPr>
        <w:spacing w:line="480" w:lineRule="auto"/>
        <w:rPr>
          <w:rFonts w:ascii="Times New Roman" w:hAnsi="Times New Roman" w:cs="Times New Roman"/>
        </w:rPr>
      </w:pPr>
      <w:r w:rsidRPr="00AD15FB">
        <w:rPr>
          <w:rFonts w:ascii="Times New Roman" w:hAnsi="Times New Roman" w:cs="Times New Roman"/>
        </w:rPr>
        <w:t xml:space="preserve">Lifespan variation is a dimension of public health that has arisen as an important topic since it addresses the growing interest in health inequalities and its linkage with health behavior </w:t>
      </w:r>
      <w:r w:rsidRPr="00AD15FB">
        <w:rPr>
          <w:rFonts w:ascii="Times New Roman" w:hAnsi="Times New Roman" w:cs="Times New Roman"/>
        </w:rPr>
        <w:fldChar w:fldCharType="begin"/>
      </w:r>
      <w:r>
        <w:rPr>
          <w:rFonts w:ascii="Times New Roman" w:hAnsi="Times New Roman" w:cs="Times New Roman"/>
        </w:rPr>
        <w:instrText xml:space="preserve"> ADDIN EN.CITE &lt;EndNote&gt;&lt;Cite&gt;&lt;Author&gt;Marmot&lt;/Author&gt;&lt;Year&gt;2001&lt;/Year&gt;&lt;RecNum&gt;69&lt;/RecNum&gt;&lt;DisplayText&gt;(1)&lt;/DisplayText&gt;&lt;record&gt;&lt;rec-number&gt;69&lt;/rec-number&gt;&lt;foreign-keys&gt;&lt;key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Pr="00AD15FB">
        <w:rPr>
          <w:rFonts w:ascii="Times New Roman" w:hAnsi="Times New Roman" w:cs="Times New Roman"/>
        </w:rPr>
        <w:fldChar w:fldCharType="separate"/>
      </w:r>
      <w:r>
        <w:rPr>
          <w:rFonts w:ascii="Times New Roman" w:hAnsi="Times New Roman" w:cs="Times New Roman"/>
          <w:noProof/>
        </w:rPr>
        <w:t>(1)</w:t>
      </w:r>
      <w:r w:rsidRPr="00AD15FB">
        <w:rPr>
          <w:rFonts w:ascii="Times New Roman" w:hAnsi="Times New Roman" w:cs="Times New Roman"/>
        </w:rPr>
        <w:fldChar w:fldCharType="end"/>
      </w:r>
      <w:r w:rsidRPr="00AD15FB">
        <w:rPr>
          <w:rFonts w:ascii="Times New Roman" w:hAnsi="Times New Roman" w:cs="Times New Roman"/>
        </w:rPr>
        <w:t xml:space="preserve">. </w:t>
      </w:r>
      <w:r>
        <w:rPr>
          <w:rFonts w:ascii="Times New Roman" w:hAnsi="Times New Roman" w:cs="Times New Roman"/>
        </w:rPr>
        <w:t>Studying both</w:t>
      </w:r>
      <w:r w:rsidRPr="00AD15FB">
        <w:rPr>
          <w:rFonts w:ascii="Times New Roman" w:hAnsi="Times New Roman" w:cs="Times New Roman"/>
        </w:rPr>
        <w:t xml:space="preserve"> life ex</w:t>
      </w:r>
      <w:r>
        <w:rPr>
          <w:rFonts w:ascii="Times New Roman" w:hAnsi="Times New Roman" w:cs="Times New Roman"/>
        </w:rPr>
        <w:t>pectancy and lifespan variation</w:t>
      </w:r>
      <w:r w:rsidRPr="00AD15FB">
        <w:rPr>
          <w:rFonts w:ascii="Times New Roman" w:hAnsi="Times New Roman" w:cs="Times New Roman"/>
        </w:rPr>
        <w:t xml:space="preserve"> is important since individuals make decision</w:t>
      </w:r>
      <w:r>
        <w:rPr>
          <w:rFonts w:ascii="Times New Roman" w:hAnsi="Times New Roman" w:cs="Times New Roman"/>
        </w:rPr>
        <w:t>s</w:t>
      </w:r>
      <w:r w:rsidRPr="00AD15FB">
        <w:rPr>
          <w:rFonts w:ascii="Times New Roman" w:hAnsi="Times New Roman" w:cs="Times New Roman"/>
        </w:rPr>
        <w:t xml:space="preserve"> based not only</w:t>
      </w:r>
      <w:r>
        <w:rPr>
          <w:rFonts w:ascii="Times New Roman" w:hAnsi="Times New Roman" w:cs="Times New Roman"/>
        </w:rPr>
        <w:t xml:space="preserve"> on</w:t>
      </w:r>
      <w:r w:rsidRPr="00AD15FB">
        <w:rPr>
          <w:rFonts w:ascii="Times New Roman" w:hAnsi="Times New Roman" w:cs="Times New Roman"/>
        </w:rPr>
        <w:t xml:space="preserve"> the</w:t>
      </w:r>
      <w:r>
        <w:rPr>
          <w:rFonts w:ascii="Times New Roman" w:hAnsi="Times New Roman" w:cs="Times New Roman"/>
        </w:rPr>
        <w:t>ir expected lifetime, but also o</w:t>
      </w:r>
      <w:r w:rsidRPr="00AD15FB">
        <w:rPr>
          <w:rFonts w:ascii="Times New Roman" w:hAnsi="Times New Roman" w:cs="Times New Roman"/>
        </w:rPr>
        <w:t xml:space="preserve">n the uncertainty surrounding it </w:t>
      </w:r>
      <w:r w:rsidRPr="00AD15FB">
        <w:rPr>
          <w:rFonts w:ascii="Times New Roman" w:hAnsi="Times New Roman" w:cs="Times New Roman"/>
        </w:rPr>
        <w:fldChar w:fldCharType="begin"/>
      </w:r>
      <w:r>
        <w:rPr>
          <w:rFonts w:ascii="Times New Roman" w:hAnsi="Times New Roman" w:cs="Times New Roman"/>
        </w:rPr>
        <w:instrText xml:space="preserve"> ADDIN EN.CITE &lt;EndNote&gt;&lt;Cite&gt;&lt;Author&gt;van Raalte&lt;/Author&gt;&lt;Year&gt;2011&lt;/Year&gt;&lt;RecNum&gt;88&lt;/RecNum&gt;&lt;DisplayText&gt;(2)&lt;/DisplayText&gt;&lt;record&gt;&lt;rec-number&gt;88&lt;/rec-number&gt;&lt;foreign-keys&gt;&lt;key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Epidemiology&lt;/secondary-title&gt;&lt;/titles&gt;&lt;pages&gt;dyr146&lt;/pages&gt;&lt;dates&gt;&lt;year&gt;2011&lt;/year&gt;&lt;/dates&gt;&lt;isbn&gt;0300-5771&lt;/isbn&gt;&lt;urls&gt;&lt;/urls&gt;&lt;/record&gt;&lt;/Cite&gt;&lt;/EndNote&gt;</w:instrText>
      </w:r>
      <w:r w:rsidRPr="00AD15FB">
        <w:rPr>
          <w:rFonts w:ascii="Times New Roman" w:hAnsi="Times New Roman" w:cs="Times New Roman"/>
        </w:rPr>
        <w:fldChar w:fldCharType="separate"/>
      </w:r>
      <w:r>
        <w:rPr>
          <w:rFonts w:ascii="Times New Roman" w:hAnsi="Times New Roman" w:cs="Times New Roman"/>
          <w:noProof/>
        </w:rPr>
        <w:t>(2)</w:t>
      </w:r>
      <w:r w:rsidRPr="00AD15FB">
        <w:rPr>
          <w:rFonts w:ascii="Times New Roman" w:hAnsi="Times New Roman" w:cs="Times New Roman"/>
        </w:rPr>
        <w:fldChar w:fldCharType="end"/>
      </w:r>
      <w:r>
        <w:rPr>
          <w:rFonts w:ascii="Times New Roman" w:hAnsi="Times New Roman" w:cs="Times New Roman"/>
        </w:rPr>
        <w:t xml:space="preserve">. </w:t>
      </w:r>
    </w:p>
    <w:p w:rsidR="00CC0A4A" w:rsidRPr="00AD15FB" w:rsidRDefault="00CC0A4A" w:rsidP="00CC0A4A">
      <w:pPr>
        <w:spacing w:line="480" w:lineRule="auto"/>
        <w:ind w:firstLine="720"/>
        <w:rPr>
          <w:rFonts w:ascii="Times New Roman" w:hAnsi="Times New Roman" w:cs="Times New Roman"/>
        </w:rPr>
      </w:pPr>
      <w:r>
        <w:rPr>
          <w:rFonts w:ascii="Times New Roman" w:hAnsi="Times New Roman" w:cs="Times New Roman"/>
        </w:rPr>
        <w:t>In Mexico, life expectancy stagnated in the</w:t>
      </w:r>
      <w:r w:rsidRPr="00AD15FB">
        <w:rPr>
          <w:rFonts w:ascii="Times New Roman" w:hAnsi="Times New Roman" w:cs="Times New Roman"/>
        </w:rPr>
        <w:t xml:space="preserve"> first decade of the twenty-first</w:t>
      </w:r>
      <w:r>
        <w:rPr>
          <w:rFonts w:ascii="Times New Roman" w:hAnsi="Times New Roman" w:cs="Times New Roman"/>
        </w:rPr>
        <w:t xml:space="preserve"> century</w:t>
      </w:r>
      <w:r w:rsidRPr="00AD15FB">
        <w:rPr>
          <w:rFonts w:ascii="Times New Roman" w:hAnsi="Times New Roman" w:cs="Times New Roman"/>
        </w:rPr>
        <w:t xml:space="preserve"> </w:t>
      </w:r>
      <w:r>
        <w:rPr>
          <w:rFonts w:ascii="Times New Roman" w:hAnsi="Times New Roman" w:cs="Times New Roman"/>
        </w:rPr>
        <w:t xml:space="preserve">because of  </w:t>
      </w:r>
      <w:r w:rsidRPr="00AD15FB">
        <w:rPr>
          <w:rFonts w:ascii="Times New Roman" w:hAnsi="Times New Roman" w:cs="Times New Roman"/>
        </w:rPr>
        <w:t>the unprecedented rise of homicide mortality after 2005 and the burden of diabetes mortality</w:t>
      </w:r>
      <w:r>
        <w:rPr>
          <w:rFonts w:ascii="Times New Roman" w:hAnsi="Times New Roman" w:cs="Times New Roman"/>
        </w:rPr>
        <w:t xml:space="preserve"> throughout the decade</w:t>
      </w:r>
      <w:r w:rsidRPr="00AD15FB">
        <w:rPr>
          <w:rFonts w:ascii="Times New Roman" w:hAnsi="Times New Roman" w:cs="Times New Roman"/>
        </w:rPr>
        <w:t xml:space="preserve"> </w:t>
      </w:r>
      <w:r w:rsidRPr="00AD15FB">
        <w:rPr>
          <w:rFonts w:ascii="Times New Roman" w:hAnsi="Times New Roman" w:cs="Times New Roman"/>
        </w:rPr>
        <w:fldChar w:fldCharType="begin"/>
      </w:r>
      <w:r>
        <w:rPr>
          <w:rFonts w:ascii="Times New Roman" w:hAnsi="Times New Roman" w:cs="Times New Roman"/>
        </w:rPr>
        <w:instrText xml:space="preserve"> ADDIN EN.CITE &lt;EndNote&gt;&lt;Cite&gt;&lt;Author&gt;Canudas-Romo&lt;/Author&gt;&lt;Year&gt;2015&lt;/Year&gt;&lt;RecNum&gt;89&lt;/RecNum&gt;&lt;DisplayText&gt;(3)&lt;/DisplayText&gt;&lt;record&gt;&lt;rec-number&gt;89&lt;/rec-number&gt;&lt;foreign-keys&gt;&lt;key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Pr="00AD15FB">
        <w:rPr>
          <w:rFonts w:ascii="Times New Roman" w:hAnsi="Times New Roman" w:cs="Times New Roman"/>
        </w:rPr>
        <w:fldChar w:fldCharType="separate"/>
      </w:r>
      <w:r>
        <w:rPr>
          <w:rFonts w:ascii="Times New Roman" w:hAnsi="Times New Roman" w:cs="Times New Roman"/>
          <w:noProof/>
        </w:rPr>
        <w:t>(3)</w:t>
      </w:r>
      <w:r w:rsidRPr="00AD15FB">
        <w:rPr>
          <w:rFonts w:ascii="Times New Roman" w:hAnsi="Times New Roman" w:cs="Times New Roman"/>
        </w:rPr>
        <w:fldChar w:fldCharType="end"/>
      </w:r>
      <w:r w:rsidRPr="00AD15FB">
        <w:rPr>
          <w:rFonts w:ascii="Times New Roman" w:hAnsi="Times New Roman" w:cs="Times New Roman"/>
        </w:rPr>
        <w:t>. Homicide rates more than doubled between 2007 and 2012</w:t>
      </w:r>
      <w:r w:rsidR="00BA1A73">
        <w:rPr>
          <w:rFonts w:ascii="Times New Roman" w:hAnsi="Times New Roman" w:cs="Times New Roman"/>
        </w:rPr>
        <w:t>.</w:t>
      </w:r>
      <w:r w:rsidRPr="00AD15FB">
        <w:rPr>
          <w:rFonts w:ascii="Times New Roman" w:hAnsi="Times New Roman" w:cs="Times New Roman"/>
        </w:rPr>
        <w:t xml:space="preserve"> In 2011 </w:t>
      </w:r>
      <w:r w:rsidRPr="00AD15FB">
        <w:rPr>
          <w:rFonts w:ascii="Times New Roman" w:hAnsi="Times New Roman" w:cs="Times New Roman"/>
        </w:rPr>
        <w:fldChar w:fldCharType="begin"/>
      </w:r>
      <w:r>
        <w:rPr>
          <w:rFonts w:ascii="Times New Roman" w:hAnsi="Times New Roman" w:cs="Times New Roman"/>
        </w:rPr>
        <w:instrText xml:space="preserve"> ADDIN EN.CITE &lt;EndNote&gt;&lt;Cite&gt;&lt;Author&gt;Gamlin&lt;/Author&gt;&lt;Year&gt;2015&lt;/Year&gt;&lt;RecNum&gt;91&lt;/RecNum&gt;&lt;DisplayText&gt;(4)&lt;/DisplayText&gt;&lt;record&gt;&lt;rec-number&gt;91&lt;/rec-number&gt;&lt;foreign-keys&gt;&lt;key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Pr="00AD15FB">
        <w:rPr>
          <w:rFonts w:ascii="Times New Roman" w:hAnsi="Times New Roman" w:cs="Times New Roman"/>
        </w:rPr>
        <w:fldChar w:fldCharType="separate"/>
      </w:r>
      <w:r>
        <w:rPr>
          <w:rFonts w:ascii="Times New Roman" w:hAnsi="Times New Roman" w:cs="Times New Roman"/>
          <w:noProof/>
        </w:rPr>
        <w:t>(4)</w:t>
      </w:r>
      <w:r w:rsidRPr="00AD15FB">
        <w:rPr>
          <w:rFonts w:ascii="Times New Roman" w:hAnsi="Times New Roman" w:cs="Times New Roman"/>
        </w:rPr>
        <w:fldChar w:fldCharType="end"/>
      </w:r>
      <w:r w:rsidRPr="00AD15FB">
        <w:rPr>
          <w:rFonts w:ascii="Times New Roman" w:hAnsi="Times New Roman" w:cs="Times New Roman"/>
        </w:rPr>
        <w:t xml:space="preserve">, the number of homicides reached a </w:t>
      </w:r>
      <w:r>
        <w:rPr>
          <w:rFonts w:ascii="Times New Roman" w:hAnsi="Times New Roman" w:cs="Times New Roman"/>
        </w:rPr>
        <w:t>peak</w:t>
      </w:r>
      <w:r w:rsidRPr="00AD15FB">
        <w:rPr>
          <w:rFonts w:ascii="Times New Roman" w:hAnsi="Times New Roman" w:cs="Times New Roman"/>
        </w:rPr>
        <w:t xml:space="preserve">, with over 20 homicides for every 100,000 people, with a parallel rise in extortion and kidnapping rates </w:t>
      </w:r>
      <w:r w:rsidRPr="00AD15FB">
        <w:rPr>
          <w:rFonts w:ascii="Times New Roman" w:hAnsi="Times New Roman" w:cs="Times New Roman"/>
        </w:rPr>
        <w:fldChar w:fldCharType="begin"/>
      </w:r>
      <w:r>
        <w:rPr>
          <w:rFonts w:ascii="Times New Roman" w:hAnsi="Times New Roman" w:cs="Times New Roman"/>
        </w:rPr>
        <w:instrText xml:space="preserve"> ADDIN EN.CITE &lt;EndNote&gt;&lt;Cite&gt;&lt;Author&gt;Canudas-Romo&lt;/Author&gt;&lt;Year&gt;2017&lt;/Year&gt;&lt;RecNum&gt;92&lt;/RecNum&gt;&lt;DisplayText&gt;(5)&lt;/DisplayText&gt;&lt;record&gt;&lt;rec-number&gt;92&lt;/rec-number&gt;&lt;foreign-keys&gt;&lt;key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Pr="00AD15FB">
        <w:rPr>
          <w:rFonts w:ascii="Times New Roman" w:hAnsi="Times New Roman" w:cs="Times New Roman"/>
        </w:rPr>
        <w:fldChar w:fldCharType="separate"/>
      </w:r>
      <w:r>
        <w:rPr>
          <w:rFonts w:ascii="Times New Roman" w:hAnsi="Times New Roman" w:cs="Times New Roman"/>
          <w:noProof/>
        </w:rPr>
        <w:t>(5)</w:t>
      </w:r>
      <w:r w:rsidRPr="00AD15FB">
        <w:rPr>
          <w:rFonts w:ascii="Times New Roman" w:hAnsi="Times New Roman" w:cs="Times New Roman"/>
        </w:rPr>
        <w:fldChar w:fldCharType="end"/>
      </w:r>
      <w:r w:rsidRPr="00AD15FB">
        <w:rPr>
          <w:rFonts w:ascii="Times New Roman" w:hAnsi="Times New Roman" w:cs="Times New Roman"/>
        </w:rPr>
        <w:t xml:space="preserve">. </w:t>
      </w:r>
    </w:p>
    <w:p w:rsidR="00CC0A4A" w:rsidRDefault="00CC0A4A" w:rsidP="00CC0A4A">
      <w:pPr>
        <w:spacing w:line="480" w:lineRule="auto"/>
        <w:ind w:firstLine="720"/>
        <w:rPr>
          <w:rFonts w:ascii="Times New Roman" w:hAnsi="Times New Roman" w:cs="Times New Roman"/>
        </w:rPr>
      </w:pPr>
      <w:r w:rsidRPr="00AD15FB">
        <w:rPr>
          <w:rFonts w:ascii="Times New Roman" w:hAnsi="Times New Roman" w:cs="Times New Roman"/>
        </w:rPr>
        <w:t>The effect of violence was such that improvements in life expectancy made by other causes of death, such as birth conditions and respiratory diseases, were w</w:t>
      </w:r>
      <w:r>
        <w:rPr>
          <w:rFonts w:ascii="Times New Roman" w:hAnsi="Times New Roman" w:cs="Times New Roman"/>
        </w:rPr>
        <w:t>iped</w:t>
      </w:r>
      <w:r w:rsidRPr="00AD15FB">
        <w:rPr>
          <w:rFonts w:ascii="Times New Roman" w:hAnsi="Times New Roman" w:cs="Times New Roman"/>
        </w:rPr>
        <w:t xml:space="preserve"> out by homicides, particularly in males </w:t>
      </w:r>
      <w:r w:rsidRPr="00AD15FB">
        <w:rPr>
          <w:rFonts w:ascii="Times New Roman" w:hAnsi="Times New Roman" w:cs="Times New Roman"/>
        </w:rPr>
        <w:fldChar w:fldCharType="begin"/>
      </w:r>
      <w:r>
        <w:rPr>
          <w:rFonts w:ascii="Times New Roman" w:hAnsi="Times New Roman" w:cs="Times New Roman"/>
        </w:rPr>
        <w:instrText xml:space="preserve"> ADDIN EN.CITE &lt;EndNote&gt;&lt;Cite&gt;&lt;Author&gt;Aburto&lt;/Author&gt;&lt;Year&gt;2016&lt;/Year&gt;&lt;RecNum&gt;90&lt;/RecNum&gt;&lt;DisplayText&gt;(6)&lt;/DisplayText&gt;&lt;record&gt;&lt;rec-number&gt;90&lt;/rec-number&gt;&lt;foreign-keys&gt;&lt;key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Pr="00AD15FB">
        <w:rPr>
          <w:rFonts w:ascii="Times New Roman" w:hAnsi="Times New Roman" w:cs="Times New Roman"/>
        </w:rPr>
        <w:fldChar w:fldCharType="separate"/>
      </w:r>
      <w:r>
        <w:rPr>
          <w:rFonts w:ascii="Times New Roman" w:hAnsi="Times New Roman" w:cs="Times New Roman"/>
          <w:noProof/>
        </w:rPr>
        <w:t>(6)</w:t>
      </w:r>
      <w:r w:rsidRPr="00AD15FB">
        <w:rPr>
          <w:rFonts w:ascii="Times New Roman" w:hAnsi="Times New Roman" w:cs="Times New Roman"/>
        </w:rPr>
        <w:fldChar w:fldCharType="end"/>
      </w:r>
      <w:r w:rsidRPr="00AD15FB">
        <w:rPr>
          <w:rFonts w:ascii="Times New Roman" w:hAnsi="Times New Roman" w:cs="Times New Roman"/>
        </w:rPr>
        <w:t xml:space="preserve">. As a result every state in Mexico experienced losses in life expectancy between 2005 and 2010 and some states, like Chihuahua in the northern part of the country, the loss was almost of 3 years in males </w:t>
      </w:r>
      <w:r w:rsidRPr="00AD15FB">
        <w:rPr>
          <w:rFonts w:ascii="Times New Roman" w:hAnsi="Times New Roman" w:cs="Times New Roman"/>
        </w:rPr>
        <w:fldChar w:fldCharType="begin"/>
      </w:r>
      <w:r>
        <w:rPr>
          <w:rFonts w:ascii="Times New Roman" w:hAnsi="Times New Roman" w:cs="Times New Roman"/>
        </w:rPr>
        <w:instrText xml:space="preserve"> ADDIN EN.CITE &lt;EndNote&gt;&lt;Cite&gt;&lt;Author&gt;Aburto&lt;/Author&gt;&lt;Year&gt;2016&lt;/Year&gt;&lt;RecNum&gt;90&lt;/RecNum&gt;&lt;DisplayText&gt;(6)&lt;/DisplayText&gt;&lt;record&gt;&lt;rec-number&gt;90&lt;/rec-number&gt;&lt;foreign-keys&gt;&lt;key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Pr="00AD15FB">
        <w:rPr>
          <w:rFonts w:ascii="Times New Roman" w:hAnsi="Times New Roman" w:cs="Times New Roman"/>
        </w:rPr>
        <w:fldChar w:fldCharType="separate"/>
      </w:r>
      <w:r>
        <w:rPr>
          <w:rFonts w:ascii="Times New Roman" w:hAnsi="Times New Roman" w:cs="Times New Roman"/>
          <w:noProof/>
        </w:rPr>
        <w:t>(6)</w:t>
      </w:r>
      <w:r w:rsidRPr="00AD15FB">
        <w:rPr>
          <w:rFonts w:ascii="Times New Roman" w:hAnsi="Times New Roman" w:cs="Times New Roman"/>
        </w:rPr>
        <w:fldChar w:fldCharType="end"/>
      </w:r>
      <w:r w:rsidRPr="00AD15FB">
        <w:rPr>
          <w:rFonts w:ascii="Times New Roman" w:hAnsi="Times New Roman" w:cs="Times New Roman"/>
        </w:rPr>
        <w:t xml:space="preserve">. </w:t>
      </w:r>
      <w:r>
        <w:rPr>
          <w:rFonts w:ascii="Times New Roman" w:hAnsi="Times New Roman" w:cs="Times New Roman"/>
        </w:rPr>
        <w:t xml:space="preserve"> </w:t>
      </w:r>
      <w:r w:rsidRPr="00AD15FB">
        <w:rPr>
          <w:rFonts w:ascii="Times New Roman" w:hAnsi="Times New Roman" w:cs="Times New Roman"/>
        </w:rPr>
        <w:t xml:space="preserve">Although these results underscore important consequences of the rise in homicide mortality, they mask variation in lifespans, a fundamental inequality between individuals </w:t>
      </w:r>
      <w:r w:rsidRPr="00AD15FB">
        <w:rPr>
          <w:rFonts w:ascii="Times New Roman" w:hAnsi="Times New Roman" w:cs="Times New Roman"/>
        </w:rPr>
        <w:fldChar w:fldCharType="begin"/>
      </w:r>
      <w:r>
        <w:rPr>
          <w:rFonts w:ascii="Times New Roman" w:hAnsi="Times New Roman" w:cs="Times New Roman"/>
        </w:rPr>
        <w:instrText xml:space="preserve"> ADDIN EN.CITE &lt;EndNote&gt;&lt;Cite&gt;&lt;Author&gt;Colchero&lt;/Author&gt;&lt;Year&gt;2016&lt;/Year&gt;&lt;RecNum&gt;81&lt;/RecNum&gt;&lt;DisplayText&gt;(7)&lt;/DisplayText&gt;&lt;record&gt;&lt;rec-number&gt;81&lt;/rec-number&gt;&lt;foreign-keys&gt;&lt;key app="EN" db-id="xwts0fz21atwpxe2avovtpe5rz9v2fw0dtxf" timestamp="0"&gt;81&lt;/key&gt;&lt;/foreign-keys&gt;&lt;ref-type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Alexander&lt;/author&gt;&lt;author&gt;Schoeley,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Sciences&lt;/secondary-title&gt;&lt;/titles&gt;&lt;dates&gt;&lt;year&gt;2016&lt;/year&gt;&lt;pub-dates&gt;&lt;date&gt;November 21, 2016&lt;/date&gt;&lt;/pub-dates&gt;&lt;/dates&gt;&lt;urls&gt;&lt;related-urls&gt;&lt;url&gt;http://www.pnas.org/content/early/2016/11/15/1612191113.abstract&lt;/url&gt;&lt;/related-urls&gt;&lt;/urls&gt;&lt;electronic-resource-num&gt;10.1073/pnas.1612191113&lt;/electronic-resource-num&gt;&lt;/record&gt;&lt;/Cite&gt;&lt;/EndNote&gt;</w:instrText>
      </w:r>
      <w:r w:rsidRPr="00AD15FB">
        <w:rPr>
          <w:rFonts w:ascii="Times New Roman" w:hAnsi="Times New Roman" w:cs="Times New Roman"/>
        </w:rPr>
        <w:fldChar w:fldCharType="separate"/>
      </w:r>
      <w:r>
        <w:rPr>
          <w:rFonts w:ascii="Times New Roman" w:hAnsi="Times New Roman" w:cs="Times New Roman"/>
          <w:noProof/>
        </w:rPr>
        <w:t>(7)</w:t>
      </w:r>
      <w:r w:rsidRPr="00AD15FB">
        <w:rPr>
          <w:rFonts w:ascii="Times New Roman" w:hAnsi="Times New Roman" w:cs="Times New Roman"/>
        </w:rPr>
        <w:fldChar w:fldCharType="end"/>
      </w:r>
      <w:r w:rsidRPr="00AD15FB">
        <w:rPr>
          <w:rFonts w:ascii="Times New Roman" w:hAnsi="Times New Roman" w:cs="Times New Roman"/>
        </w:rPr>
        <w:t>.</w:t>
      </w:r>
    </w:p>
    <w:p w:rsidR="00CC0A4A" w:rsidRPr="00AD15FB" w:rsidRDefault="00CC0A4A" w:rsidP="00CC0A4A">
      <w:pPr>
        <w:spacing w:line="480" w:lineRule="auto"/>
        <w:ind w:firstLine="720"/>
        <w:rPr>
          <w:rFonts w:ascii="Times New Roman" w:hAnsi="Times New Roman" w:cs="Times New Roman"/>
        </w:rPr>
      </w:pPr>
      <w:r w:rsidRPr="00AD15FB">
        <w:rPr>
          <w:rFonts w:ascii="Times New Roman" w:hAnsi="Times New Roman" w:cs="Times New Roman"/>
        </w:rPr>
        <w:t xml:space="preserve"> In this paper, we assess the impact of violence, through homicides, on life expectancy and on the uncertainty surrounding age at death in Mexico and its 32 states. We cover a </w:t>
      </w:r>
      <w:proofErr w:type="gramStart"/>
      <w:r w:rsidRPr="00AD15FB">
        <w:rPr>
          <w:rFonts w:ascii="Times New Roman" w:hAnsi="Times New Roman" w:cs="Times New Roman"/>
        </w:rPr>
        <w:t>20 year</w:t>
      </w:r>
      <w:proofErr w:type="gramEnd"/>
      <w:r w:rsidRPr="00AD15FB">
        <w:rPr>
          <w:rFonts w:ascii="Times New Roman" w:hAnsi="Times New Roman" w:cs="Times New Roman"/>
        </w:rPr>
        <w:t xml:space="preserve"> period from 1995 to 2015 and analyze females and males separately. We chose this </w:t>
      </w:r>
      <w:proofErr w:type="gramStart"/>
      <w:r w:rsidRPr="00AD15FB">
        <w:rPr>
          <w:rFonts w:ascii="Times New Roman" w:hAnsi="Times New Roman" w:cs="Times New Roman"/>
        </w:rPr>
        <w:t>particular period</w:t>
      </w:r>
      <w:proofErr w:type="gramEnd"/>
      <w:r w:rsidRPr="00AD15FB">
        <w:rPr>
          <w:rFonts w:ascii="Times New Roman" w:hAnsi="Times New Roman" w:cs="Times New Roman"/>
        </w:rPr>
        <w:t xml:space="preserve"> because it covers two comparable 10-year pe</w:t>
      </w:r>
      <w:r>
        <w:rPr>
          <w:rFonts w:ascii="Times New Roman" w:hAnsi="Times New Roman" w:cs="Times New Roman"/>
        </w:rPr>
        <w:t>riods: 1995-2005,</w:t>
      </w:r>
      <w:r w:rsidRPr="00AD15FB">
        <w:rPr>
          <w:rFonts w:ascii="Times New Roman" w:hAnsi="Times New Roman" w:cs="Times New Roman"/>
        </w:rPr>
        <w:t xml:space="preserve"> period during which homicides rates fell down, and 2005-2015 when an unexpected increase in hom</w:t>
      </w:r>
      <w:r>
        <w:rPr>
          <w:rFonts w:ascii="Times New Roman" w:hAnsi="Times New Roman" w:cs="Times New Roman"/>
        </w:rPr>
        <w:t>icide rates bega</w:t>
      </w:r>
      <w:r w:rsidRPr="00AD15FB">
        <w:rPr>
          <w:rFonts w:ascii="Times New Roman" w:hAnsi="Times New Roman" w:cs="Times New Roman"/>
        </w:rPr>
        <w:t>n</w:t>
      </w:r>
      <w:r>
        <w:rPr>
          <w:rFonts w:ascii="Times New Roman" w:hAnsi="Times New Roman" w:cs="Times New Roman"/>
        </w:rPr>
        <w:t>,</w:t>
      </w:r>
      <w:r w:rsidRPr="00AD15FB">
        <w:rPr>
          <w:rFonts w:ascii="Times New Roman" w:hAnsi="Times New Roman" w:cs="Times New Roman"/>
        </w:rPr>
        <w:t xml:space="preserve"> paralleling the so-called War on drugs.</w:t>
      </w:r>
    </w:p>
    <w:p w:rsidR="00CC0A4A" w:rsidRPr="00AD15FB" w:rsidRDefault="00CC0A4A" w:rsidP="00CC0A4A">
      <w:pPr>
        <w:pStyle w:val="Subtitle"/>
        <w:spacing w:line="480" w:lineRule="auto"/>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rsidR="00CC0A4A" w:rsidRPr="00AD15FB" w:rsidRDefault="00CC0A4A" w:rsidP="00CC0A4A">
      <w:pPr>
        <w:autoSpaceDE w:val="0"/>
        <w:autoSpaceDN w:val="0"/>
        <w:adjustRightInd w:val="0"/>
        <w:spacing w:after="100" w:afterAutospacing="1" w:line="480" w:lineRule="auto"/>
        <w:ind w:firstLine="720"/>
        <w:rPr>
          <w:rFonts w:ascii="Times New Roman" w:hAnsi="Times New Roman" w:cs="Times New Roman"/>
        </w:rPr>
      </w:pPr>
      <w:r w:rsidRPr="00AD15FB">
        <w:rPr>
          <w:rFonts w:ascii="Times New Roman" w:hAnsi="Times New Roman" w:cs="Times New Roman"/>
        </w:rPr>
        <w:t xml:space="preserve">Data on deaths from vital statistics files publicly available through the Mexican National Institute of Statistics and Geography were used </w:t>
      </w:r>
      <w:r w:rsidRPr="00AD15FB">
        <w:rPr>
          <w:rFonts w:ascii="Times New Roman" w:hAnsi="Times New Roman" w:cs="Times New Roman"/>
        </w:rPr>
        <w:fldChar w:fldCharType="begin"/>
      </w:r>
      <w:r w:rsidRPr="00AD15FB">
        <w:rPr>
          <w:rFonts w:ascii="Times New Roman" w:hAnsi="Times New Roman" w:cs="Times New Roman"/>
        </w:rPr>
        <w:instrText xml:space="preserve"> ADDIN EN.CITE &lt;EndNote&gt;&lt;Cite&gt;&lt;Author&gt;INEGI&lt;/Author&gt;&lt;Year&gt;2017&lt;/Year&gt;&lt;RecNum&gt;93&lt;/RecNum&gt;&lt;DisplayText&gt;(8)&lt;/DisplayText&gt;&lt;record&gt;&lt;rec-number&gt;93&lt;/rec-number&gt;&lt;foreign-keys&gt;&lt;key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Pr="00AD15FB">
        <w:rPr>
          <w:rFonts w:ascii="Times New Roman" w:hAnsi="Times New Roman" w:cs="Times New Roman"/>
        </w:rPr>
        <w:fldChar w:fldCharType="separate"/>
      </w:r>
      <w:r w:rsidRPr="00AD15FB">
        <w:rPr>
          <w:rFonts w:ascii="Times New Roman" w:hAnsi="Times New Roman" w:cs="Times New Roman"/>
          <w:noProof/>
        </w:rPr>
        <w:t>(8)</w:t>
      </w:r>
      <w:r w:rsidRPr="00AD15FB">
        <w:rPr>
          <w:rFonts w:ascii="Times New Roman" w:hAnsi="Times New Roman" w:cs="Times New Roman"/>
        </w:rPr>
        <w:fldChar w:fldCharType="end"/>
      </w:r>
      <w:r w:rsidRPr="00AD15FB">
        <w:rPr>
          <w:rFonts w:ascii="Times New Roman" w:hAnsi="Times New Roman" w:cs="Times New Roman"/>
        </w:rPr>
        <w:t>. These data include information on cause of death by age at the time of death, sex, and place of occurrence from 1995 to 2015. Additionally, we used population esti</w:t>
      </w:r>
      <w:r w:rsidRPr="00AD15FB">
        <w:rPr>
          <w:rFonts w:ascii="Times New Roman" w:hAnsi="Times New Roman" w:cs="Times New Roman"/>
        </w:rPr>
        <w:lastRenderedPageBreak/>
        <w:t xml:space="preserve">mates corrected for completeness, age misstatement, and international migration available from the Mexican Population Council </w:t>
      </w:r>
      <w:r>
        <w:rPr>
          <w:rFonts w:ascii="Times New Roman" w:hAnsi="Times New Roman" w:cs="Times New Roman"/>
        </w:rPr>
        <w:t xml:space="preserve">to </w:t>
      </w:r>
      <w:r w:rsidRPr="00AD15FB">
        <w:rPr>
          <w:rFonts w:ascii="Times New Roman" w:hAnsi="Times New Roman" w:cs="Times New Roman"/>
        </w:rPr>
        <w:t xml:space="preserve">construct age-specific death rates by sex and state </w:t>
      </w:r>
      <w:r w:rsidRPr="00AD15FB">
        <w:rPr>
          <w:rFonts w:ascii="Times New Roman" w:hAnsi="Times New Roman" w:cs="Times New Roman"/>
        </w:rPr>
        <w:fldChar w:fldCharType="begin"/>
      </w:r>
      <w:r w:rsidRPr="00AD15FB">
        <w:rPr>
          <w:rFonts w:ascii="Times New Roman" w:hAnsi="Times New Roman" w:cs="Times New Roman"/>
        </w:rPr>
        <w:instrText xml:space="preserve"> ADDIN EN.CITE &lt;EndNote&gt;&lt;Cite&gt;&lt;Author&gt;CONAPO&lt;/Author&gt;&lt;Year&gt;2017&lt;/Year&gt;&lt;RecNum&gt;94&lt;/RecNum&gt;&lt;DisplayText&gt;(9)&lt;/DisplayText&gt;&lt;record&gt;&lt;rec-number&gt;94&lt;/rec-number&gt;&lt;foreign-keys&gt;&lt;key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Pr="00AD15FB">
        <w:rPr>
          <w:rFonts w:ascii="Times New Roman" w:hAnsi="Times New Roman" w:cs="Times New Roman"/>
        </w:rPr>
        <w:fldChar w:fldCharType="separate"/>
      </w:r>
      <w:r w:rsidRPr="00AD15FB">
        <w:rPr>
          <w:rFonts w:ascii="Times New Roman" w:hAnsi="Times New Roman" w:cs="Times New Roman"/>
          <w:noProof/>
        </w:rPr>
        <w:t>(9)</w:t>
      </w:r>
      <w:r w:rsidRPr="00AD15FB">
        <w:rPr>
          <w:rFonts w:ascii="Times New Roman" w:hAnsi="Times New Roman" w:cs="Times New Roman"/>
        </w:rPr>
        <w:fldChar w:fldCharType="end"/>
      </w:r>
      <w:r w:rsidRPr="00AD15FB">
        <w:rPr>
          <w:rFonts w:ascii="Times New Roman" w:hAnsi="Times New Roman" w:cs="Times New Roman"/>
        </w:rPr>
        <w:t>.</w:t>
      </w:r>
    </w:p>
    <w:p w:rsidR="00CC0A4A" w:rsidRPr="00AD15FB" w:rsidRDefault="00CC0A4A" w:rsidP="00CC0A4A">
      <w:pPr>
        <w:autoSpaceDE w:val="0"/>
        <w:autoSpaceDN w:val="0"/>
        <w:adjustRightInd w:val="0"/>
        <w:spacing w:after="100" w:afterAutospacing="1" w:line="480" w:lineRule="auto"/>
        <w:rPr>
          <w:rFonts w:ascii="Times New Roman" w:hAnsi="Times New Roman" w:cs="Times New Roman"/>
        </w:rPr>
      </w:pPr>
      <w:r w:rsidRPr="00AD15FB">
        <w:rPr>
          <w:rFonts w:ascii="Times New Roman" w:hAnsi="Times New Roman" w:cs="Times New Roman"/>
          <w:b/>
          <w:i/>
        </w:rPr>
        <w:t>Cause-of-death classification</w:t>
      </w:r>
    </w:p>
    <w:p w:rsidR="00CC0A4A" w:rsidRPr="00AD15FB" w:rsidRDefault="00CC0A4A" w:rsidP="00CC0A4A">
      <w:pPr>
        <w:autoSpaceDE w:val="0"/>
        <w:autoSpaceDN w:val="0"/>
        <w:adjustRightInd w:val="0"/>
        <w:spacing w:after="100" w:afterAutospacing="1" w:line="480" w:lineRule="auto"/>
        <w:ind w:firstLine="720"/>
        <w:rPr>
          <w:rFonts w:ascii="Times New Roman" w:hAnsi="Times New Roman" w:cs="Times New Roman"/>
        </w:rPr>
      </w:pPr>
      <w:r w:rsidRPr="00AD15FB">
        <w:rPr>
          <w:rFonts w:ascii="Times New Roman" w:hAnsi="Times New Roman" w:cs="Times New Roman"/>
        </w:rPr>
        <w:t xml:space="preserve">We classify deaths in ten categories according to previous studies targeting the main causes of death in Mexico </w:t>
      </w:r>
      <w:r w:rsidRPr="00AD15FB">
        <w:rPr>
          <w:rFonts w:ascii="Times New Roman" w:hAnsi="Times New Roman" w:cs="Times New Roman"/>
        </w:rPr>
        <w:fldChar w:fldCharType="begin"/>
      </w:r>
      <w:r>
        <w:rPr>
          <w:rFonts w:ascii="Times New Roman" w:hAnsi="Times New Roman" w:cs="Times New Roman"/>
        </w:rPr>
        <w:instrText xml:space="preserve"> ADDIN EN.CITE &lt;EndNote&gt;&lt;Cite&gt;&lt;Author&gt;Aburto&lt;/Author&gt;&lt;Year&gt;2016&lt;/Year&gt;&lt;RecNum&gt;90&lt;/RecNum&gt;&lt;DisplayText&gt;(6)&lt;/DisplayText&gt;&lt;record&gt;&lt;rec-number&gt;90&lt;/rec-number&gt;&lt;foreign-keys&gt;&lt;key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Pr="00AD15FB">
        <w:rPr>
          <w:rFonts w:ascii="Times New Roman" w:hAnsi="Times New Roman" w:cs="Times New Roman"/>
        </w:rPr>
        <w:fldChar w:fldCharType="separate"/>
      </w:r>
      <w:r>
        <w:rPr>
          <w:rFonts w:ascii="Times New Roman" w:hAnsi="Times New Roman" w:cs="Times New Roman"/>
          <w:noProof/>
        </w:rPr>
        <w:t>(6)</w:t>
      </w:r>
      <w:r w:rsidRPr="00AD15FB">
        <w:rPr>
          <w:rFonts w:ascii="Times New Roman" w:hAnsi="Times New Roman" w:cs="Times New Roman"/>
        </w:rPr>
        <w:fldChar w:fldCharType="end"/>
      </w:r>
      <w:r w:rsidRPr="00AD15FB">
        <w:rPr>
          <w:rFonts w:ascii="Times New Roman" w:hAnsi="Times New Roman" w:cs="Times New Roman"/>
        </w:rPr>
        <w:t>. The first category refers to conditions amenable to medical service. We analyze separately diabetes, ischemic heart diseases (IHD), HIV/AIDS, lung cancer, cirrhosis, road traffic accidents, suicide, homicides, and the rest of causes of death labeled “Other causes”.</w:t>
      </w:r>
    </w:p>
    <w:p w:rsidR="00CC0A4A" w:rsidRPr="00AD15FB" w:rsidRDefault="00CC0A4A" w:rsidP="00CC0A4A">
      <w:pPr>
        <w:autoSpaceDE w:val="0"/>
        <w:autoSpaceDN w:val="0"/>
        <w:adjustRightInd w:val="0"/>
        <w:spacing w:after="100" w:afterAutospacing="1" w:line="480" w:lineRule="auto"/>
        <w:ind w:firstLine="720"/>
        <w:rPr>
          <w:rFonts w:ascii="Times New Roman" w:hAnsi="Times New Roman" w:cs="Times New Roman"/>
        </w:rPr>
      </w:pPr>
      <w:r w:rsidRPr="00AD15FB">
        <w:rPr>
          <w:rFonts w:ascii="Times New Roman" w:hAnsi="Times New Roman" w:cs="Times New Roman"/>
        </w:rPr>
        <w:t xml:space="preserve">Originally, data on deaths were classified according to the International Classification of Diseases (ICD), revision 9 for years 1995-1997 and revision 10 for 1998-2015. Previous studies have checked </w:t>
      </w:r>
      <w:r>
        <w:rPr>
          <w:rFonts w:ascii="Times New Roman" w:hAnsi="Times New Roman" w:cs="Times New Roman"/>
        </w:rPr>
        <w:t xml:space="preserve">the </w:t>
      </w:r>
      <w:r w:rsidRPr="00AD15FB">
        <w:rPr>
          <w:rFonts w:ascii="Times New Roman" w:hAnsi="Times New Roman" w:cs="Times New Roman"/>
        </w:rPr>
        <w:t xml:space="preserve">validity of the cause-of-death codes used in this paper and did not find cause-specific ruptures in the transition from ICD 9 to ICD 10 </w:t>
      </w:r>
      <w:r w:rsidRPr="00AD15FB">
        <w:rPr>
          <w:rFonts w:ascii="Times New Roman" w:hAnsi="Times New Roman" w:cs="Times New Roman"/>
        </w:rPr>
        <w:fldChar w:fldCharType="begin"/>
      </w:r>
      <w:r w:rsidRPr="00AD15FB">
        <w:rPr>
          <w:rFonts w:ascii="Times New Roman" w:hAnsi="Times New Roman" w:cs="Times New Roman"/>
        </w:rPr>
        <w:instrText xml:space="preserve"> ADDIN EN.CITE &lt;EndNote&gt;&lt;Cite&gt;&lt;Author&gt;Aburto&lt;/Author&gt;&lt;Year&gt;2017&lt;/Year&gt;&lt;RecNum&gt;95&lt;/RecNum&gt;&lt;DisplayText&gt;(10)&lt;/DisplayText&gt;&lt;record&gt;&lt;rec-number&gt;95&lt;/rec-number&gt;&lt;foreign-keys&gt;&lt;key app="EN" db-id="xwts0fz21atwpxe2avovtpe5rz9v2fw0dtxf" timestamp="1492773759"&gt;95&lt;/key&gt;&lt;/foreign-keys&gt;&lt;ref-type name="Unpublished Work"&gt;34&lt;/ref-type&gt;&lt;contributors&gt;&lt;authors&gt;&lt;author&gt;Aburto, Jose Manuel&lt;/author&gt;&lt;author&gt;Riffe, Tim&lt;/author&gt;&lt;author&gt;Canudas-Romo, Vladimir&lt;/author&gt;&lt;/authors&gt;&lt;/contributors&gt;&lt;titles&gt;&lt;title&gt;Stagnation, deterioration abd disparities on adulthood survival in Mexican states, 1990-2015&lt;/title&gt;&lt;/titles&gt;&lt;dates&gt;&lt;year&gt;2017&lt;/year&gt;&lt;/dates&gt;&lt;publisher&gt;Max Planck Odense Center on Biodemography of Aging. Available from authors.&lt;/publisher&gt;&lt;urls&gt;&lt;/urls&gt;&lt;/record&gt;&lt;/Cite&gt;&lt;/EndNote&gt;</w:instrText>
      </w:r>
      <w:r w:rsidRPr="00AD15FB">
        <w:rPr>
          <w:rFonts w:ascii="Times New Roman" w:hAnsi="Times New Roman" w:cs="Times New Roman"/>
        </w:rPr>
        <w:fldChar w:fldCharType="separate"/>
      </w:r>
      <w:r w:rsidRPr="00AD15FB">
        <w:rPr>
          <w:rFonts w:ascii="Times New Roman" w:hAnsi="Times New Roman" w:cs="Times New Roman"/>
          <w:noProof/>
        </w:rPr>
        <w:t>(10)</w:t>
      </w:r>
      <w:r w:rsidRPr="00AD15FB">
        <w:rPr>
          <w:rFonts w:ascii="Times New Roman" w:hAnsi="Times New Roman" w:cs="Times New Roman"/>
        </w:rPr>
        <w:fldChar w:fldCharType="end"/>
      </w:r>
      <w:r w:rsidRPr="00AD15FB">
        <w:rPr>
          <w:rFonts w:ascii="Times New Roman" w:hAnsi="Times New Roman" w:cs="Times New Roman"/>
        </w:rPr>
        <w:t xml:space="preserve">. </w:t>
      </w:r>
    </w:p>
    <w:p w:rsidR="00CC0A4A" w:rsidRPr="00AD15FB" w:rsidRDefault="00CC0A4A" w:rsidP="00CC0A4A">
      <w:pPr>
        <w:autoSpaceDE w:val="0"/>
        <w:autoSpaceDN w:val="0"/>
        <w:adjustRightInd w:val="0"/>
        <w:spacing w:after="100" w:afterAutospacing="1" w:line="480" w:lineRule="auto"/>
        <w:rPr>
          <w:rFonts w:ascii="Times New Roman" w:hAnsi="Times New Roman" w:cs="Times New Roman"/>
        </w:rPr>
      </w:pPr>
      <w:r w:rsidRPr="00AD15FB">
        <w:rPr>
          <w:rFonts w:ascii="Times New Roman" w:hAnsi="Times New Roman" w:cs="Times New Roman"/>
          <w:b/>
          <w:i/>
        </w:rPr>
        <w:t>Dispersion measure</w:t>
      </w:r>
    </w:p>
    <w:p w:rsidR="00CC0A4A" w:rsidRPr="00AD15FB" w:rsidRDefault="00CC0A4A" w:rsidP="00CC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rPr>
      </w:pPr>
      <w:r w:rsidRPr="00AD15FB">
        <w:rPr>
          <w:rFonts w:ascii="Times New Roman" w:hAnsi="Times New Roman" w:cs="Times New Roman"/>
        </w:rPr>
        <w:tab/>
        <w:t xml:space="preserve">Several dispersion measures have been proposed to analyze lifespan variability </w:t>
      </w:r>
      <w:r w:rsidRPr="00AD15FB">
        <w:rPr>
          <w:rFonts w:ascii="Times New Roman" w:hAnsi="Times New Roman" w:cs="Times New Roman"/>
        </w:rPr>
        <w:fldChar w:fldCharType="begin"/>
      </w:r>
      <w:r w:rsidRPr="00AD15FB">
        <w:rPr>
          <w:rFonts w:ascii="Times New Roman" w:hAnsi="Times New Roman" w:cs="Times New Roman"/>
        </w:rPr>
        <w:instrText xml:space="preserve"> ADDIN EN.CITE &lt;EndNote&gt;&lt;Cite&gt;&lt;Author&gt;van Raalte&lt;/Author&gt;&lt;Year&gt;2013&lt;/Year&gt;&lt;RecNum&gt;9&lt;/RecNum&gt;&lt;DisplayText&gt;(11)&lt;/DisplayText&gt;&lt;record&gt;&lt;rec-number&gt;9&lt;/rec-number&gt;&lt;foreign-keys&gt;&lt;key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ages&gt;1615-1640&lt;/pages&gt;&lt;volume&gt;50&lt;/volume&gt;&lt;number&gt;5&lt;/number&gt;&lt;dates&gt;&lt;year&gt;2013&lt;/year&gt;&lt;/dates&gt;&lt;publisher&gt;Springer&lt;/publisher&gt;&lt;label&gt;van2013perturbation&lt;/label&gt;&lt;urls&gt;&lt;/urls&gt;&lt;/record&gt;&lt;/Cite&gt;&lt;/EndNote&gt;</w:instrText>
      </w:r>
      <w:r w:rsidRPr="00AD15FB">
        <w:rPr>
          <w:rFonts w:ascii="Times New Roman" w:hAnsi="Times New Roman" w:cs="Times New Roman"/>
        </w:rPr>
        <w:fldChar w:fldCharType="separate"/>
      </w:r>
      <w:r w:rsidRPr="00AD15FB">
        <w:rPr>
          <w:rFonts w:ascii="Times New Roman" w:hAnsi="Times New Roman" w:cs="Times New Roman"/>
          <w:noProof/>
        </w:rPr>
        <w:t>(11)</w:t>
      </w:r>
      <w:r w:rsidRPr="00AD15FB">
        <w:rPr>
          <w:rFonts w:ascii="Times New Roman" w:hAnsi="Times New Roman" w:cs="Times New Roman"/>
        </w:rPr>
        <w:fldChar w:fldCharType="end"/>
      </w:r>
      <w:r w:rsidRPr="00AD15FB">
        <w:rPr>
          <w:rFonts w:ascii="Times New Roman" w:hAnsi="Times New Roman" w:cs="Times New Roman"/>
        </w:rPr>
        <w:t xml:space="preserve">. In this study,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used as a dispersion indicator and we refer to it as “life disparity”. It is defined as the average remaining life expectancy when death occurs, or life years lost due to death </w:t>
      </w:r>
      <w:r w:rsidRPr="00AD15FB">
        <w:rPr>
          <w:rFonts w:ascii="Times New Roman" w:hAnsi="Times New Roman" w:cs="Times New Roman"/>
        </w:rPr>
        <w:fldChar w:fldCharType="begin"/>
      </w:r>
      <w:r w:rsidRPr="00AD15FB">
        <w:rPr>
          <w:rFonts w:ascii="Times New Roman" w:hAnsi="Times New Roman" w:cs="Times New Roman"/>
        </w:rPr>
        <w:instrText xml:space="preserve"> ADDIN EN.CITE &lt;EndNote&gt;&lt;Cite&gt;&lt;Author&gt;Vaupel&lt;/Author&gt;&lt;Year&gt;2003&lt;/Year&gt;&lt;RecNum&gt;22&lt;/RecNum&gt;&lt;DisplayText&gt;(12, 13)&lt;/DisplayText&gt;&lt;record&gt;&lt;rec-number&gt;22&lt;/rec-number&gt;&lt;foreign-keys&gt;&lt;key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Pr="00AD15FB">
        <w:rPr>
          <w:rFonts w:ascii="Times New Roman" w:hAnsi="Times New Roman" w:cs="Times New Roman"/>
          <w:noProof/>
        </w:rPr>
        <w:t>(12, 13)</w:t>
      </w:r>
      <w:r w:rsidRPr="00AD15FB">
        <w:rPr>
          <w:rFonts w:ascii="Times New Roman" w:hAnsi="Times New Roman" w:cs="Times New Roman"/>
        </w:rPr>
        <w:fldChar w:fldCharType="end"/>
      </w:r>
      <w:r w:rsidRPr="00AD15FB">
        <w:rPr>
          <w:rFonts w:ascii="Times New Roman" w:hAnsi="Times New Roman" w:cs="Times New Roman"/>
        </w:rPr>
        <w:t xml:space="preserve">. For example, if a cohort of newborns </w:t>
      </w:r>
      <w:proofErr w:type="gramStart"/>
      <w:r w:rsidRPr="00AD15FB">
        <w:rPr>
          <w:rFonts w:ascii="Times New Roman" w:hAnsi="Times New Roman" w:cs="Times New Roman"/>
        </w:rPr>
        <w:t>die</w:t>
      </w:r>
      <w:proofErr w:type="gramEnd"/>
      <w:r w:rsidRPr="00AD15FB">
        <w:rPr>
          <w:rFonts w:ascii="Times New Roman" w:hAnsi="Times New Roman" w:cs="Times New Roman"/>
        </w:rPr>
        <w:t xml:space="preserv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while when death is very variable, people will die before their expected lifetime, contributing lost years to life disparity. In lifetable </w:t>
      </w:r>
      <w:proofErr w:type="gramStart"/>
      <w:r w:rsidRPr="00AD15FB">
        <w:rPr>
          <w:rFonts w:ascii="Times New Roman" w:hAnsi="Times New Roman" w:cs="Times New Roman"/>
        </w:rPr>
        <w:t>notation</w:t>
      </w:r>
      <w:proofErr w:type="gramEnd"/>
      <w:r w:rsidRPr="00AD15FB">
        <w:rPr>
          <w:rFonts w:ascii="Times New Roman" w:hAnsi="Times New Roman" w:cs="Times New Roman"/>
        </w:rPr>
        <w:t xml:space="preserve"> it is defined as:</w:t>
      </w:r>
    </w:p>
    <w:p w:rsidR="00CC0A4A" w:rsidRPr="00AD15FB" w:rsidRDefault="00CC0A4A" w:rsidP="00CC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m:rPr>
            <m:sty m:val="p"/>
          </m:rPr>
          <w:rPr>
            <w:rFonts w:ascii="Cambria Math" w:hAnsi="Cambria Math" w:cs="Times New Roman"/>
          </w:rPr>
          <m:t>= -</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r>
          <m:rPr>
            <m:sty m:val="p"/>
          </m:rPr>
          <w:rPr>
            <w:rFonts w:ascii="Cambria Math" w:hAnsi="Cambria Math" w:cs="Times New Roman"/>
          </w:rPr>
          <m:t>=-</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ln</m:t>
            </m:r>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d</m:t>
            </m:r>
            <m:r>
              <m:rPr>
                <m:sty m:val="p"/>
              </m:rPr>
              <w:rPr>
                <w:rFonts w:ascii="Cambria Math" w:hAnsi="Cambria Math" w:cs="Times New Roman"/>
              </w:rPr>
              <m:t>x</m:t>
            </m:r>
          </m:e>
        </m:nary>
      </m:oMath>
      <w:r w:rsidRPr="00AD15FB">
        <w:rPr>
          <w:rFonts w:ascii="Times New Roman" w:eastAsiaTheme="minorEastAsia" w:hAnsi="Times New Roman" w:cs="Times New Roman"/>
        </w:rPr>
        <w:t>.</w:t>
      </w:r>
    </w:p>
    <w:p w:rsidR="00CC0A4A" w:rsidRPr="00AD15FB" w:rsidRDefault="00CC0A4A" w:rsidP="00CC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heme="minorEastAsia" w:hAnsi="Times New Roman" w:cs="Times New Roman"/>
        </w:rPr>
      </w:pPr>
      <w:r w:rsidRPr="00AD15FB">
        <w:rPr>
          <w:rFonts w:ascii="Times New Roman" w:hAnsi="Times New Roman" w:cs="Times New Roman"/>
        </w:rPr>
        <w:tab/>
      </w: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x),  e</m:t>
        </m:r>
        <m:r>
          <m:rPr>
            <m:nor/>
          </m:rPr>
          <w:rPr>
            <w:rFonts w:ascii="Times New Roman" w:hAnsi="Times New Roman" w:cs="Times New Roman"/>
          </w:rPr>
          <m:t>(</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 at age </w:t>
      </w:r>
      <m:oMath>
        <m:r>
          <m:rPr>
            <m:sty m:val="p"/>
          </m:rPr>
          <w:rPr>
            <w:rFonts w:ascii="Cambria Math" w:hAnsi="Cambria Math" w:cs="Times New Roman"/>
          </w:rPr>
          <m:t>x</m:t>
        </m:r>
      </m:oMath>
      <w:r w:rsidRPr="00AD15FB">
        <w:rPr>
          <w:rFonts w:ascii="Times New Roman" w:eastAsiaTheme="minorEastAsia" w:hAnsi="Times New Roman" w:cs="Times New Roman"/>
        </w:rPr>
        <w:t xml:space="preserve">, and the open-aged interval (100+ in our case), respectively. This indicator was chosen because it has an easy to understand interpretation and it is decomposable </w:t>
      </w:r>
      <w:r w:rsidRPr="00AD15FB">
        <w:rPr>
          <w:rFonts w:ascii="Times New Roman" w:eastAsiaTheme="minorEastAsia" w:hAnsi="Times New Roman" w:cs="Times New Roman"/>
        </w:rPr>
        <w:fldChar w:fldCharType="begin"/>
      </w:r>
      <w:r w:rsidRPr="00AD15FB">
        <w:rPr>
          <w:rFonts w:ascii="Times New Roman" w:eastAsiaTheme="minorEastAsia" w:hAnsi="Times New Roman" w:cs="Times New Roman"/>
        </w:rPr>
        <w:instrText xml:space="preserve"> ADDIN EN.CITE &lt;EndNote&gt;&lt;Cite&gt;&lt;Author&gt;Shkolnikov&lt;/Author&gt;&lt;Year&gt;2011&lt;/Year&gt;&lt;RecNum&gt;7&lt;/RecNum&gt;&lt;DisplayText&gt;(14, 15)&lt;/DisplayText&gt;&lt;record&gt;&lt;rec-number&gt;7&lt;/rec-number&gt;&lt;foreign-keys&gt;&lt;key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Pr="00AD15FB">
        <w:rPr>
          <w:rFonts w:ascii="Times New Roman" w:eastAsiaTheme="minorEastAsia" w:hAnsi="Times New Roman" w:cs="Times New Roman"/>
        </w:rPr>
        <w:fldChar w:fldCharType="separate"/>
      </w:r>
      <w:r w:rsidRPr="00AD15FB">
        <w:rPr>
          <w:rFonts w:ascii="Times New Roman" w:eastAsiaTheme="minorEastAsia" w:hAnsi="Times New Roman" w:cs="Times New Roman"/>
          <w:noProof/>
        </w:rPr>
        <w:t>(14, 15)</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These properties allow quantifying the impact of age and cause-specific mortality on changes in life disparity over time. The high correla</w:t>
      </w:r>
      <w:r w:rsidRPr="00AD15FB">
        <w:rPr>
          <w:rFonts w:ascii="Times New Roman" w:eastAsiaTheme="minorEastAsia" w:hAnsi="Times New Roman" w:cs="Times New Roman"/>
        </w:rPr>
        <w:lastRenderedPageBreak/>
        <w:t xml:space="preserve">tion with other variation indices, such as </w:t>
      </w:r>
      <w:proofErr w:type="spellStart"/>
      <w:r w:rsidRPr="00AD15FB">
        <w:rPr>
          <w:rFonts w:ascii="Times New Roman" w:eastAsiaTheme="minorEastAsia" w:hAnsi="Times New Roman" w:cs="Times New Roman"/>
        </w:rPr>
        <w:t>Keyfitz</w:t>
      </w:r>
      <w:proofErr w:type="spellEnd"/>
      <w:r w:rsidRPr="00AD15FB">
        <w:rPr>
          <w:rFonts w:ascii="Times New Roman" w:eastAsiaTheme="minorEastAsia" w:hAnsi="Times New Roman" w:cs="Times New Roman"/>
        </w:rPr>
        <w:t xml:space="preserve"> entropy, coefficient of variation, or the Gini coefficient, suggests that the main results would not differ by a large extent regardless of the measure used </w:t>
      </w:r>
      <w:r w:rsidRPr="00AD15FB">
        <w:rPr>
          <w:rFonts w:ascii="Times New Roman" w:eastAsiaTheme="minorEastAsia" w:hAnsi="Times New Roman" w:cs="Times New Roman"/>
        </w:rPr>
        <w:fldChar w:fldCharType="begin"/>
      </w:r>
      <w:r w:rsidRPr="00AD15FB">
        <w:rPr>
          <w:rFonts w:ascii="Times New Roman" w:eastAsiaTheme="minorEastAsia" w:hAnsi="Times New Roman" w:cs="Times New Roman"/>
        </w:rPr>
        <w:instrText xml:space="preserve"> ADDIN EN.CITE &lt;EndNote&gt;&lt;Cite&gt;&lt;Author&gt;van Raalte&lt;/Author&gt;&lt;Year&gt;2013&lt;/Year&gt;&lt;RecNum&gt;9&lt;/RecNum&gt;&lt;DisplayText&gt;(11)&lt;/DisplayText&gt;&lt;record&gt;&lt;rec-number&gt;9&lt;/rec-number&gt;&lt;foreign-keys&gt;&lt;key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ages&gt;1615-1640&lt;/pages&gt;&lt;volume&gt;50&lt;/volume&gt;&lt;number&gt;5&lt;/number&gt;&lt;dates&gt;&lt;year&gt;2013&lt;/year&gt;&lt;/dates&gt;&lt;publisher&gt;Springer&lt;/publisher&gt;&lt;label&gt;van2013perturbation&lt;/label&gt;&lt;urls&gt;&lt;/urls&gt;&lt;/record&gt;&lt;/Cite&gt;&lt;/EndNote&gt;</w:instrText>
      </w:r>
      <w:r w:rsidRPr="00AD15FB">
        <w:rPr>
          <w:rFonts w:ascii="Times New Roman" w:eastAsiaTheme="minorEastAsia" w:hAnsi="Times New Roman" w:cs="Times New Roman"/>
        </w:rPr>
        <w:fldChar w:fldCharType="separate"/>
      </w:r>
      <w:r w:rsidRPr="00AD15FB">
        <w:rPr>
          <w:rFonts w:ascii="Times New Roman" w:eastAsiaTheme="minorEastAsia" w:hAnsi="Times New Roman" w:cs="Times New Roman"/>
          <w:noProof/>
        </w:rPr>
        <w:t>(11)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w:t>
      </w:r>
    </w:p>
    <w:p w:rsidR="00CC0A4A" w:rsidRPr="00AD15FB" w:rsidRDefault="00CC0A4A" w:rsidP="00CC0A4A">
      <w:pPr>
        <w:autoSpaceDE w:val="0"/>
        <w:autoSpaceDN w:val="0"/>
        <w:adjustRightInd w:val="0"/>
        <w:spacing w:after="100" w:afterAutospacing="1" w:line="480" w:lineRule="auto"/>
        <w:rPr>
          <w:rFonts w:ascii="Times New Roman" w:hAnsi="Times New Roman" w:cs="Times New Roman"/>
          <w:b/>
          <w:i/>
        </w:rPr>
      </w:pPr>
      <w:r w:rsidRPr="00AD15FB">
        <w:rPr>
          <w:rFonts w:ascii="Times New Roman" w:hAnsi="Times New Roman" w:cs="Times New Roman"/>
          <w:b/>
          <w:i/>
        </w:rPr>
        <w:t>Demographic and statistical methods</w:t>
      </w:r>
    </w:p>
    <w:p w:rsidR="00CC0A4A" w:rsidRPr="00AD15FB" w:rsidRDefault="00CC0A4A" w:rsidP="00CC0A4A">
      <w:pPr>
        <w:autoSpaceDE w:val="0"/>
        <w:autoSpaceDN w:val="0"/>
        <w:adjustRightInd w:val="0"/>
        <w:spacing w:after="100" w:afterAutospacing="1" w:line="480" w:lineRule="auto"/>
        <w:rPr>
          <w:rFonts w:ascii="Times New Roman" w:hAnsi="Times New Roman" w:cs="Times New Roman"/>
          <w:b/>
          <w:i/>
        </w:rPr>
      </w:pPr>
      <w:r w:rsidRPr="00AD15FB">
        <w:rPr>
          <w:rFonts w:ascii="Times New Roman" w:eastAsiaTheme="minorEastAsia" w:hAnsi="Times New Roman" w:cs="Times New Roman"/>
        </w:rPr>
        <w:t xml:space="preserve">To mitigate random variations, these rates are adjusted in two steps. First, cause-specific death rates over age and time for each state and sex separately using a 2-d p-spline were smoothed </w:t>
      </w:r>
      <w:r w:rsidRPr="00AD15FB">
        <w:rPr>
          <w:rFonts w:ascii="Times New Roman" w:eastAsiaTheme="minorEastAsia" w:hAnsi="Times New Roman" w:cs="Times New Roman"/>
        </w:rPr>
        <w:fldChar w:fldCharType="begin"/>
      </w:r>
      <w:r w:rsidRPr="00AD15FB">
        <w:rPr>
          <w:rFonts w:ascii="Times New Roman" w:eastAsiaTheme="minorEastAsia" w:hAnsi="Times New Roman" w:cs="Times New Roman"/>
        </w:rPr>
        <w:instrText xml:space="preserve"> ADDIN EN.CITE &lt;EndNote&gt;&lt;Cite&gt;&lt;Author&gt;Camarda&lt;/Author&gt;&lt;Year&gt;2012&lt;/Year&gt;&lt;RecNum&gt;19&lt;/RecNum&gt;&lt;DisplayText&gt;(16)&lt;/DisplayText&gt;&lt;record&gt;&lt;rec-number&gt;19&lt;/rec-number&gt;&lt;foreign-keys&gt;&lt;key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\textttR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Pr="00AD15FB">
        <w:rPr>
          <w:rFonts w:ascii="Times New Roman" w:eastAsiaTheme="minorEastAsia" w:hAnsi="Times New Roman" w:cs="Times New Roman"/>
          <w:noProof/>
        </w:rPr>
        <w:t>(16)</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Second, smoothed cause-specific deaths were rescaled to raw all-cause death rates for each sex and state. Period life tables for males and females from 1995 to 2015 were calculated following standard demographic methods </w:t>
      </w:r>
      <w:r w:rsidRPr="00AD15FB">
        <w:rPr>
          <w:rFonts w:ascii="Times New Roman" w:eastAsiaTheme="minorEastAsia" w:hAnsi="Times New Roman" w:cs="Times New Roman"/>
        </w:rPr>
        <w:fldChar w:fldCharType="begin"/>
      </w:r>
      <w:r w:rsidRPr="00AD15FB">
        <w:rPr>
          <w:rFonts w:ascii="Times New Roman" w:eastAsiaTheme="minorEastAsia" w:hAnsi="Times New Roman" w:cs="Times New Roman"/>
        </w:rPr>
        <w:instrText xml:space="preserve"> ADDIN EN.CITE &lt;EndNote&gt;&lt;Cite&gt;&lt;Author&gt;Preston&lt;/Author&gt;&lt;Year&gt;2001&lt;/Year&gt;&lt;RecNum&gt;10&lt;/RecNum&gt;&lt;DisplayText&gt;(17)&lt;/DisplayText&gt;&lt;record&gt;&lt;rec-number&gt;10&lt;/rec-number&gt;&lt;foreign-keys&gt;&lt;key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Pr="00AD15FB">
        <w:rPr>
          <w:rFonts w:ascii="Times New Roman" w:eastAsiaTheme="minorEastAsia" w:hAnsi="Times New Roman" w:cs="Times New Roman"/>
          <w:noProof/>
        </w:rPr>
        <w:t>(17)</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Life expectancies and life disparities were calculated and cause-specific contributions to the difference between 1995-2005 and 2005-2015 were estimated using standard decomposition techniques </w:t>
      </w:r>
      <w:r w:rsidRPr="00AD15FB">
        <w:rPr>
          <w:rFonts w:ascii="Times New Roman" w:eastAsiaTheme="minorEastAsia" w:hAnsi="Times New Roman" w:cs="Times New Roman"/>
        </w:rPr>
        <w:fldChar w:fldCharType="begin"/>
      </w:r>
      <w:r w:rsidRPr="00AD15FB">
        <w:rPr>
          <w:rFonts w:ascii="Times New Roman" w:eastAsiaTheme="minorEastAsia" w:hAnsi="Times New Roman" w:cs="Times New Roman"/>
        </w:rPr>
        <w:instrText xml:space="preserve"> ADDIN EN.CITE &lt;EndNote&gt;&lt;Cite&gt;&lt;Author&gt;Horiuchi&lt;/Author&gt;&lt;Year&gt;2008&lt;/Year&gt;&lt;RecNum&gt;29&lt;/RecNum&gt;&lt;DisplayText&gt;(18)&lt;/DisplayText&gt;&lt;record&gt;&lt;rec-number&gt;29&lt;/rec-number&gt;&lt;foreign-keys&gt;&lt;key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Pr="00AD15FB">
        <w:rPr>
          <w:rFonts w:ascii="Times New Roman" w:eastAsiaTheme="minorEastAsia" w:hAnsi="Times New Roman" w:cs="Times New Roman"/>
          <w:noProof/>
        </w:rPr>
        <w:t>(18)</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p>
    <w:p w:rsidR="00CC0A4A" w:rsidRPr="00AD15FB" w:rsidRDefault="00CC0A4A" w:rsidP="00CC0A4A">
      <w:pPr>
        <w:pStyle w:val="Subtitle"/>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Preliminary Results</w:t>
      </w:r>
    </w:p>
    <w:p w:rsidR="00CC0A4A" w:rsidRPr="00AD15FB" w:rsidRDefault="00CC0A4A" w:rsidP="00CC0A4A">
      <w:pPr>
        <w:pStyle w:val="Subtitle"/>
        <w:rPr>
          <w:rFonts w:ascii="Times New Roman" w:hAnsi="Times New Roman" w:cs="Times New Roman"/>
          <w:b/>
          <w:i w:val="0"/>
          <w:color w:val="auto"/>
          <w:sz w:val="22"/>
          <w:szCs w:val="22"/>
        </w:rPr>
      </w:pPr>
    </w:p>
    <w:p w:rsidR="00CC0A4A" w:rsidRDefault="00CC0A4A" w:rsidP="00CC0A4A">
      <w:pPr>
        <w:spacing w:line="480" w:lineRule="auto"/>
        <w:ind w:firstLine="720"/>
        <w:rPr>
          <w:rFonts w:ascii="Times New Roman" w:eastAsiaTheme="minorEastAsia" w:hAnsi="Times New Roman" w:cs="Times New Roman"/>
        </w:rPr>
      </w:pPr>
      <w:r w:rsidRPr="00AD15FB">
        <w:rPr>
          <w:rFonts w:ascii="Times New Roman" w:eastAsiaTheme="minorEastAsia" w:hAnsi="Times New Roman" w:cs="Times New Roman"/>
        </w:rPr>
        <w:t xml:space="preserve">Life expectancy increased gradually between 1995 and 2005 in both females and males from 75.3 and 69.2 years to 76.7 and 71.3, respectively. However, from 2005 to 2010 life expectancy decreased for males (from 71.3 to 71.0) and stagnated for females. </w:t>
      </w:r>
      <w:r>
        <w:rPr>
          <w:rFonts w:ascii="Times New Roman" w:eastAsiaTheme="minorEastAsia" w:hAnsi="Times New Roman" w:cs="Times New Roman"/>
        </w:rPr>
        <w:t>By</w:t>
      </w:r>
      <w:r w:rsidRPr="00AD15FB">
        <w:rPr>
          <w:rFonts w:ascii="Times New Roman" w:eastAsiaTheme="minorEastAsia" w:hAnsi="Times New Roman" w:cs="Times New Roman"/>
        </w:rPr>
        <w:t xml:space="preserve"> 2015, males showed a slow recovery causing life expectancy to return to its 2005 level, while females improved life expectancy by an additional year.  Life disparity showed inverse patterns compared to life expectancy. From 2005 to 2015, uncertainty surrounding age at death increased for males and remained constant for females. Figure 1 shows age-cause specific contributions to changes in male life expectancy (top panel) and life dispa</w:t>
      </w:r>
      <w:r>
        <w:rPr>
          <w:rFonts w:ascii="Times New Roman" w:eastAsiaTheme="minorEastAsia" w:hAnsi="Times New Roman" w:cs="Times New Roman"/>
        </w:rPr>
        <w:t>rity between ages 5 and 80. Between 1995 and 2005, homicides decreased life disparity, while diabetes mortality explained most of increases in variation. However, between 2005 and 2015 homicides explained most of increases in life disparity, mainly concentrated in young-adult ages.</w:t>
      </w:r>
    </w:p>
    <w:p w:rsidR="00CC0A4A" w:rsidRPr="005A626C" w:rsidRDefault="00CC0A4A" w:rsidP="00CC0A4A">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These results underscore the effect of homicides on the unpredictability of time of death that the Mexican population is experiencing. They reinforce the need for new policies targeting reductions in homicide mortality, since clearly those implemented over the last ten years have not been successful in reducing the burden of violence in the country.</w:t>
      </w:r>
    </w:p>
    <w:p w:rsidR="00B62339" w:rsidRPr="00885DB7" w:rsidRDefault="00B62339" w:rsidP="0085740F">
      <w:pPr>
        <w:spacing w:line="480" w:lineRule="auto"/>
        <w:rPr>
          <w:rFonts w:ascii="Times New Roman" w:hAnsi="Times New Roman" w:cs="Times New Roman"/>
          <w:sz w:val="24"/>
          <w:szCs w:val="24"/>
        </w:rPr>
      </w:pPr>
    </w:p>
    <w:p w:rsidR="00B62339"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Discussion</w:t>
      </w:r>
    </w:p>
    <w:p w:rsidR="00B62339" w:rsidRPr="00885DB7" w:rsidRDefault="00B62339" w:rsidP="0085740F">
      <w:pPr>
        <w:spacing w:line="480" w:lineRule="auto"/>
        <w:rPr>
          <w:rFonts w:ascii="Times New Roman" w:hAnsi="Times New Roman" w:cs="Times New Roman"/>
          <w:sz w:val="24"/>
          <w:szCs w:val="24"/>
        </w:rPr>
      </w:pPr>
    </w:p>
    <w:p w:rsidR="00B62339" w:rsidRPr="00885DB7"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Funding</w:t>
      </w:r>
    </w:p>
    <w:p w:rsidR="00B62339" w:rsidRPr="00885DB7" w:rsidRDefault="00B62339" w:rsidP="0085740F">
      <w:pPr>
        <w:spacing w:line="480" w:lineRule="auto"/>
        <w:rPr>
          <w:rFonts w:ascii="Times New Roman" w:hAnsi="Times New Roman" w:cs="Times New Roman"/>
          <w:sz w:val="24"/>
          <w:szCs w:val="24"/>
        </w:rPr>
      </w:pPr>
      <w:r w:rsidRPr="00885DB7">
        <w:rPr>
          <w:rFonts w:ascii="Times New Roman" w:hAnsi="Times New Roman" w:cs="Times New Roman"/>
          <w:sz w:val="24"/>
          <w:szCs w:val="24"/>
        </w:rPr>
        <w:t>This work was supported by…</w:t>
      </w:r>
    </w:p>
    <w:p w:rsidR="00B62339" w:rsidRPr="00885DB7" w:rsidRDefault="00B62339" w:rsidP="0085740F">
      <w:pPr>
        <w:spacing w:line="480" w:lineRule="auto"/>
        <w:rPr>
          <w:rFonts w:ascii="Times New Roman" w:hAnsi="Times New Roman" w:cs="Times New Roman"/>
          <w:sz w:val="24"/>
          <w:szCs w:val="24"/>
        </w:rPr>
      </w:pPr>
    </w:p>
    <w:p w:rsidR="00CC0A4A"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References</w:t>
      </w:r>
    </w:p>
    <w:p w:rsidR="00CC0A4A" w:rsidRDefault="00CC0A4A" w:rsidP="0085740F">
      <w:pPr>
        <w:spacing w:line="480" w:lineRule="auto"/>
        <w:rPr>
          <w:rFonts w:ascii="Times New Roman" w:hAnsi="Times New Roman" w:cs="Times New Roman"/>
          <w:b/>
          <w:sz w:val="24"/>
          <w:szCs w:val="24"/>
        </w:rPr>
      </w:pPr>
    </w:p>
    <w:p w:rsidR="00CC0A4A" w:rsidRPr="00CC0A4A" w:rsidRDefault="00CC0A4A" w:rsidP="00CC0A4A">
      <w:pPr>
        <w:pStyle w:val="EndNoteBibliography"/>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ADDIN EN.REFLIST </w:instrText>
      </w:r>
      <w:r>
        <w:rPr>
          <w:rFonts w:ascii="Times New Roman" w:hAnsi="Times New Roman" w:cs="Times New Roman"/>
          <w:b/>
          <w:sz w:val="24"/>
          <w:szCs w:val="24"/>
        </w:rPr>
        <w:fldChar w:fldCharType="separate"/>
      </w:r>
      <w:r w:rsidRPr="00CC0A4A">
        <w:t>1.</w:t>
      </w:r>
      <w:r w:rsidRPr="00CC0A4A">
        <w:tab/>
        <w:t>Marmot M. Inequalities in health. New England Journal of Medicine. 2001;345(2):134-5.</w:t>
      </w:r>
    </w:p>
    <w:p w:rsidR="00CC0A4A" w:rsidRPr="00CC0A4A" w:rsidRDefault="00CC0A4A" w:rsidP="00CC0A4A">
      <w:pPr>
        <w:pStyle w:val="EndNoteBibliography"/>
      </w:pPr>
      <w:r w:rsidRPr="00CC0A4A">
        <w:t>2.</w:t>
      </w:r>
      <w:r w:rsidRPr="00CC0A4A">
        <w:tab/>
        <w:t>van Raalte AA, Kunst AE, Deboosere P, Leinsalu M, Lundberg O, Martikainen P, et al. More variation in lifespan in lower educated groups: evidence from 10 European countries. International Journal of Epidemiology. 2011:dyr146.</w:t>
      </w:r>
    </w:p>
    <w:p w:rsidR="00CC0A4A" w:rsidRPr="00CC0A4A" w:rsidRDefault="00CC0A4A" w:rsidP="00CC0A4A">
      <w:pPr>
        <w:pStyle w:val="EndNoteBibliography"/>
      </w:pPr>
      <w:r w:rsidRPr="00CC0A4A">
        <w:t>3.</w:t>
      </w:r>
      <w:r w:rsidRPr="00CC0A4A">
        <w:tab/>
        <w:t>Canudas-Romo V, García-Guerrero VM, Echarri-Cánovas CJ. The stagnation of the Mexican male life expectancy in the first decade of the 21st century: the impact of homicides and diabetes mellitus. J Epidemiol Community Health. 2015;69(1):28-34.</w:t>
      </w:r>
    </w:p>
    <w:p w:rsidR="00CC0A4A" w:rsidRPr="00CC0A4A" w:rsidRDefault="00CC0A4A" w:rsidP="00CC0A4A">
      <w:pPr>
        <w:pStyle w:val="EndNoteBibliography"/>
      </w:pPr>
      <w:r w:rsidRPr="00CC0A4A">
        <w:t>4.</w:t>
      </w:r>
      <w:r w:rsidRPr="00CC0A4A">
        <w:tab/>
        <w:t>Gamlin J. Violence and homicide in Mexico: a global health issue. The Lancet. 2015;385(9968):605-6.</w:t>
      </w:r>
    </w:p>
    <w:p w:rsidR="00CC0A4A" w:rsidRPr="00CC0A4A" w:rsidRDefault="00CC0A4A" w:rsidP="00CC0A4A">
      <w:pPr>
        <w:pStyle w:val="EndNoteBibliography"/>
      </w:pPr>
      <w:r w:rsidRPr="00CC0A4A">
        <w:t>5.</w:t>
      </w:r>
      <w:r w:rsidRPr="00CC0A4A">
        <w:tab/>
        <w:t>Canudas-Romo V, Aburto JM, García-Guerrero VM, Beltrán-Sánchez H. Mexico's epidemic of violence and its public health significance on average length of life. Journal of epidemiology and community health. 2017;71(2):188-93.</w:t>
      </w:r>
    </w:p>
    <w:p w:rsidR="00CC0A4A" w:rsidRPr="00CC0A4A" w:rsidRDefault="00CC0A4A" w:rsidP="00CC0A4A">
      <w:pPr>
        <w:pStyle w:val="EndNoteBibliography"/>
      </w:pPr>
      <w:r w:rsidRPr="00CC0A4A">
        <w:t>6.</w:t>
      </w:r>
      <w:r w:rsidRPr="00CC0A4A">
        <w:tab/>
        <w:t>Aburto JM, Beltrán-Sánchez H, García-Guerrero VM, Canudas-Romo V. Homicides in Mexico reversed life expectancy gains for men and slowed them for women, 2000–10. Health Affairs. 2016;35(1):88-95.</w:t>
      </w:r>
    </w:p>
    <w:p w:rsidR="00CC0A4A" w:rsidRPr="00CC0A4A" w:rsidRDefault="00CC0A4A" w:rsidP="00CC0A4A">
      <w:pPr>
        <w:pStyle w:val="EndNoteBibliography"/>
      </w:pPr>
      <w:r w:rsidRPr="00CC0A4A">
        <w:t>7.</w:t>
      </w:r>
      <w:r w:rsidRPr="00CC0A4A">
        <w:tab/>
        <w:t>Colchero F, Rau R, Jones OR, Barthold JA, Conde DA, Lenart A, et al. The emergence of longevous populations. Proceedings of the National Academy of Sciences. 2016.</w:t>
      </w:r>
    </w:p>
    <w:p w:rsidR="00CC0A4A" w:rsidRPr="00CC0A4A" w:rsidRDefault="00CC0A4A" w:rsidP="00CC0A4A">
      <w:pPr>
        <w:pStyle w:val="EndNoteBibliography"/>
      </w:pPr>
      <w:r w:rsidRPr="00CC0A4A">
        <w:t>8.</w:t>
      </w:r>
      <w:r w:rsidRPr="00CC0A4A">
        <w:tab/>
        <w:t xml:space="preserve">INEGI. National Institute of Statistics: Micro-data files on mortality data 1995-2015 2017 [Available from: </w:t>
      </w:r>
      <w:hyperlink r:id="rId9" w:history="1">
        <w:r w:rsidRPr="00CC0A4A">
          <w:rPr>
            <w:rStyle w:val="Hyperlink"/>
          </w:rPr>
          <w:t>http://www.beta.inegi.org.mx/proyectos/registros/vitales/mortalidad/default.html</w:t>
        </w:r>
      </w:hyperlink>
      <w:r w:rsidRPr="00CC0A4A">
        <w:t>.</w:t>
      </w:r>
    </w:p>
    <w:p w:rsidR="00CC0A4A" w:rsidRPr="00CC0A4A" w:rsidRDefault="00CC0A4A" w:rsidP="00CC0A4A">
      <w:pPr>
        <w:pStyle w:val="EndNoteBibliography"/>
      </w:pPr>
      <w:r w:rsidRPr="00CC0A4A">
        <w:t>9.</w:t>
      </w:r>
      <w:r w:rsidRPr="00CC0A4A">
        <w:tab/>
        <w:t xml:space="preserve">CONAPO. Mexican Population Council: Population estimates. 2017 [Available from: </w:t>
      </w:r>
      <w:hyperlink r:id="rId10" w:history="1">
        <w:r w:rsidRPr="00CC0A4A">
          <w:rPr>
            <w:rStyle w:val="Hyperlink"/>
          </w:rPr>
          <w:t>https://datos.gob.mx/busca/dataset/activity/proyecciones-de-la-poblacion-de-mexico</w:t>
        </w:r>
      </w:hyperlink>
      <w:r w:rsidRPr="00CC0A4A">
        <w:t>.</w:t>
      </w:r>
    </w:p>
    <w:p w:rsidR="00CC0A4A" w:rsidRPr="00CC0A4A" w:rsidRDefault="00CC0A4A" w:rsidP="00CC0A4A">
      <w:pPr>
        <w:pStyle w:val="EndNoteBibliography"/>
      </w:pPr>
      <w:r w:rsidRPr="00CC0A4A">
        <w:t>10.</w:t>
      </w:r>
      <w:r w:rsidRPr="00CC0A4A">
        <w:tab/>
        <w:t>Aburto JM, Riffe T, Canudas-Romo V. Stagnation, deterioration abd disparities on adulthood survival in Mexican states, 1990-2015. 2017.</w:t>
      </w:r>
    </w:p>
    <w:p w:rsidR="00CC0A4A" w:rsidRPr="00CC0A4A" w:rsidRDefault="00CC0A4A" w:rsidP="00CC0A4A">
      <w:pPr>
        <w:pStyle w:val="EndNoteBibliography"/>
      </w:pPr>
      <w:r w:rsidRPr="00CC0A4A">
        <w:t>11.</w:t>
      </w:r>
      <w:r w:rsidRPr="00CC0A4A">
        <w:tab/>
        <w:t>van Raalte AA, Caswell H. Perturbation analysis of indices of lifespan variability. Demography. 2013;50(5):1615-40.</w:t>
      </w:r>
    </w:p>
    <w:p w:rsidR="00CC0A4A" w:rsidRPr="00CC0A4A" w:rsidRDefault="00CC0A4A" w:rsidP="00CC0A4A">
      <w:pPr>
        <w:pStyle w:val="EndNoteBibliography"/>
      </w:pPr>
      <w:r w:rsidRPr="00CC0A4A">
        <w:t>12.</w:t>
      </w:r>
      <w:r w:rsidRPr="00CC0A4A">
        <w:tab/>
        <w:t>Vaupel JW, Canudas-Romo V. Decomposing change in life expectancy: A bouquet of formulas in honor of Nathan Keyfitz’s 90th birthday. Demography. 2003;40(2):201-16.</w:t>
      </w:r>
    </w:p>
    <w:p w:rsidR="00CC0A4A" w:rsidRPr="00CC0A4A" w:rsidRDefault="00CC0A4A" w:rsidP="00CC0A4A">
      <w:pPr>
        <w:pStyle w:val="EndNoteBibliography"/>
      </w:pPr>
      <w:r w:rsidRPr="00CC0A4A">
        <w:t>13.</w:t>
      </w:r>
      <w:r w:rsidRPr="00CC0A4A">
        <w:tab/>
        <w:t>Vaupel JW, Zhang Z, van Raalte AA. Life expectancy and disparity: an international comparison of life table data. BMJ open. 2011;1(1):e000128.</w:t>
      </w:r>
    </w:p>
    <w:p w:rsidR="00CC0A4A" w:rsidRPr="00CC0A4A" w:rsidRDefault="00CC0A4A" w:rsidP="00CC0A4A">
      <w:pPr>
        <w:pStyle w:val="EndNoteBibliography"/>
      </w:pPr>
      <w:r w:rsidRPr="00CC0A4A">
        <w:lastRenderedPageBreak/>
        <w:t>14.</w:t>
      </w:r>
      <w:r w:rsidRPr="00CC0A4A">
        <w:tab/>
        <w:t>Shkolnikov VM, Andreev EM, Zhang Z, Oeppen J, Vaupel JW. Losses of expected lifetime in the United States and other developed countries: methods and empirical analyses. Demography. 2011;48(1):211-39.</w:t>
      </w:r>
    </w:p>
    <w:p w:rsidR="00CC0A4A" w:rsidRPr="00CC0A4A" w:rsidRDefault="00CC0A4A" w:rsidP="00CC0A4A">
      <w:pPr>
        <w:pStyle w:val="EndNoteBibliography"/>
      </w:pPr>
      <w:r w:rsidRPr="00CC0A4A">
        <w:t>15.</w:t>
      </w:r>
      <w:r w:rsidRPr="00CC0A4A">
        <w:tab/>
        <w:t>Zhang Z, Vaupel JW. The age separating early deaths from late deaths. Demographic Research. 2009;20(29):721-30.</w:t>
      </w:r>
    </w:p>
    <w:p w:rsidR="00CC0A4A" w:rsidRPr="00CC0A4A" w:rsidRDefault="00CC0A4A" w:rsidP="00CC0A4A">
      <w:pPr>
        <w:pStyle w:val="EndNoteBibliography"/>
      </w:pPr>
      <w:r w:rsidRPr="00CC0A4A">
        <w:t>16.</w:t>
      </w:r>
      <w:r w:rsidRPr="00CC0A4A">
        <w:tab/>
        <w:t>Camarda CG. MortalitySmooth: An \textttR Package for Smoothing Poisson Counts with $P$-Splines. Journal of Statistical Software. 2012;50:1-24.</w:t>
      </w:r>
    </w:p>
    <w:p w:rsidR="00CC0A4A" w:rsidRPr="00CC0A4A" w:rsidRDefault="00CC0A4A" w:rsidP="00CC0A4A">
      <w:pPr>
        <w:pStyle w:val="EndNoteBibliography"/>
      </w:pPr>
      <w:r w:rsidRPr="00CC0A4A">
        <w:t>17.</w:t>
      </w:r>
      <w:r w:rsidRPr="00CC0A4A">
        <w:tab/>
        <w:t>Preston SH, Heuveline P, Guillot M. Demography. Measuring and Modeling Population Processes: Blackwell; 2001.</w:t>
      </w:r>
    </w:p>
    <w:p w:rsidR="00CC0A4A" w:rsidRPr="00CC0A4A" w:rsidRDefault="00CC0A4A" w:rsidP="00CC0A4A">
      <w:pPr>
        <w:pStyle w:val="EndNoteBibliography"/>
      </w:pPr>
      <w:r w:rsidRPr="00CC0A4A">
        <w:t>18.</w:t>
      </w:r>
      <w:r w:rsidRPr="00CC0A4A">
        <w:tab/>
        <w:t>Horiuchi S, Wilmoth JR, Pletcher SD. A decomposition method based on a model of continuous change. Demography. 2008;45(4):785-801.</w:t>
      </w:r>
    </w:p>
    <w:p w:rsidR="00B62339" w:rsidRPr="00885DB7" w:rsidRDefault="00CC0A4A" w:rsidP="0085740F">
      <w:pPr>
        <w:spacing w:line="480" w:lineRule="auto"/>
        <w:rPr>
          <w:rFonts w:ascii="Times New Roman" w:hAnsi="Times New Roman" w:cs="Times New Roman"/>
          <w:b/>
          <w:sz w:val="24"/>
          <w:szCs w:val="24"/>
        </w:rPr>
      </w:pPr>
      <w:r>
        <w:rPr>
          <w:rFonts w:ascii="Times New Roman" w:hAnsi="Times New Roman" w:cs="Times New Roman"/>
          <w:b/>
          <w:sz w:val="24"/>
          <w:szCs w:val="24"/>
        </w:rPr>
        <w:fldChar w:fldCharType="end"/>
      </w:r>
    </w:p>
    <w:sectPr w:rsidR="00B62339" w:rsidRPr="00885DB7" w:rsidSect="00D91C5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471" w:rsidRDefault="00954471" w:rsidP="008626B5">
      <w:r>
        <w:separator/>
      </w:r>
    </w:p>
  </w:endnote>
  <w:endnote w:type="continuationSeparator" w:id="0">
    <w:p w:rsidR="00954471" w:rsidRDefault="00954471"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rsidR="002E059C" w:rsidRDefault="002E059C">
        <w:pPr>
          <w:pStyle w:val="Footer"/>
          <w:jc w:val="right"/>
        </w:pPr>
        <w:r>
          <w:fldChar w:fldCharType="begin"/>
        </w:r>
        <w:r>
          <w:instrText xml:space="preserve"> PAGE   \* MERGEFORMAT </w:instrText>
        </w:r>
        <w:r>
          <w:fldChar w:fldCharType="separate"/>
        </w:r>
        <w:r w:rsidR="007773CB">
          <w:rPr>
            <w:noProof/>
          </w:rPr>
          <w:t>7</w:t>
        </w:r>
        <w:r>
          <w:rPr>
            <w:noProof/>
          </w:rPr>
          <w:fldChar w:fldCharType="end"/>
        </w:r>
      </w:p>
    </w:sdtContent>
  </w:sdt>
  <w:p w:rsidR="002E059C" w:rsidRDefault="002E0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471" w:rsidRDefault="00954471" w:rsidP="008626B5">
      <w:r>
        <w:separator/>
      </w:r>
    </w:p>
  </w:footnote>
  <w:footnote w:type="continuationSeparator" w:id="0">
    <w:p w:rsidR="00954471" w:rsidRDefault="00954471"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rsidR="00590148" w:rsidRPr="00991CA3" w:rsidRDefault="007773CB" w:rsidP="008626B5">
        <w:pPr>
          <w:pStyle w:val="Header"/>
          <w:rPr>
            <w:lang w:val="es-MX"/>
          </w:rPr>
        </w:pPr>
        <w:r>
          <w:rPr>
            <w:lang w:val="es-MX"/>
          </w:rPr>
          <w:t>Aburto, Beltrán-Sánchez</w:t>
        </w:r>
        <w:r w:rsidR="00A4414C" w:rsidRPr="00A4414C">
          <w:rPr>
            <w:lang w:val="es-MX"/>
          </w:rPr>
          <w:t xml:space="preserve"> &amp; Valdivia-Correa</w:t>
        </w:r>
        <w:r>
          <w:rPr>
            <w:lang w:val="es-MX"/>
          </w:rPr>
          <w:t xml:space="preserve">, </w:t>
        </w:r>
        <w:proofErr w:type="spellStart"/>
        <w:r w:rsidR="00590148">
          <w:rPr>
            <w:lang w:val="es-MX"/>
          </w:rPr>
          <w:t>Lifespan</w:t>
        </w:r>
        <w:proofErr w:type="spellEnd"/>
        <w:r w:rsidR="00590148">
          <w:rPr>
            <w:lang w:val="es-MX"/>
          </w:rPr>
          <w:t xml:space="preserve"> </w:t>
        </w:r>
        <w:proofErr w:type="spellStart"/>
        <w:r w:rsidR="00590148" w:rsidRPr="002E059C">
          <w:rPr>
            <w:lang w:val="es-MX"/>
          </w:rPr>
          <w:t>variation</w:t>
        </w:r>
        <w:proofErr w:type="spellEnd"/>
        <w:r w:rsidR="00590148">
          <w:rPr>
            <w:lang w:val="es-MX"/>
          </w:rPr>
          <w:t xml:space="preserve"> in </w:t>
        </w:r>
        <w:proofErr w:type="spellStart"/>
        <w:r w:rsidR="00590148" w:rsidRPr="002E059C">
          <w:rPr>
            <w:lang w:val="es-MX"/>
          </w:rPr>
          <w:t>Mexico</w:t>
        </w:r>
        <w:proofErr w:type="spellEnd"/>
        <w:r w:rsidR="002E059C" w:rsidRPr="002E059C">
          <w:rPr>
            <w:lang w:val="es-MX"/>
          </w:rPr>
          <w:t xml:space="preserve"> </w:t>
        </w:r>
      </w:p>
    </w:sdtContent>
  </w:sdt>
  <w:p w:rsidR="00590148" w:rsidRPr="00991CA3" w:rsidRDefault="00590148">
    <w:pPr>
      <w:pStyle w:val="Head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9&lt;/item&gt;&lt;item&gt;22&lt;/item&gt;&lt;item&gt;23&lt;/item&gt;&lt;item&gt;29&lt;/item&gt;&lt;item&gt;69&lt;/item&gt;&lt;item&gt;81&lt;/item&gt;&lt;item&gt;88&lt;/item&gt;&lt;item&gt;89&lt;/item&gt;&lt;item&gt;90&lt;/item&gt;&lt;item&gt;91&lt;/item&gt;&lt;item&gt;92&lt;/item&gt;&lt;item&gt;93&lt;/item&gt;&lt;item&gt;94&lt;/item&gt;&lt;item&gt;95&lt;/item&gt;&lt;/record-ids&gt;&lt;/item&gt;&lt;/Libraries&gt;"/>
  </w:docVars>
  <w:rsids>
    <w:rsidRoot w:val="00897FA5"/>
    <w:rsid w:val="0000056F"/>
    <w:rsid w:val="000133A2"/>
    <w:rsid w:val="000140A4"/>
    <w:rsid w:val="00023253"/>
    <w:rsid w:val="00024C0A"/>
    <w:rsid w:val="00034D1D"/>
    <w:rsid w:val="00035F7D"/>
    <w:rsid w:val="00053A64"/>
    <w:rsid w:val="00057052"/>
    <w:rsid w:val="000610F5"/>
    <w:rsid w:val="000623C6"/>
    <w:rsid w:val="000652F3"/>
    <w:rsid w:val="0007098C"/>
    <w:rsid w:val="00070F33"/>
    <w:rsid w:val="0007160B"/>
    <w:rsid w:val="000751FF"/>
    <w:rsid w:val="00093F2C"/>
    <w:rsid w:val="00096021"/>
    <w:rsid w:val="0009676B"/>
    <w:rsid w:val="000976B1"/>
    <w:rsid w:val="000A2B79"/>
    <w:rsid w:val="000A7C70"/>
    <w:rsid w:val="000B1F3F"/>
    <w:rsid w:val="000B29F0"/>
    <w:rsid w:val="000B5931"/>
    <w:rsid w:val="000C7752"/>
    <w:rsid w:val="000D4103"/>
    <w:rsid w:val="000D6E25"/>
    <w:rsid w:val="000E1409"/>
    <w:rsid w:val="000E348B"/>
    <w:rsid w:val="000E3B4F"/>
    <w:rsid w:val="000E70CE"/>
    <w:rsid w:val="000F3403"/>
    <w:rsid w:val="000F6024"/>
    <w:rsid w:val="000F6E84"/>
    <w:rsid w:val="00102234"/>
    <w:rsid w:val="00102266"/>
    <w:rsid w:val="00103644"/>
    <w:rsid w:val="00114117"/>
    <w:rsid w:val="001154AB"/>
    <w:rsid w:val="00115CC5"/>
    <w:rsid w:val="0013165F"/>
    <w:rsid w:val="00133EFE"/>
    <w:rsid w:val="00147C2A"/>
    <w:rsid w:val="001520C4"/>
    <w:rsid w:val="001815A2"/>
    <w:rsid w:val="00184A14"/>
    <w:rsid w:val="00185EDC"/>
    <w:rsid w:val="00186759"/>
    <w:rsid w:val="00190B5F"/>
    <w:rsid w:val="00196DF0"/>
    <w:rsid w:val="001B4A59"/>
    <w:rsid w:val="001B5964"/>
    <w:rsid w:val="001B5AE5"/>
    <w:rsid w:val="001C18C8"/>
    <w:rsid w:val="001E3927"/>
    <w:rsid w:val="001E562B"/>
    <w:rsid w:val="001E58D9"/>
    <w:rsid w:val="00211E35"/>
    <w:rsid w:val="00212E6B"/>
    <w:rsid w:val="00214128"/>
    <w:rsid w:val="0021479E"/>
    <w:rsid w:val="0022329A"/>
    <w:rsid w:val="00230647"/>
    <w:rsid w:val="0023597C"/>
    <w:rsid w:val="00237F54"/>
    <w:rsid w:val="00241894"/>
    <w:rsid w:val="002463B3"/>
    <w:rsid w:val="00256CCC"/>
    <w:rsid w:val="00267B7B"/>
    <w:rsid w:val="0028674F"/>
    <w:rsid w:val="00292D6F"/>
    <w:rsid w:val="00292DD8"/>
    <w:rsid w:val="00293E5A"/>
    <w:rsid w:val="00294234"/>
    <w:rsid w:val="00296F8E"/>
    <w:rsid w:val="00297BED"/>
    <w:rsid w:val="002A3461"/>
    <w:rsid w:val="002B3A7F"/>
    <w:rsid w:val="002B5CC4"/>
    <w:rsid w:val="002B5E56"/>
    <w:rsid w:val="002B6154"/>
    <w:rsid w:val="002C2018"/>
    <w:rsid w:val="002C5B6D"/>
    <w:rsid w:val="002E059C"/>
    <w:rsid w:val="002E5917"/>
    <w:rsid w:val="002E61E9"/>
    <w:rsid w:val="002F3ACA"/>
    <w:rsid w:val="002F5300"/>
    <w:rsid w:val="00301966"/>
    <w:rsid w:val="00306181"/>
    <w:rsid w:val="00312221"/>
    <w:rsid w:val="00312C8E"/>
    <w:rsid w:val="003145A2"/>
    <w:rsid w:val="00322AB3"/>
    <w:rsid w:val="003269C6"/>
    <w:rsid w:val="00327149"/>
    <w:rsid w:val="003347D9"/>
    <w:rsid w:val="00340C1C"/>
    <w:rsid w:val="00340C80"/>
    <w:rsid w:val="00344ABF"/>
    <w:rsid w:val="0034584C"/>
    <w:rsid w:val="003467D2"/>
    <w:rsid w:val="00346F99"/>
    <w:rsid w:val="0035474E"/>
    <w:rsid w:val="0035669C"/>
    <w:rsid w:val="003576E6"/>
    <w:rsid w:val="00357D2E"/>
    <w:rsid w:val="0036116F"/>
    <w:rsid w:val="00361AF1"/>
    <w:rsid w:val="00374DAD"/>
    <w:rsid w:val="00375441"/>
    <w:rsid w:val="00381F01"/>
    <w:rsid w:val="00382A4A"/>
    <w:rsid w:val="003A0237"/>
    <w:rsid w:val="003A0827"/>
    <w:rsid w:val="003A160D"/>
    <w:rsid w:val="003A7066"/>
    <w:rsid w:val="003B0A16"/>
    <w:rsid w:val="003B54D7"/>
    <w:rsid w:val="003C5029"/>
    <w:rsid w:val="003E1A3A"/>
    <w:rsid w:val="003F41E2"/>
    <w:rsid w:val="00410FFF"/>
    <w:rsid w:val="00413168"/>
    <w:rsid w:val="00414E48"/>
    <w:rsid w:val="00422417"/>
    <w:rsid w:val="00430B3C"/>
    <w:rsid w:val="00432140"/>
    <w:rsid w:val="004404A1"/>
    <w:rsid w:val="00442C84"/>
    <w:rsid w:val="0044355A"/>
    <w:rsid w:val="00444CE0"/>
    <w:rsid w:val="004754A8"/>
    <w:rsid w:val="0047614E"/>
    <w:rsid w:val="00483D85"/>
    <w:rsid w:val="00486FE4"/>
    <w:rsid w:val="004939C9"/>
    <w:rsid w:val="004A4D36"/>
    <w:rsid w:val="004A664C"/>
    <w:rsid w:val="004A763C"/>
    <w:rsid w:val="004C4EA6"/>
    <w:rsid w:val="004D1134"/>
    <w:rsid w:val="004D3C1C"/>
    <w:rsid w:val="004D7A20"/>
    <w:rsid w:val="004E2A3E"/>
    <w:rsid w:val="004F13CE"/>
    <w:rsid w:val="004F3A00"/>
    <w:rsid w:val="004F43B3"/>
    <w:rsid w:val="004F4E17"/>
    <w:rsid w:val="00505200"/>
    <w:rsid w:val="0051024E"/>
    <w:rsid w:val="005127DC"/>
    <w:rsid w:val="00515843"/>
    <w:rsid w:val="00521967"/>
    <w:rsid w:val="00524AC0"/>
    <w:rsid w:val="00525247"/>
    <w:rsid w:val="0053188E"/>
    <w:rsid w:val="0053670C"/>
    <w:rsid w:val="00541E1F"/>
    <w:rsid w:val="005445D9"/>
    <w:rsid w:val="00547C30"/>
    <w:rsid w:val="00561463"/>
    <w:rsid w:val="0056326E"/>
    <w:rsid w:val="00566AA7"/>
    <w:rsid w:val="00571B9F"/>
    <w:rsid w:val="00576B85"/>
    <w:rsid w:val="0057716F"/>
    <w:rsid w:val="00577DFB"/>
    <w:rsid w:val="005821D4"/>
    <w:rsid w:val="00582AFA"/>
    <w:rsid w:val="005841C5"/>
    <w:rsid w:val="005841C8"/>
    <w:rsid w:val="00590148"/>
    <w:rsid w:val="00592485"/>
    <w:rsid w:val="0059737B"/>
    <w:rsid w:val="005B02EC"/>
    <w:rsid w:val="005B3F32"/>
    <w:rsid w:val="005B45D9"/>
    <w:rsid w:val="005B5B35"/>
    <w:rsid w:val="005C775B"/>
    <w:rsid w:val="005C78C1"/>
    <w:rsid w:val="005C7E5B"/>
    <w:rsid w:val="005D1509"/>
    <w:rsid w:val="005D68A9"/>
    <w:rsid w:val="005E0526"/>
    <w:rsid w:val="005E392D"/>
    <w:rsid w:val="005E4AC8"/>
    <w:rsid w:val="005F2A5A"/>
    <w:rsid w:val="005F7F34"/>
    <w:rsid w:val="006158DC"/>
    <w:rsid w:val="006218DF"/>
    <w:rsid w:val="00623083"/>
    <w:rsid w:val="00624AC6"/>
    <w:rsid w:val="006343C1"/>
    <w:rsid w:val="00637015"/>
    <w:rsid w:val="00637863"/>
    <w:rsid w:val="0065150E"/>
    <w:rsid w:val="006556AD"/>
    <w:rsid w:val="00657D87"/>
    <w:rsid w:val="00660553"/>
    <w:rsid w:val="00664278"/>
    <w:rsid w:val="00673358"/>
    <w:rsid w:val="006763A3"/>
    <w:rsid w:val="00680D32"/>
    <w:rsid w:val="006825DF"/>
    <w:rsid w:val="0069185B"/>
    <w:rsid w:val="00695911"/>
    <w:rsid w:val="006A1BDD"/>
    <w:rsid w:val="006A67ED"/>
    <w:rsid w:val="006B646A"/>
    <w:rsid w:val="006C0220"/>
    <w:rsid w:val="006C0332"/>
    <w:rsid w:val="006D27D1"/>
    <w:rsid w:val="006D4C44"/>
    <w:rsid w:val="006D63B1"/>
    <w:rsid w:val="006D7692"/>
    <w:rsid w:val="006E5308"/>
    <w:rsid w:val="006F2D06"/>
    <w:rsid w:val="006F31FB"/>
    <w:rsid w:val="00701C71"/>
    <w:rsid w:val="007021A3"/>
    <w:rsid w:val="00703EDC"/>
    <w:rsid w:val="00706116"/>
    <w:rsid w:val="007142DA"/>
    <w:rsid w:val="00714651"/>
    <w:rsid w:val="00721BA4"/>
    <w:rsid w:val="00724004"/>
    <w:rsid w:val="007307BC"/>
    <w:rsid w:val="007362CE"/>
    <w:rsid w:val="00736F9C"/>
    <w:rsid w:val="007451A0"/>
    <w:rsid w:val="007470E0"/>
    <w:rsid w:val="0075108C"/>
    <w:rsid w:val="00756D74"/>
    <w:rsid w:val="00760823"/>
    <w:rsid w:val="0076399E"/>
    <w:rsid w:val="007640CF"/>
    <w:rsid w:val="0077105C"/>
    <w:rsid w:val="00774C06"/>
    <w:rsid w:val="00776629"/>
    <w:rsid w:val="007773CB"/>
    <w:rsid w:val="0077758E"/>
    <w:rsid w:val="00781EA2"/>
    <w:rsid w:val="0079067C"/>
    <w:rsid w:val="00797EDD"/>
    <w:rsid w:val="007A35CE"/>
    <w:rsid w:val="007A6233"/>
    <w:rsid w:val="007B18DA"/>
    <w:rsid w:val="007B1A04"/>
    <w:rsid w:val="007B5189"/>
    <w:rsid w:val="007C0507"/>
    <w:rsid w:val="007C17E2"/>
    <w:rsid w:val="007C4A1C"/>
    <w:rsid w:val="007C54A1"/>
    <w:rsid w:val="007D1DA6"/>
    <w:rsid w:val="007D4970"/>
    <w:rsid w:val="007E2FAE"/>
    <w:rsid w:val="007E7562"/>
    <w:rsid w:val="007F36D4"/>
    <w:rsid w:val="007F3CD3"/>
    <w:rsid w:val="007F4E3F"/>
    <w:rsid w:val="00800EDF"/>
    <w:rsid w:val="00802F99"/>
    <w:rsid w:val="00813155"/>
    <w:rsid w:val="008143C4"/>
    <w:rsid w:val="00814E48"/>
    <w:rsid w:val="0082005B"/>
    <w:rsid w:val="00823A5D"/>
    <w:rsid w:val="00825E78"/>
    <w:rsid w:val="00831DA6"/>
    <w:rsid w:val="00841CDF"/>
    <w:rsid w:val="00852D81"/>
    <w:rsid w:val="00855DAF"/>
    <w:rsid w:val="0085740F"/>
    <w:rsid w:val="008626B5"/>
    <w:rsid w:val="008818A6"/>
    <w:rsid w:val="00885957"/>
    <w:rsid w:val="00885DB7"/>
    <w:rsid w:val="00897FA5"/>
    <w:rsid w:val="008A1093"/>
    <w:rsid w:val="008A175B"/>
    <w:rsid w:val="008A35B4"/>
    <w:rsid w:val="008A443A"/>
    <w:rsid w:val="008B1ED9"/>
    <w:rsid w:val="008B35B9"/>
    <w:rsid w:val="008B5B0F"/>
    <w:rsid w:val="008C2CFB"/>
    <w:rsid w:val="008C5F7F"/>
    <w:rsid w:val="008D6171"/>
    <w:rsid w:val="008D6987"/>
    <w:rsid w:val="008E345E"/>
    <w:rsid w:val="008E4345"/>
    <w:rsid w:val="008E5FAB"/>
    <w:rsid w:val="008E6DD5"/>
    <w:rsid w:val="008F6120"/>
    <w:rsid w:val="008F67A1"/>
    <w:rsid w:val="00900AEB"/>
    <w:rsid w:val="00901147"/>
    <w:rsid w:val="00926C45"/>
    <w:rsid w:val="00930804"/>
    <w:rsid w:val="00941996"/>
    <w:rsid w:val="00954471"/>
    <w:rsid w:val="00955939"/>
    <w:rsid w:val="00970888"/>
    <w:rsid w:val="00974ACD"/>
    <w:rsid w:val="00976EDA"/>
    <w:rsid w:val="0098075F"/>
    <w:rsid w:val="00981027"/>
    <w:rsid w:val="00983394"/>
    <w:rsid w:val="0098561F"/>
    <w:rsid w:val="00987F65"/>
    <w:rsid w:val="00990BFC"/>
    <w:rsid w:val="00991CA3"/>
    <w:rsid w:val="0099251E"/>
    <w:rsid w:val="009967BC"/>
    <w:rsid w:val="009971ED"/>
    <w:rsid w:val="00997FE3"/>
    <w:rsid w:val="009A35CA"/>
    <w:rsid w:val="009B402C"/>
    <w:rsid w:val="009B72AE"/>
    <w:rsid w:val="009D4EE9"/>
    <w:rsid w:val="009D5CF0"/>
    <w:rsid w:val="009E4F13"/>
    <w:rsid w:val="009E6414"/>
    <w:rsid w:val="009E791B"/>
    <w:rsid w:val="00A122F8"/>
    <w:rsid w:val="00A16BDF"/>
    <w:rsid w:val="00A25E77"/>
    <w:rsid w:val="00A309BD"/>
    <w:rsid w:val="00A34284"/>
    <w:rsid w:val="00A4414C"/>
    <w:rsid w:val="00A47DA0"/>
    <w:rsid w:val="00A51624"/>
    <w:rsid w:val="00A519CD"/>
    <w:rsid w:val="00A60E9F"/>
    <w:rsid w:val="00A67AA2"/>
    <w:rsid w:val="00A72E0F"/>
    <w:rsid w:val="00A76246"/>
    <w:rsid w:val="00A82186"/>
    <w:rsid w:val="00A830E0"/>
    <w:rsid w:val="00A85929"/>
    <w:rsid w:val="00A86A02"/>
    <w:rsid w:val="00A91859"/>
    <w:rsid w:val="00AA63FC"/>
    <w:rsid w:val="00AD66A7"/>
    <w:rsid w:val="00AD6EB1"/>
    <w:rsid w:val="00AD79ED"/>
    <w:rsid w:val="00AF5790"/>
    <w:rsid w:val="00AF7B1D"/>
    <w:rsid w:val="00B03219"/>
    <w:rsid w:val="00B03D12"/>
    <w:rsid w:val="00B041F0"/>
    <w:rsid w:val="00B04450"/>
    <w:rsid w:val="00B0457F"/>
    <w:rsid w:val="00B0490E"/>
    <w:rsid w:val="00B12350"/>
    <w:rsid w:val="00B25ECB"/>
    <w:rsid w:val="00B2783C"/>
    <w:rsid w:val="00B347B2"/>
    <w:rsid w:val="00B37C3E"/>
    <w:rsid w:val="00B4142C"/>
    <w:rsid w:val="00B421AB"/>
    <w:rsid w:val="00B44767"/>
    <w:rsid w:val="00B516BA"/>
    <w:rsid w:val="00B62339"/>
    <w:rsid w:val="00B62851"/>
    <w:rsid w:val="00B6532B"/>
    <w:rsid w:val="00B70301"/>
    <w:rsid w:val="00B73C4D"/>
    <w:rsid w:val="00B87A2F"/>
    <w:rsid w:val="00B94BE0"/>
    <w:rsid w:val="00B97962"/>
    <w:rsid w:val="00B97C33"/>
    <w:rsid w:val="00BA1202"/>
    <w:rsid w:val="00BA1A73"/>
    <w:rsid w:val="00BB099E"/>
    <w:rsid w:val="00BB58A7"/>
    <w:rsid w:val="00BB58FA"/>
    <w:rsid w:val="00BC188E"/>
    <w:rsid w:val="00BD0F15"/>
    <w:rsid w:val="00BD4760"/>
    <w:rsid w:val="00BE15C0"/>
    <w:rsid w:val="00BE2458"/>
    <w:rsid w:val="00BE3082"/>
    <w:rsid w:val="00BE5969"/>
    <w:rsid w:val="00BE6467"/>
    <w:rsid w:val="00BF0DD1"/>
    <w:rsid w:val="00C108E9"/>
    <w:rsid w:val="00C175CE"/>
    <w:rsid w:val="00C24065"/>
    <w:rsid w:val="00C3613E"/>
    <w:rsid w:val="00C36397"/>
    <w:rsid w:val="00C3799B"/>
    <w:rsid w:val="00C44080"/>
    <w:rsid w:val="00C458A5"/>
    <w:rsid w:val="00C535AE"/>
    <w:rsid w:val="00C5680A"/>
    <w:rsid w:val="00C66D21"/>
    <w:rsid w:val="00C722C6"/>
    <w:rsid w:val="00C8691D"/>
    <w:rsid w:val="00C97F41"/>
    <w:rsid w:val="00CA198F"/>
    <w:rsid w:val="00CA1BC0"/>
    <w:rsid w:val="00CA7710"/>
    <w:rsid w:val="00CB04CC"/>
    <w:rsid w:val="00CB2F9A"/>
    <w:rsid w:val="00CB3B37"/>
    <w:rsid w:val="00CC0A4A"/>
    <w:rsid w:val="00CC31CF"/>
    <w:rsid w:val="00CC43E7"/>
    <w:rsid w:val="00CC5927"/>
    <w:rsid w:val="00CC59F4"/>
    <w:rsid w:val="00CD1E0C"/>
    <w:rsid w:val="00CE14DA"/>
    <w:rsid w:val="00CE1553"/>
    <w:rsid w:val="00CE2949"/>
    <w:rsid w:val="00CE41BF"/>
    <w:rsid w:val="00CE6001"/>
    <w:rsid w:val="00CE7213"/>
    <w:rsid w:val="00CE7FCB"/>
    <w:rsid w:val="00CE7FF5"/>
    <w:rsid w:val="00CF1697"/>
    <w:rsid w:val="00CF24C5"/>
    <w:rsid w:val="00CF4C73"/>
    <w:rsid w:val="00D013FD"/>
    <w:rsid w:val="00D02A5C"/>
    <w:rsid w:val="00D0478C"/>
    <w:rsid w:val="00D2173D"/>
    <w:rsid w:val="00D34ACD"/>
    <w:rsid w:val="00D3712D"/>
    <w:rsid w:val="00D4032F"/>
    <w:rsid w:val="00D43270"/>
    <w:rsid w:val="00D461FC"/>
    <w:rsid w:val="00D53A0F"/>
    <w:rsid w:val="00D55053"/>
    <w:rsid w:val="00D557AA"/>
    <w:rsid w:val="00D557F4"/>
    <w:rsid w:val="00D57231"/>
    <w:rsid w:val="00D637C5"/>
    <w:rsid w:val="00D6429C"/>
    <w:rsid w:val="00D733CE"/>
    <w:rsid w:val="00D73619"/>
    <w:rsid w:val="00D8183C"/>
    <w:rsid w:val="00D823B0"/>
    <w:rsid w:val="00D84AE2"/>
    <w:rsid w:val="00D90ECA"/>
    <w:rsid w:val="00D917FF"/>
    <w:rsid w:val="00D91C57"/>
    <w:rsid w:val="00DA09EC"/>
    <w:rsid w:val="00DB1E25"/>
    <w:rsid w:val="00DB5614"/>
    <w:rsid w:val="00DC1F34"/>
    <w:rsid w:val="00DC4AB2"/>
    <w:rsid w:val="00DC6E30"/>
    <w:rsid w:val="00DF3CA7"/>
    <w:rsid w:val="00E10F2E"/>
    <w:rsid w:val="00E22012"/>
    <w:rsid w:val="00E32FC8"/>
    <w:rsid w:val="00E34DC0"/>
    <w:rsid w:val="00E360C2"/>
    <w:rsid w:val="00E54FCA"/>
    <w:rsid w:val="00E67EAE"/>
    <w:rsid w:val="00E70C29"/>
    <w:rsid w:val="00E70CB2"/>
    <w:rsid w:val="00E77D66"/>
    <w:rsid w:val="00E816C3"/>
    <w:rsid w:val="00E83AB5"/>
    <w:rsid w:val="00E83D54"/>
    <w:rsid w:val="00E855E0"/>
    <w:rsid w:val="00E91351"/>
    <w:rsid w:val="00E943AC"/>
    <w:rsid w:val="00EA4EB0"/>
    <w:rsid w:val="00EA65B4"/>
    <w:rsid w:val="00EB0090"/>
    <w:rsid w:val="00EB1435"/>
    <w:rsid w:val="00EB25AE"/>
    <w:rsid w:val="00EB5AAE"/>
    <w:rsid w:val="00ED10EE"/>
    <w:rsid w:val="00ED5363"/>
    <w:rsid w:val="00ED6F62"/>
    <w:rsid w:val="00EE60B6"/>
    <w:rsid w:val="00EF3E82"/>
    <w:rsid w:val="00EF6D66"/>
    <w:rsid w:val="00F01698"/>
    <w:rsid w:val="00F03ADE"/>
    <w:rsid w:val="00F04F11"/>
    <w:rsid w:val="00F129F8"/>
    <w:rsid w:val="00F17DF1"/>
    <w:rsid w:val="00F2459F"/>
    <w:rsid w:val="00F25F63"/>
    <w:rsid w:val="00F26C7F"/>
    <w:rsid w:val="00F51F22"/>
    <w:rsid w:val="00F57059"/>
    <w:rsid w:val="00F64CC0"/>
    <w:rsid w:val="00F66652"/>
    <w:rsid w:val="00F72DF8"/>
    <w:rsid w:val="00F7503A"/>
    <w:rsid w:val="00F77B3E"/>
    <w:rsid w:val="00F80187"/>
    <w:rsid w:val="00F827F9"/>
    <w:rsid w:val="00F847B3"/>
    <w:rsid w:val="00F8569E"/>
    <w:rsid w:val="00F93E3B"/>
    <w:rsid w:val="00F97CB1"/>
    <w:rsid w:val="00FA2BAD"/>
    <w:rsid w:val="00FB44D9"/>
    <w:rsid w:val="00FB705E"/>
    <w:rsid w:val="00FB7DB3"/>
    <w:rsid w:val="00FC6D85"/>
    <w:rsid w:val="00FD0062"/>
    <w:rsid w:val="00FD0196"/>
    <w:rsid w:val="00FE120C"/>
    <w:rsid w:val="00FE468B"/>
    <w:rsid w:val="00FE6BB4"/>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61911"/>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styleId="Mention">
    <w:name w:val="Mention"/>
    <w:basedOn w:val="DefaultParagraphFont"/>
    <w:uiPriority w:val="99"/>
    <w:semiHidden/>
    <w:unhideWhenUsed/>
    <w:rsid w:val="00CC0A4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atos.gob.mx/busca/dataset/activity/proyecciones-de-la-poblacion-de-mexico" TargetMode="External"/><Relationship Id="rId4" Type="http://schemas.openxmlformats.org/officeDocument/2006/relationships/settings" Target="settings.xml"/><Relationship Id="rId9" Type="http://schemas.openxmlformats.org/officeDocument/2006/relationships/hyperlink" Target="http://www.beta.inegi.org.mx/proyectos/registros/vitales/mortalidad/defaul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3F182-3D1C-4373-8A5F-87BFBE4CB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Pages>
  <Words>4244</Words>
  <Characters>25894</Characters>
  <Application>Microsoft Office Word</Application>
  <DocSecurity>0</DocSecurity>
  <Lines>215</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30078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92</cp:revision>
  <dcterms:created xsi:type="dcterms:W3CDTF">2016-11-30T09:15:00Z</dcterms:created>
  <dcterms:modified xsi:type="dcterms:W3CDTF">2017-06-28T11:37:00Z</dcterms:modified>
</cp:coreProperties>
</file>