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r>
    </w:p>
    <w:p>
      <w:pPr>
        <w:pStyle w:val="Normal"/>
        <w:bidi w:val="0"/>
        <w:rPr/>
      </w:pPr>
      <w:r>
        <w:rPr/>
        <w:t>https://www.investing.com/analysis/top-10-risks-to-the-global-economy-and-your-portfolio-200680366</w:t>
      </w:r>
    </w:p>
    <w:p>
      <w:pPr>
        <w:pStyle w:val="Normal"/>
        <w:bidi w:val="0"/>
        <w:rPr/>
      </w:pPr>
      <w:r>
        <w:rPr/>
      </w:r>
    </w:p>
    <w:p>
      <w:pPr>
        <w:pStyle w:val="Normal"/>
        <w:bidi w:val="0"/>
        <w:rPr/>
      </w:pPr>
      <w:r>
        <w:rPr/>
        <w:t>FINANCE</w:t>
      </w:r>
    </w:p>
    <w:p>
      <w:pPr>
        <w:pStyle w:val="Normal"/>
        <w:bidi w:val="0"/>
        <w:rPr/>
      </w:pPr>
      <w:r>
        <w:rPr/>
      </w:r>
    </w:p>
    <w:p>
      <w:pPr>
        <w:pStyle w:val="Heading1"/>
        <w:bidi w:val="0"/>
        <w:spacing w:lineRule="auto" w:line="276" w:before="0" w:after="140"/>
        <w:ind w:hanging="0" w:start="0" w:end="0"/>
        <w:rPr>
          <w:sz w:val="24"/>
          <w:szCs w:val="24"/>
        </w:rPr>
      </w:pPr>
      <w:bookmarkStart w:id="0" w:name="articleTitle"/>
      <w:bookmarkEnd w:id="0"/>
      <w:r>
        <w:rPr>
          <w:sz w:val="24"/>
          <w:szCs w:val="24"/>
        </w:rPr>
        <w:t>Top 10 Risks to the Global Economy and Your Portfolio</w:t>
      </w:r>
    </w:p>
    <w:p>
      <w:pPr>
        <w:pStyle w:val="BodyText"/>
        <w:bidi w:val="0"/>
        <w:rPr/>
      </w:pPr>
      <w:r>
        <w:rPr/>
      </w:r>
    </w:p>
    <w:p>
      <w:pPr>
        <w:pStyle w:val="Normal"/>
        <w:bidi w:val="0"/>
        <w:rPr/>
      </w:pPr>
      <w:r>
        <w:rPr/>
        <w:br/>
        <w:t>By</w:t>
      </w:r>
      <w:hyperlink r:id="rId2">
        <w:r>
          <w:rPr>
            <w:rStyle w:val="Hyperlink"/>
          </w:rPr>
          <w:t>Jen Bawden</w:t>
        </w:r>
      </w:hyperlink>
    </w:p>
    <w:p>
      <w:pPr>
        <w:pStyle w:val="Normal"/>
        <w:ind w:hanging="0" w:start="0" w:end="0"/>
        <w:rPr/>
      </w:pPr>
      <w:hyperlink r:id="rId3">
        <w:r>
          <w:rPr>
            <w:rStyle w:val="Hyperlink"/>
          </w:rPr>
          <w:t>Market Overview</w:t>
        </w:r>
      </w:hyperlink>
    </w:p>
    <w:p>
      <w:pPr>
        <w:pStyle w:val="Normal"/>
        <w:ind w:hanging="0" w:start="0" w:end="0"/>
        <w:rPr/>
      </w:pPr>
      <w:r>
        <w:rPr/>
        <w:t>Published 05/16/2026, 04:44 AM</w:t>
      </w:r>
    </w:p>
    <w:p>
      <w:pPr>
        <w:pStyle w:val="Normal"/>
        <w:spacing w:before="0" w:after="283"/>
        <w:ind w:hanging="0" w:start="0" w:end="0"/>
        <w:rPr/>
      </w:pPr>
      <w:r>
        <w:rPr/>
        <w:t>Top 10 Risks to the Global Economy and Your Portfolio</w:t>
      </w:r>
    </w:p>
    <w:p>
      <w:pPr>
        <w:pStyle w:val="BodyText"/>
        <w:numPr>
          <w:ilvl w:val="0"/>
          <w:numId w:val="1"/>
        </w:numPr>
        <w:tabs>
          <w:tab w:val="clear" w:pos="709"/>
          <w:tab w:val="left" w:pos="0" w:leader="none"/>
        </w:tabs>
        <w:ind w:hanging="283" w:start="709" w:end="0"/>
        <w:rPr/>
      </w:pPr>
      <w:r>
        <w:rPr/>
      </w:r>
    </w:p>
    <w:p>
      <w:pPr>
        <w:pStyle w:val="BodyText"/>
        <w:spacing w:before="0" w:after="0"/>
        <w:ind w:hanging="0" w:start="0" w:end="0"/>
        <w:rPr/>
      </w:pPr>
      <w:r>
        <w:fldChar w:fldCharType="begin"/>
      </w:r>
      <w:r>
        <w:rPr>
          <w:rStyle w:val="Hyperlink"/>
        </w:rPr>
        <w:instrText xml:space="preserve"> HYPERLINK "https://www.investing.com/analysis/top-10-risks-to-the-global-economy-and-your-portfolio-200680366" \l "comments-200680366"</w:instrText>
      </w:r>
      <w:r>
        <w:rPr>
          <w:rStyle w:val="Hyperlink"/>
        </w:rPr>
        <w:fldChar w:fldCharType="separate"/>
      </w:r>
      <w:r>
        <w:rPr>
          <w:rStyle w:val="Hyperlink"/>
        </w:rPr>
        <w:t>15</w:t>
      </w:r>
      <w:r>
        <w:rPr>
          <w:rStyle w:val="Hyperlink"/>
        </w:rPr>
        <w:fldChar w:fldCharType="end"/>
      </w:r>
    </w:p>
    <w:p>
      <w:pPr>
        <w:pStyle w:val="BodyText"/>
        <w:bidi w:val="0"/>
        <w:spacing w:before="0" w:after="0"/>
        <w:ind w:hanging="0" w:start="0" w:end="0"/>
        <w:rPr/>
      </w:pPr>
      <w:hyperlink r:id="rId4">
        <w:r>
          <w:rPr>
            <w:rStyle w:val="Hyperlink"/>
          </w:rPr>
          <w:t>DJI-1.07%</w:t>
        </w:r>
      </w:hyperlink>
    </w:p>
    <w:p>
      <w:pPr>
        <w:pStyle w:val="BodyText"/>
        <w:bidi w:val="0"/>
        <w:spacing w:before="0" w:after="0"/>
        <w:ind w:hanging="0" w:start="0" w:end="0"/>
        <w:rPr/>
      </w:pPr>
      <w:hyperlink r:id="rId5">
        <w:r>
          <w:rPr>
            <w:rStyle w:val="Hyperlink"/>
          </w:rPr>
          <w:t>DX+0.49%</w:t>
        </w:r>
      </w:hyperlink>
    </w:p>
    <w:p>
      <w:pPr>
        <w:pStyle w:val="BodyText"/>
        <w:bidi w:val="0"/>
        <w:spacing w:before="0" w:after="0"/>
        <w:ind w:hanging="0" w:start="0" w:end="0"/>
        <w:rPr/>
      </w:pPr>
      <w:hyperlink r:id="rId6">
        <w:r>
          <w:rPr>
            <w:rStyle w:val="Hyperlink"/>
          </w:rPr>
          <w:t>CL+4.20%</w:t>
        </w:r>
      </w:hyperlink>
    </w:p>
    <w:p>
      <w:pPr>
        <w:pStyle w:val="BodyText"/>
        <w:bidi w:val="0"/>
        <w:spacing w:before="0" w:after="0"/>
        <w:ind w:hanging="0" w:start="0" w:end="0"/>
        <w:rPr/>
      </w:pPr>
      <w:hyperlink r:id="rId7">
        <w:r>
          <w:rPr>
            <w:rStyle w:val="Hyperlink"/>
          </w:rPr>
          <w:t>US30YT=X+2.29%</w:t>
        </w:r>
      </w:hyperlink>
    </w:p>
    <w:p>
      <w:pPr>
        <w:pStyle w:val="BodyText"/>
        <w:spacing w:before="0" w:after="0"/>
        <w:ind w:hanging="0" w:start="0" w:end="0"/>
        <w:rPr/>
      </w:pPr>
      <w:r>
        <w:rPr/>
        <w:drawing>
          <wp:inline distT="0" distB="0" distL="0" distR="0">
            <wp:extent cx="971550" cy="971550"/>
            <wp:effectExtent l="0" t="0" r="0" b="0"/>
            <wp:docPr id="1" name="Image1" title="Jen Bawden">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title="Jen Bawden">
                      <a:hlinkClick r:id="rId9"/>
                    </pic:cNvPr>
                    <pic:cNvPicPr>
                      <a:picLocks noChangeAspect="1" noChangeArrowheads="1"/>
                    </pic:cNvPicPr>
                  </pic:nvPicPr>
                  <pic:blipFill>
                    <a:blip r:embed="rId8"/>
                    <a:stretch>
                      <a:fillRect/>
                    </a:stretch>
                  </pic:blipFill>
                  <pic:spPr bwMode="auto">
                    <a:xfrm>
                      <a:off x="0" y="0"/>
                      <a:ext cx="971550" cy="971550"/>
                    </a:xfrm>
                    <a:prstGeom prst="rect">
                      <a:avLst/>
                    </a:prstGeom>
                    <a:noFill/>
                    <a:ln w="9525">
                      <a:solidFill>
                        <a:srgbClr val="000080"/>
                      </a:solidFill>
                    </a:ln>
                  </pic:spPr>
                </pic:pic>
              </a:graphicData>
            </a:graphic>
          </wp:inline>
        </w:drawing>
      </w:r>
    </w:p>
    <w:p>
      <w:pPr>
        <w:pStyle w:val="BodyText"/>
        <w:spacing w:before="0" w:after="0"/>
        <w:ind w:hanging="0" w:start="0" w:end="0"/>
        <w:rPr/>
      </w:pPr>
      <w:hyperlink r:id="rId10">
        <w:r>
          <w:rPr>
            <w:rStyle w:val="Hyperlink"/>
          </w:rPr>
          <w:t>Jen Bawden</w:t>
        </w:r>
      </w:hyperlink>
    </w:p>
    <w:p>
      <w:pPr>
        <w:pStyle w:val="BodyText"/>
        <w:spacing w:before="0" w:after="0"/>
        <w:ind w:hanging="0" w:start="0" w:end="0"/>
        <w:rPr/>
      </w:pPr>
      <w:hyperlink r:id="rId11">
        <w:r>
          <w:rPr>
            <w:rStyle w:val="Hyperlink"/>
          </w:rPr>
          <w:t>Articles(10)</w:t>
        </w:r>
      </w:hyperlink>
      <w:r>
        <w:rPr/>
        <w:t>|</w:t>
      </w:r>
      <w:hyperlink r:id="rId12" w:tgtFrame="_blank">
        <w:r>
          <w:rPr>
            <w:rStyle w:val="Hyperlink"/>
          </w:rPr>
          <w:t>My Homepage</w:t>
        </w:r>
      </w:hyperlink>
    </w:p>
    <w:p>
      <w:pPr>
        <w:pStyle w:val="BodyText"/>
        <w:spacing w:before="0" w:after="0"/>
        <w:ind w:hanging="0" w:start="0" w:end="0"/>
        <w:rPr/>
      </w:pPr>
      <w:r>
        <w:rPr/>
        <w:t>Follow</w:t>
      </w:r>
    </w:p>
    <w:p>
      <w:pPr>
        <w:pStyle w:val="BodyText"/>
        <w:bidi w:val="0"/>
        <w:spacing w:before="0" w:after="0"/>
        <w:ind w:hanging="0" w:start="0" w:end="0"/>
        <w:rPr/>
      </w:pPr>
      <w:hyperlink r:id="rId13">
        <w:r>
          <w:rPr>
            <w:rStyle w:val="Hyperlink"/>
          </w:rPr>
          <w:t>DJI-1.07%</w:t>
        </w:r>
      </w:hyperlink>
    </w:p>
    <w:p>
      <w:pPr>
        <w:pStyle w:val="BodyText"/>
        <w:bidi w:val="0"/>
        <w:spacing w:before="0" w:after="0"/>
        <w:ind w:hanging="0" w:start="0" w:end="0"/>
        <w:rPr/>
      </w:pPr>
      <w:hyperlink r:id="rId14">
        <w:r>
          <w:rPr>
            <w:rStyle w:val="Hyperlink"/>
          </w:rPr>
          <w:t>DX+0.49%</w:t>
        </w:r>
      </w:hyperlink>
    </w:p>
    <w:p>
      <w:pPr>
        <w:pStyle w:val="BodyText"/>
        <w:bidi w:val="0"/>
        <w:spacing w:before="0" w:after="0"/>
        <w:ind w:hanging="0" w:start="0" w:end="0"/>
        <w:rPr/>
      </w:pPr>
      <w:hyperlink r:id="rId15">
        <w:r>
          <w:rPr>
            <w:rStyle w:val="Hyperlink"/>
          </w:rPr>
          <w:t>CL+4.20%</w:t>
        </w:r>
      </w:hyperlink>
    </w:p>
    <w:p>
      <w:pPr>
        <w:pStyle w:val="BodyText"/>
        <w:bidi w:val="0"/>
        <w:spacing w:before="0" w:after="0"/>
        <w:ind w:hanging="0" w:start="0" w:end="0"/>
        <w:rPr/>
      </w:pPr>
      <w:hyperlink r:id="rId16">
        <w:r>
          <w:rPr>
            <w:rStyle w:val="Hyperlink"/>
          </w:rPr>
          <w:t>US30YT=X+2.29%</w:t>
        </w:r>
      </w:hyperlink>
    </w:p>
    <w:p>
      <w:pPr>
        <w:sectPr>
          <w:type w:val="nextPage"/>
          <w:pgSz w:w="12240" w:h="15840"/>
          <w:pgMar w:left="1134" w:right="1134" w:gutter="0" w:header="0" w:top="1134" w:footer="0" w:bottom="1134"/>
          <w:pgNumType w:fmt="decimal"/>
          <w:formProt w:val="false"/>
          <w:textDirection w:val="lrTb"/>
          <w:docGrid w:type="default" w:linePitch="600" w:charSpace="32768"/>
        </w:sectPr>
      </w:pPr>
    </w:p>
    <w:p>
      <w:pPr>
        <w:pStyle w:val="Heading2"/>
        <w:spacing w:before="0" w:after="283"/>
        <w:ind w:hanging="0" w:start="0" w:end="0"/>
        <w:rPr>
          <w:sz w:val="24"/>
          <w:szCs w:val="24"/>
        </w:rPr>
      </w:pPr>
      <w:r>
        <w:rPr>
          <w:rStyle w:val="Strong"/>
          <w:b/>
          <w:bCs/>
          <w:sz w:val="24"/>
          <w:szCs w:val="24"/>
        </w:rPr>
        <w:t>The View from the Looking Glass: Why Dow 50,000 is a Wall, Not a Door</w:t>
      </w:r>
    </w:p>
    <w:p>
      <w:pPr>
        <w:pStyle w:val="BodyText"/>
        <w:ind w:hanging="0" w:start="0" w:end="0"/>
        <w:rPr/>
      </w:pPr>
      <w:r>
        <w:rPr/>
        <w:t>I feel like I’m in Wonderland, and I’m one of the only ones left without rose-colored glasses on. I’m a bear market analyst. I’ve been trained for years to hunt for black swans and analyze what the bulls have overlooked. It’s a fool’s errand to call the top of a market, but I believe we are almost there.</w:t>
      </w:r>
    </w:p>
    <w:p>
      <w:pPr>
        <w:pStyle w:val="BodyText"/>
        <w:ind w:hanging="0" w:start="0" w:end="0"/>
        <w:rPr/>
      </w:pPr>
      <w:r>
        <w:rPr/>
        <w:t>To the average investor, this looks like a breakout; to me, it looks like the final gasp of a market built on very shaky pillars. The </w:t>
      </w:r>
      <w:hyperlink r:id="rId17">
        <w:bookmarkStart w:id="1" w:name="18afff4d0f00c25f"/>
        <w:bookmarkEnd w:id="1"/>
        <w:r>
          <w:rPr>
            <w:rStyle w:val="Hyperlink"/>
          </w:rPr>
          <w:t>Dow</w:t>
        </w:r>
      </w:hyperlink>
      <w:r>
        <w:rPr/>
        <w:t> is close to its all-time high of roughly </w:t>
      </w:r>
      <w:r>
        <w:rPr>
          <w:rStyle w:val="Strong"/>
        </w:rPr>
        <w:t>50,000</w:t>
      </w:r>
      <w:r>
        <w:rPr/>
        <w:t> a week ago and I believe</w:t>
      </w:r>
      <w:r>
        <w:rPr>
          <w:rStyle w:val="Emphasis"/>
        </w:rPr>
        <w:t> The Great Rotation</w:t>
      </w:r>
      <w:r>
        <w:rPr/>
        <w:t> </w:t>
      </w:r>
      <w:r>
        <w:rPr>
          <w:rStyle w:val="Strong"/>
        </w:rPr>
        <w:t>from overvalued Tech to Metals and Commodities is about to begin.</w:t>
      </w:r>
    </w:p>
    <w:p>
      <w:pPr>
        <w:pStyle w:val="Heading2"/>
        <w:spacing w:before="0" w:after="283"/>
        <w:ind w:hanging="0" w:start="0" w:end="0"/>
        <w:rPr>
          <w:sz w:val="24"/>
          <w:szCs w:val="24"/>
        </w:rPr>
      </w:pPr>
      <w:r>
        <w:rPr>
          <w:rStyle w:val="Strong"/>
          <w:b/>
          <w:bCs/>
          <w:sz w:val="24"/>
          <w:szCs w:val="24"/>
        </w:rPr>
        <w:t>The Market Saviors: Why are we still at the top?</w:t>
      </w:r>
    </w:p>
    <w:p>
      <w:pPr>
        <w:pStyle w:val="BodyText"/>
        <w:ind w:hanging="0" w:start="0" w:end="0"/>
        <w:rPr/>
      </w:pPr>
      <w:r>
        <w:rPr/>
        <w:t>Before we look at the risks, we have to understand the pillars keeping the tea party going.</w:t>
      </w:r>
    </w:p>
    <w:p>
      <w:pPr>
        <w:pStyle w:val="BodyText"/>
        <w:numPr>
          <w:ilvl w:val="0"/>
          <w:numId w:val="2"/>
        </w:numPr>
        <w:tabs>
          <w:tab w:val="clear" w:pos="709"/>
          <w:tab w:val="left" w:pos="0" w:leader="none"/>
        </w:tabs>
        <w:spacing w:before="0" w:after="0"/>
        <w:ind w:hanging="283" w:start="709" w:end="0"/>
        <w:rPr/>
      </w:pPr>
      <w:r>
        <w:rPr>
          <w:rStyle w:val="Strong"/>
        </w:rPr>
        <w:t>The Trump Peace Hope:</w:t>
      </w:r>
      <w:r>
        <w:rPr/>
        <w:t> The market is betting everything on a grand deal to open the Strait of Hormuz soon.</w:t>
      </w:r>
    </w:p>
    <w:p>
      <w:pPr>
        <w:pStyle w:val="BodyText"/>
        <w:numPr>
          <w:ilvl w:val="0"/>
          <w:numId w:val="2"/>
        </w:numPr>
        <w:tabs>
          <w:tab w:val="clear" w:pos="709"/>
          <w:tab w:val="left" w:pos="0" w:leader="none"/>
        </w:tabs>
        <w:spacing w:before="0" w:after="0"/>
        <w:ind w:hanging="283" w:start="709" w:end="0"/>
        <w:rPr/>
      </w:pPr>
      <w:r>
        <w:rPr>
          <w:rStyle w:val="Strong"/>
        </w:rPr>
        <w:t>The AI Productivity Promise:</w:t>
      </w:r>
      <w:r>
        <w:rPr/>
        <w:t> There is a deep belief that AI will soon make every company so efficient that it won’t matter how high inflation goes.</w:t>
      </w:r>
    </w:p>
    <w:p>
      <w:pPr>
        <w:pStyle w:val="BodyText"/>
        <w:numPr>
          <w:ilvl w:val="0"/>
          <w:numId w:val="2"/>
        </w:numPr>
        <w:tabs>
          <w:tab w:val="clear" w:pos="709"/>
          <w:tab w:val="left" w:pos="0" w:leader="none"/>
        </w:tabs>
        <w:spacing w:before="0" w:after="0"/>
        <w:ind w:hanging="283" w:start="709" w:end="0"/>
        <w:rPr/>
      </w:pPr>
      <w:r>
        <w:rPr>
          <w:rStyle w:val="Strong"/>
        </w:rPr>
        <w:t>The Warsh Pivot:</w:t>
      </w:r>
      <w:r>
        <w:rPr/>
        <w:t> The market expects Kevin Warsh to cut short-term rates. This would lower the cost for banks to borrow money, providing a safety net for the financial system even as the real economy struggles.</w:t>
      </w:r>
    </w:p>
    <w:p>
      <w:pPr>
        <w:pStyle w:val="BodyText"/>
        <w:numPr>
          <w:ilvl w:val="0"/>
          <w:numId w:val="2"/>
        </w:numPr>
        <w:tabs>
          <w:tab w:val="clear" w:pos="709"/>
          <w:tab w:val="left" w:pos="0" w:leader="none"/>
        </w:tabs>
        <w:spacing w:before="0" w:after="0"/>
        <w:ind w:hanging="283" w:start="709" w:end="0"/>
        <w:rPr/>
      </w:pPr>
      <w:r>
        <w:rPr>
          <w:rStyle w:val="Strong"/>
        </w:rPr>
        <w:t>The "Mid-Cycle Earnings Acceleration":</w:t>
      </w:r>
      <w:r>
        <w:rPr/>
        <w:t> Surprisingly, Q1 earnings (led by Micron and AI hardware) were shockingly strong.</w:t>
      </w:r>
    </w:p>
    <w:p>
      <w:pPr>
        <w:pStyle w:val="BodyText"/>
        <w:numPr>
          <w:ilvl w:val="0"/>
          <w:numId w:val="2"/>
        </w:numPr>
        <w:tabs>
          <w:tab w:val="clear" w:pos="709"/>
          <w:tab w:val="left" w:pos="0" w:leader="none"/>
        </w:tabs>
        <w:ind w:hanging="283" w:start="709" w:end="0"/>
        <w:rPr/>
      </w:pPr>
      <w:r>
        <w:rPr>
          <w:rStyle w:val="Strong"/>
        </w:rPr>
        <w:t>Deregulation/Tax Policy:</w:t>
      </w:r>
      <w:r>
        <w:rPr/>
        <w:t> The promise of Trump 2.0 tax cuts and the removal of the bureaucracy acts as a massive promise that keeps big money from fleeing to cash.</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before="0" w:after="0"/>
        <w:ind w:hanging="0" w:start="0" w:end="0"/>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Heading1"/>
        <w:spacing w:before="0" w:after="283"/>
        <w:ind w:hanging="0" w:start="0" w:end="0"/>
        <w:rPr>
          <w:sz w:val="24"/>
          <w:szCs w:val="24"/>
        </w:rPr>
      </w:pPr>
      <w:r>
        <w:rPr>
          <w:sz w:val="24"/>
          <w:szCs w:val="24"/>
        </w:rPr>
        <w:t>10 risks to the global economy and your portfolio</w:t>
      </w:r>
    </w:p>
    <w:p>
      <w:pPr>
        <w:pStyle w:val="Heading2"/>
        <w:spacing w:before="0" w:after="283"/>
        <w:ind w:hanging="0" w:start="0" w:end="0"/>
        <w:rPr>
          <w:sz w:val="24"/>
          <w:szCs w:val="24"/>
        </w:rPr>
      </w:pPr>
      <w:r>
        <w:rPr>
          <w:rStyle w:val="Strong"/>
          <w:b/>
          <w:bCs/>
          <w:sz w:val="24"/>
          <w:szCs w:val="24"/>
        </w:rPr>
        <w:t>1. The Nitrogen Famine and the Super El Niño</w:t>
      </w:r>
    </w:p>
    <w:p>
      <w:pPr>
        <w:pStyle w:val="BodyText"/>
        <w:ind w:hanging="0" w:start="0" w:end="0"/>
        <w:rPr/>
      </w:pPr>
      <w:r>
        <w:rPr/>
        <w:t>This is the most severe risk because it physically stops food production. With the Strait of Hormuz closed, the natural gas needed for nitrogen fertilizer is gone, causing urea prices to surge over 45 % since April. Now a double hit because 2026 has been confirmed as a </w:t>
      </w:r>
      <w:r>
        <w:rPr>
          <w:rStyle w:val="Strong"/>
        </w:rPr>
        <w:t>super El Niño</w:t>
      </w:r>
      <w:r>
        <w:rPr/>
        <w:t> year, bringing extreme drought to major breadbaskets like Australia and Southeast Asia. Expect much higher prices and a physical shortage of grain for the 2027 harvest as global grain yields dry up. The World Bank reports a 46% monthly spike in fertilizer costs, threatening food security that could send  45 million people into acute hunger. World Bank Food Security Update 2026, When people are scared of starvation and high prices, investors sell their tech stocks and buy </w:t>
      </w:r>
      <w:r>
        <w:rPr>
          <w:rStyle w:val="Strong"/>
        </w:rPr>
        <w:t>real stuff</w:t>
      </w:r>
      <w:r>
        <w:rPr/>
        <w:t> like silver and gold to make sure their wealth doesn’t disappear when food prices go vertical.</w:t>
      </w:r>
    </w:p>
    <w:p>
      <w:pPr>
        <w:pStyle w:val="BodyText"/>
        <w:numPr>
          <w:ilvl w:val="0"/>
          <w:numId w:val="3"/>
        </w:numPr>
        <w:tabs>
          <w:tab w:val="clear" w:pos="709"/>
          <w:tab w:val="left" w:pos="0" w:leader="none"/>
        </w:tabs>
        <w:spacing w:before="0" w:after="0"/>
        <w:ind w:hanging="283" w:start="709" w:end="0"/>
        <w:rPr/>
      </w:pPr>
      <w:r>
        <w:rPr>
          <w:rStyle w:val="Strong"/>
        </w:rPr>
        <w:t>3 Most Likely to Rise:</w:t>
      </w:r>
      <w:r>
        <w:rPr/>
        <w:t> Wheat Futures, Corn Futures, Fertilizer Producers.</w:t>
      </w:r>
    </w:p>
    <w:p>
      <w:pPr>
        <w:pStyle w:val="BodyText"/>
        <w:numPr>
          <w:ilvl w:val="0"/>
          <w:numId w:val="3"/>
        </w:numPr>
        <w:tabs>
          <w:tab w:val="clear" w:pos="709"/>
          <w:tab w:val="left" w:pos="0" w:leader="none"/>
        </w:tabs>
        <w:ind w:hanging="283" w:start="709" w:end="0"/>
        <w:rPr/>
      </w:pPr>
      <w:r>
        <w:rPr>
          <w:rStyle w:val="Strong"/>
        </w:rPr>
        <w:t>3 Most Likely to Drop:</w:t>
      </w:r>
      <w:r>
        <w:rPr/>
        <w:t> Food Processors, Livestock Producers, Grocery Retailers. (Rising costs)</w:t>
      </w:r>
    </w:p>
    <w:p>
      <w:pPr>
        <w:pStyle w:val="Heading2"/>
        <w:spacing w:before="0" w:after="283"/>
        <w:ind w:hanging="0" w:start="0" w:end="0"/>
        <w:rPr>
          <w:sz w:val="24"/>
          <w:szCs w:val="24"/>
        </w:rPr>
      </w:pPr>
      <w:r>
        <w:rPr>
          <w:rStyle w:val="Strong"/>
          <w:b/>
          <w:bCs/>
          <w:sz w:val="24"/>
          <w:szCs w:val="24"/>
        </w:rPr>
        <w:t>2. The 30-Year Yield Floor (5.02%)</w:t>
      </w:r>
    </w:p>
    <w:p>
      <w:pPr>
        <w:pStyle w:val="BodyText"/>
        <w:ind w:hanging="0" w:start="0" w:end="0"/>
        <w:rPr/>
      </w:pPr>
      <w:r>
        <w:rPr/>
        <w:t>The interest rate on the </w:t>
      </w:r>
      <w:hyperlink r:id="rId18">
        <w:bookmarkStart w:id="2" w:name="18afff4d0f867714"/>
        <w:bookmarkEnd w:id="2"/>
        <w:r>
          <w:rPr>
            <w:rStyle w:val="Hyperlink"/>
          </w:rPr>
          <w:t>30-year</w:t>
        </w:r>
      </w:hyperlink>
      <w:r>
        <w:rPr/>
        <w:t> Treasury is the gravity of the financial world. It has been hovering above 5 % this week. When this rate stays above 5%, the math for high-valuation tech companies like Tesla (NASDAQ:</w:t>
      </w:r>
      <w:hyperlink r:id="rId19">
        <w:bookmarkStart w:id="3" w:name="18afff4d0fee707c"/>
        <w:bookmarkEnd w:id="3"/>
        <w:r>
          <w:rPr>
            <w:rStyle w:val="Hyperlink"/>
          </w:rPr>
          <w:t>TSLA</w:t>
        </w:r>
      </w:hyperlink>
      <w:r>
        <w:rPr/>
        <w:t>) or Nvidia (NASDAQ:</w:t>
      </w:r>
      <w:hyperlink r:id="rId20">
        <w:bookmarkStart w:id="4" w:name="18afff4d102f2d51"/>
        <w:bookmarkEnd w:id="4"/>
        <w:r>
          <w:rPr>
            <w:rStyle w:val="Hyperlink"/>
          </w:rPr>
          <w:t>NVDA</w:t>
        </w:r>
      </w:hyperlink>
      <w:r>
        <w:rPr/>
        <w:t>) breaks. Their value is based on money they will make years from now ( future hopium). When interest rates are this high, profits a decade away are heavily discounted. This forces a sell-off in growth stocks and puts upward pressure on 30-year mortgages and downward pressure on housing. It’s also a head wind for gold and silver.</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before="0" w:after="0"/>
        <w:ind w:hanging="0" w:start="0" w:end="0"/>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before="0" w:after="0"/>
        <w:ind w:hanging="0" w:start="0" w:end="0"/>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4"/>
        </w:numPr>
        <w:tabs>
          <w:tab w:val="clear" w:pos="709"/>
          <w:tab w:val="left" w:pos="0" w:leader="none"/>
        </w:tabs>
        <w:spacing w:before="0" w:after="0"/>
        <w:ind w:hanging="283" w:start="709" w:end="0"/>
        <w:rPr/>
      </w:pPr>
      <w:r>
        <w:rPr>
          <w:rStyle w:val="Strong"/>
        </w:rPr>
        <w:t>3 Most Likely to Rise:</w:t>
      </w:r>
      <w:r>
        <w:rPr/>
        <w:t> </w:t>
      </w:r>
      <w:hyperlink r:id="rId21">
        <w:bookmarkStart w:id="5" w:name="18afff4d106c184e"/>
        <w:bookmarkEnd w:id="5"/>
        <w:r>
          <w:rPr>
            <w:rStyle w:val="Hyperlink"/>
          </w:rPr>
          <w:t>US Dollar</w:t>
        </w:r>
      </w:hyperlink>
      <w:r>
        <w:rPr/>
        <w:t>, Cash/Money Markets, Short-term Treasury Bills.</w:t>
      </w:r>
    </w:p>
    <w:p>
      <w:pPr>
        <w:pStyle w:val="BodyText"/>
        <w:numPr>
          <w:ilvl w:val="0"/>
          <w:numId w:val="4"/>
        </w:numPr>
        <w:tabs>
          <w:tab w:val="clear" w:pos="709"/>
          <w:tab w:val="left" w:pos="0" w:leader="none"/>
        </w:tabs>
        <w:ind w:hanging="283" w:start="709" w:end="0"/>
        <w:rPr/>
      </w:pPr>
      <w:r>
        <w:rPr>
          <w:rStyle w:val="Strong"/>
        </w:rPr>
        <w:t>3 Most Likely to Drop:</w:t>
      </w:r>
      <w:r>
        <w:rPr/>
        <w:t> </w:t>
      </w:r>
      <w:hyperlink r:id="rId22">
        <w:bookmarkStart w:id="6" w:name="18afff4d10f8a709"/>
        <w:bookmarkEnd w:id="6"/>
        <w:r>
          <w:rPr>
            <w:rStyle w:val="Hyperlink"/>
          </w:rPr>
          <w:t>Nasdaq 100</w:t>
        </w:r>
      </w:hyperlink>
      <w:r>
        <w:rPr/>
        <w:t>, Real Estate, Small Cap Stocks (</w:t>
      </w:r>
      <w:hyperlink r:id="rId23">
        <w:bookmarkStart w:id="7" w:name="18afff4d11686640"/>
        <w:bookmarkEnd w:id="7"/>
        <w:r>
          <w:rPr>
            <w:rStyle w:val="Hyperlink"/>
          </w:rPr>
          <w:t>Russell 2000</w:t>
        </w:r>
      </w:hyperlink>
      <w:r>
        <w:rPr/>
        <w:t>).</w:t>
      </w:r>
    </w:p>
    <w:p>
      <w:pPr>
        <w:pStyle w:val="Heading2"/>
        <w:spacing w:before="0" w:after="283"/>
        <w:ind w:hanging="0" w:start="0" w:end="0"/>
        <w:rPr>
          <w:sz w:val="24"/>
          <w:szCs w:val="24"/>
        </w:rPr>
      </w:pPr>
      <w:r>
        <w:rPr>
          <w:rStyle w:val="Strong"/>
          <w:b/>
          <w:bCs/>
          <w:sz w:val="24"/>
          <w:szCs w:val="24"/>
        </w:rPr>
        <w:t>3. The Helium Famine and the Tech Wall</w:t>
      </w:r>
    </w:p>
    <w:p>
      <w:pPr>
        <w:pStyle w:val="BodyText"/>
        <w:ind w:hanging="0" w:start="0" w:end="0"/>
        <w:rPr/>
      </w:pPr>
      <w:r>
        <w:rPr/>
        <w:t>Helium is required to cool the machines that make semiconductor chips, run MRI scanners and space travel. Global reserves are under unprecedented pressure because transport from Qatar is blocked and production facilities are damaged, knocking them off line for years. You cannot run an AI data center or a hospital without it. A significant deficit in helium gas is slowing chip production.</w:t>
      </w:r>
    </w:p>
    <w:p>
      <w:pPr>
        <w:pStyle w:val="BodyText"/>
        <w:numPr>
          <w:ilvl w:val="0"/>
          <w:numId w:val="5"/>
        </w:numPr>
        <w:tabs>
          <w:tab w:val="clear" w:pos="709"/>
          <w:tab w:val="left" w:pos="0" w:leader="none"/>
        </w:tabs>
        <w:spacing w:before="0" w:after="0"/>
        <w:ind w:hanging="283" w:start="709" w:end="0"/>
        <w:rPr/>
      </w:pPr>
      <w:r>
        <w:rPr>
          <w:rStyle w:val="Strong"/>
        </w:rPr>
        <w:t>3 Most Likely to Rise:</w:t>
      </w:r>
      <w:r>
        <w:rPr/>
        <w:t> Specialty Gas Producers, Medical Service Providers (high pricing power), Recycled Helium Tech.</w:t>
      </w:r>
    </w:p>
    <w:p>
      <w:pPr>
        <w:pStyle w:val="BodyText"/>
        <w:numPr>
          <w:ilvl w:val="0"/>
          <w:numId w:val="5"/>
        </w:numPr>
        <w:tabs>
          <w:tab w:val="clear" w:pos="709"/>
          <w:tab w:val="left" w:pos="0" w:leader="none"/>
        </w:tabs>
        <w:ind w:hanging="283" w:start="709" w:end="0"/>
        <w:rPr/>
      </w:pPr>
      <w:r>
        <w:rPr>
          <w:rStyle w:val="Strong"/>
        </w:rPr>
        <w:t>3 Most Likely to Drop:</w:t>
      </w:r>
      <w:r>
        <w:rPr/>
        <w:t> Semiconductor Makers, AI Server Companies, Cloud Providers.</w:t>
      </w:r>
    </w:p>
    <w:p>
      <w:pPr>
        <w:pStyle w:val="Heading2"/>
        <w:spacing w:before="0" w:after="283"/>
        <w:ind w:hanging="0" w:start="0" w:end="0"/>
        <w:rPr>
          <w:sz w:val="24"/>
          <w:szCs w:val="24"/>
        </w:rPr>
      </w:pPr>
      <w:r>
        <w:rPr>
          <w:rStyle w:val="Strong"/>
          <w:b/>
          <w:bCs/>
          <w:sz w:val="24"/>
          <w:szCs w:val="24"/>
        </w:rPr>
        <w:t>4. Sovereign Debt and the India Capital Controls</w:t>
      </w:r>
    </w:p>
    <w:p>
      <w:pPr>
        <w:pStyle w:val="BodyText"/>
        <w:ind w:hanging="0" w:start="0" w:end="0"/>
        <w:rPr/>
      </w:pPr>
      <w:r>
        <w:rPr/>
        <w:t>Emerging economies are in survival mode because the war drove up oil prices and pushed the dollar higher during a flight to safety. Bangladesh faces a $26 billion debt repayment wall and is currently running out of oil. Facing financial pressure, Prime Minister Modi urged citizens to defer gold purchases and avoid foreign travel for a year to keep foreign money available for critical needs like paying debts or importing goods.</w:t>
      </w:r>
    </w:p>
    <w:p>
      <w:pPr>
        <w:pStyle w:val="BodyText"/>
        <w:ind w:hanging="0" w:start="0" w:end="0"/>
        <w:rPr/>
      </w:pPr>
      <w:r>
        <w:rPr/>
        <w:t>India is worried about their currency weakening against the dollar, which increases inflation and makes dollar debt harder to pay. India hiked gold and silver import duties to 15% on May 13 to curb the outflow of foreign exchange. The Hindu: PM Modi Austerity Call  India is the world’s largest consumer of gold.</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before="0" w:after="0"/>
        <w:ind w:hanging="0" w:start="0" w:end="0"/>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r>
        <w:rPr/>
        <w:t>When PM Modi tells 1.4 billion people to stop buying gold, it isn’t just an Indian problem. Global retailers like </w:t>
      </w:r>
      <w:r>
        <w:rPr>
          <w:rStyle w:val="Strong"/>
        </w:rPr>
        <w:t>Signet (Kay/Zales)</w:t>
      </w:r>
      <w:r>
        <w:rPr/>
        <w:t> or </w:t>
      </w:r>
      <w:r>
        <w:rPr>
          <w:rStyle w:val="Strong"/>
        </w:rPr>
        <w:t>Pandora</w:t>
      </w:r>
      <w:r>
        <w:rPr/>
        <w:t> see their biggest growth market vanish overnight. This will have a two-fold effect, a loss of physical buying by Indians and a rise in gold’s safe haven premium against emerging currencies.</w:t>
      </w:r>
    </w:p>
    <w:p>
      <w:pPr>
        <w:pStyle w:val="BodyText"/>
        <w:numPr>
          <w:ilvl w:val="0"/>
          <w:numId w:val="6"/>
        </w:numPr>
        <w:tabs>
          <w:tab w:val="clear" w:pos="709"/>
          <w:tab w:val="left" w:pos="0" w:leader="none"/>
        </w:tabs>
        <w:spacing w:before="0" w:after="0"/>
        <w:ind w:hanging="283" w:start="709" w:end="0"/>
        <w:rPr/>
      </w:pPr>
      <w:r>
        <w:rPr>
          <w:rStyle w:val="Strong"/>
        </w:rPr>
        <w:t>3 Most Likely to Rise:</w:t>
      </w:r>
      <w:r>
        <w:rPr/>
        <w:t> US Dollar, Gold &amp; Silver (long term safe havens), Defense Stocks.</w:t>
      </w:r>
    </w:p>
    <w:p>
      <w:pPr>
        <w:pStyle w:val="BodyText"/>
        <w:numPr>
          <w:ilvl w:val="0"/>
          <w:numId w:val="6"/>
        </w:numPr>
        <w:tabs>
          <w:tab w:val="clear" w:pos="709"/>
          <w:tab w:val="left" w:pos="0" w:leader="none"/>
        </w:tabs>
        <w:ind w:hanging="283" w:start="709" w:end="0"/>
        <w:rPr/>
      </w:pPr>
      <w:r>
        <w:rPr>
          <w:rStyle w:val="Strong"/>
        </w:rPr>
        <w:t>3 Most Likely to Drop:</w:t>
      </w:r>
      <w:r>
        <w:rPr/>
        <w:t> Emerging Market ETFs, Global Travel/Leisure, Jewelry Retailers.</w:t>
      </w:r>
    </w:p>
    <w:p>
      <w:pPr>
        <w:pStyle w:val="Heading2"/>
        <w:spacing w:before="0" w:after="283"/>
        <w:ind w:hanging="0" w:start="0" w:end="0"/>
        <w:rPr>
          <w:sz w:val="24"/>
          <w:szCs w:val="24"/>
        </w:rPr>
      </w:pPr>
      <w:r>
        <w:rPr>
          <w:rStyle w:val="Strong"/>
          <w:b/>
          <w:bCs/>
          <w:sz w:val="24"/>
          <w:szCs w:val="24"/>
        </w:rPr>
        <w:t>5. The Private Credit Redemption Freeze</w:t>
      </w:r>
    </w:p>
    <w:p>
      <w:pPr>
        <w:pStyle w:val="BodyText"/>
        <w:ind w:hanging="0" w:start="0" w:end="0"/>
        <w:rPr/>
      </w:pPr>
      <w:r>
        <w:rPr/>
        <w:t>There is $1.7 trillion hidden in the private credit market lent to mid-sized companies outside the regular banking system. Because interest rates are now 5%, many of these companies can’t pay their bills. Investors are being told they can’t have their money back. This is a hidden financial disaster ( a ghost bank credit crisis) just starting to surface. Major firms are gating withdrawals as defaults in the software and mid-market sectors climb. Goldman Sachs: Cracks in Private Credit</w:t>
      </w:r>
    </w:p>
    <w:p>
      <w:pPr>
        <w:pStyle w:val="BodyText"/>
        <w:numPr>
          <w:ilvl w:val="0"/>
          <w:numId w:val="7"/>
        </w:numPr>
        <w:tabs>
          <w:tab w:val="clear" w:pos="709"/>
          <w:tab w:val="left" w:pos="0" w:leader="none"/>
        </w:tabs>
        <w:spacing w:before="0" w:after="0"/>
        <w:ind w:hanging="283" w:start="709" w:end="0"/>
        <w:rPr/>
      </w:pPr>
      <w:r>
        <w:rPr>
          <w:rStyle w:val="Strong"/>
        </w:rPr>
        <w:t>3 Most Likely to Rise:</w:t>
      </w:r>
      <w:r>
        <w:rPr/>
        <w:t> Distressed Debt Funds, Cash, Gold &amp; Silver</w:t>
      </w:r>
    </w:p>
    <w:p>
      <w:pPr>
        <w:pStyle w:val="BodyText"/>
        <w:numPr>
          <w:ilvl w:val="0"/>
          <w:numId w:val="7"/>
        </w:numPr>
        <w:tabs>
          <w:tab w:val="clear" w:pos="709"/>
          <w:tab w:val="left" w:pos="0" w:leader="none"/>
        </w:tabs>
        <w:ind w:hanging="283" w:start="709" w:end="0"/>
        <w:rPr/>
      </w:pPr>
      <w:r>
        <w:rPr>
          <w:rStyle w:val="Strong"/>
        </w:rPr>
        <w:t>3 Most Likely to Drop:</w:t>
      </w:r>
      <w:r>
        <w:rPr/>
        <w:t> Business Development Companies (BDCs), Regional Banks, Private Equity.</w:t>
      </w:r>
    </w:p>
    <w:p>
      <w:pPr>
        <w:pStyle w:val="Heading2"/>
        <w:spacing w:before="0" w:after="283"/>
        <w:ind w:hanging="0" w:start="0" w:end="0"/>
        <w:rPr>
          <w:sz w:val="24"/>
          <w:szCs w:val="24"/>
        </w:rPr>
      </w:pPr>
      <w:r>
        <w:rPr>
          <w:rStyle w:val="Strong"/>
          <w:b/>
          <w:bCs/>
          <w:sz w:val="24"/>
          <w:szCs w:val="24"/>
        </w:rPr>
        <w:t>6. Real-World Inflation (3.8%)</w:t>
      </w:r>
    </w:p>
    <w:p>
      <w:pPr>
        <w:pStyle w:val="BodyText"/>
        <w:ind w:hanging="0" w:start="0" w:end="0"/>
        <w:rPr/>
      </w:pPr>
      <w:r>
        <w:rPr/>
        <w:t>The April </w:t>
      </w:r>
      <w:hyperlink r:id="rId24">
        <w:bookmarkStart w:id="8" w:name="18afff4d123bd4f1"/>
        <w:bookmarkEnd w:id="8"/>
        <w:r>
          <w:rPr>
            <w:rStyle w:val="Hyperlink"/>
          </w:rPr>
          <w:t>inflation</w:t>
        </w:r>
      </w:hyperlink>
      <w:r>
        <w:rPr/>
        <w:t> of 3.8% was the highest in three years. This killed hope the Federal Reserve would </w:t>
      </w:r>
      <w:hyperlink r:id="rId25">
        <w:r>
          <w:rPr>
            <w:rStyle w:val="Hyperlink"/>
          </w:rPr>
          <w:t>cut rates</w:t>
        </w:r>
      </w:hyperlink>
      <w:r>
        <w:rPr/>
        <w:t> to save the market. As long as energy and food costs stay this high because of the war, inflation will not go down. This traps the new Fed Chair, Kevin Warsh, into keeping rates high even if the stock market starts to crash. BLS: Consumer Price Index</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before="0" w:after="0"/>
        <w:ind w:hanging="0" w:start="0" w:end="0"/>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before="0" w:after="0"/>
        <w:ind w:hanging="0" w:start="0" w:end="0"/>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8"/>
        </w:numPr>
        <w:tabs>
          <w:tab w:val="clear" w:pos="709"/>
          <w:tab w:val="left" w:pos="0" w:leader="none"/>
        </w:tabs>
        <w:spacing w:before="0" w:after="0"/>
        <w:ind w:hanging="283" w:start="709" w:end="0"/>
        <w:rPr/>
      </w:pPr>
      <w:r>
        <w:rPr>
          <w:rStyle w:val="Strong"/>
        </w:rPr>
        <w:t>3 Most Likely to Rise:</w:t>
      </w:r>
      <w:r>
        <w:rPr/>
        <w:t> </w:t>
      </w:r>
      <w:hyperlink r:id="rId26">
        <w:bookmarkStart w:id="9" w:name="18afff4d11b02a5f"/>
        <w:bookmarkEnd w:id="9"/>
        <w:r>
          <w:rPr>
            <w:rStyle w:val="Hyperlink"/>
          </w:rPr>
          <w:t>Oil</w:t>
        </w:r>
      </w:hyperlink>
      <w:r>
        <w:rPr/>
        <w:t>, Commodities/Metals, TIPS (Treasury Inflation-Protected Securities).</w:t>
      </w:r>
    </w:p>
    <w:p>
      <w:pPr>
        <w:pStyle w:val="BodyText"/>
        <w:numPr>
          <w:ilvl w:val="0"/>
          <w:numId w:val="8"/>
        </w:numPr>
        <w:tabs>
          <w:tab w:val="clear" w:pos="709"/>
          <w:tab w:val="left" w:pos="0" w:leader="none"/>
        </w:tabs>
        <w:ind w:hanging="283" w:start="709" w:end="0"/>
        <w:rPr/>
      </w:pPr>
      <w:r>
        <w:rPr>
          <w:rStyle w:val="Strong"/>
        </w:rPr>
        <w:t>3 Most Likely to Drop: </w:t>
      </w:r>
      <w:r>
        <w:rPr/>
        <w:t>Older dated Long-term Bonds, Consumer Discretionary, Retailers.</w:t>
      </w:r>
    </w:p>
    <w:p>
      <w:pPr>
        <w:pStyle w:val="Heading2"/>
        <w:spacing w:before="0" w:after="283"/>
        <w:ind w:hanging="0" w:start="0" w:end="0"/>
        <w:rPr>
          <w:sz w:val="24"/>
          <w:szCs w:val="24"/>
        </w:rPr>
      </w:pPr>
      <w:r>
        <w:rPr>
          <w:rStyle w:val="Strong"/>
          <w:b/>
          <w:bCs/>
          <w:sz w:val="24"/>
          <w:szCs w:val="24"/>
        </w:rPr>
        <w:t>7. Commercial Real Estate and the Refinancing Wall</w:t>
      </w:r>
    </w:p>
    <w:p>
      <w:pPr>
        <w:pStyle w:val="BodyText"/>
        <w:ind w:hanging="0" w:start="0" w:end="0"/>
        <w:rPr/>
      </w:pPr>
      <w:r>
        <w:rPr/>
        <w:t>Trillions in debt on office buildings must be refinanced by 2027. Most of this was borrowed when rates were near 0%. Now, building owners must re-borrow at 5% to 8 %. Since office buildings are half-empty and worth less than the loans, many owners will simply walk away. This will eventually break the regional banks that hold these mortgages and finally have to mark their losses to the market. Office delinquency rates have doubled in the last year as valuations continue to slide.</w:t>
      </w:r>
    </w:p>
    <w:p>
      <w:pPr>
        <w:pStyle w:val="BodyText"/>
        <w:numPr>
          <w:ilvl w:val="0"/>
          <w:numId w:val="9"/>
        </w:numPr>
        <w:tabs>
          <w:tab w:val="clear" w:pos="709"/>
          <w:tab w:val="left" w:pos="0" w:leader="none"/>
        </w:tabs>
        <w:spacing w:before="0" w:after="0"/>
        <w:ind w:hanging="283" w:start="709" w:end="0"/>
        <w:rPr/>
      </w:pPr>
      <w:r>
        <w:rPr>
          <w:rStyle w:val="Strong"/>
        </w:rPr>
        <w:t>3 Most Likely to Rise:</w:t>
      </w:r>
      <w:r>
        <w:rPr/>
        <w:t> Data Centers, Self-Storage, Foreclosure Services.</w:t>
      </w:r>
    </w:p>
    <w:p>
      <w:pPr>
        <w:pStyle w:val="BodyText"/>
        <w:numPr>
          <w:ilvl w:val="0"/>
          <w:numId w:val="9"/>
        </w:numPr>
        <w:tabs>
          <w:tab w:val="clear" w:pos="709"/>
          <w:tab w:val="left" w:pos="0" w:leader="none"/>
        </w:tabs>
        <w:ind w:hanging="283" w:start="709" w:end="0"/>
        <w:rPr/>
      </w:pPr>
      <w:r>
        <w:rPr>
          <w:rStyle w:val="Strong"/>
        </w:rPr>
        <w:t>3 Most Likely to Drop:</w:t>
      </w:r>
      <w:r>
        <w:rPr/>
        <w:t> Office REITs, Regional Banks, Construction Firms.</w:t>
      </w:r>
    </w:p>
    <w:p>
      <w:pPr>
        <w:pStyle w:val="Heading2"/>
        <w:spacing w:before="0" w:after="283"/>
        <w:ind w:hanging="0" w:start="0" w:end="0"/>
        <w:rPr>
          <w:sz w:val="24"/>
          <w:szCs w:val="24"/>
        </w:rPr>
      </w:pPr>
      <w:r>
        <w:rPr>
          <w:rStyle w:val="Strong"/>
          <w:b/>
          <w:bCs/>
          <w:sz w:val="24"/>
          <w:szCs w:val="24"/>
        </w:rPr>
        <w:t>8. Geopolitical Escalation and Insurance Costs</w:t>
      </w:r>
    </w:p>
    <w:p>
      <w:pPr>
        <w:pStyle w:val="BodyText"/>
        <w:ind w:hanging="0" w:start="0" w:end="0"/>
        <w:rPr/>
      </w:pPr>
      <w:r>
        <w:rPr/>
        <w:t>The war in the Strait of Hormuz has moved to direct attacks on tankers. It’s far from resolved. This has caused marine insurance to become unquotable for many ships. A ship needs to be insured to sail. This stops trade for the region and bypasses any diplomatic efforts in Beijing or elsewhere. Ship seizures and fire incidents like the HMM Namu have made Persian Gulf transit too risky for standard commercial cover. Lloyd’s of London: Market Update</w:t>
      </w:r>
    </w:p>
    <w:p>
      <w:pPr>
        <w:pStyle w:val="BodyText"/>
        <w:numPr>
          <w:ilvl w:val="0"/>
          <w:numId w:val="10"/>
        </w:numPr>
        <w:tabs>
          <w:tab w:val="clear" w:pos="709"/>
          <w:tab w:val="left" w:pos="0" w:leader="none"/>
        </w:tabs>
        <w:spacing w:before="0" w:after="0"/>
        <w:ind w:hanging="283" w:start="709" w:end="0"/>
        <w:rPr/>
      </w:pPr>
      <w:r>
        <w:rPr>
          <w:rStyle w:val="Strong"/>
        </w:rPr>
        <w:t>3 Most Likely to Rise:</w:t>
      </w:r>
      <w:r>
        <w:rPr/>
        <w:t> Specialized Shipping Carriers, Cyber-Security, Energy Alternatives.</w:t>
      </w:r>
    </w:p>
    <w:p>
      <w:pPr>
        <w:pStyle w:val="BodyText"/>
        <w:numPr>
          <w:ilvl w:val="0"/>
          <w:numId w:val="10"/>
        </w:numPr>
        <w:tabs>
          <w:tab w:val="clear" w:pos="709"/>
          <w:tab w:val="left" w:pos="0" w:leader="none"/>
        </w:tabs>
        <w:ind w:hanging="283" w:start="709" w:end="0"/>
        <w:rPr/>
      </w:pPr>
      <w:r>
        <w:rPr>
          <w:rStyle w:val="Strong"/>
        </w:rPr>
        <w:t>3 Most Likely to Drop:</w:t>
      </w:r>
      <w:r>
        <w:rPr/>
        <w:t> Global Logistics, Luxury Goods, Automotive Manufacturers.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before="0" w:after="0"/>
        <w:ind w:hanging="0" w:start="0" w:end="0"/>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Heading2"/>
        <w:spacing w:before="0" w:after="283"/>
        <w:ind w:hanging="0" w:start="0" w:end="0"/>
        <w:rPr>
          <w:sz w:val="24"/>
          <w:szCs w:val="24"/>
        </w:rPr>
      </w:pPr>
      <w:r>
        <w:rPr>
          <w:rStyle w:val="Strong"/>
          <w:b/>
          <w:bCs/>
          <w:sz w:val="24"/>
          <w:szCs w:val="24"/>
        </w:rPr>
        <w:t>9. Company Fraud (SMCI)</w:t>
      </w:r>
    </w:p>
    <w:p>
      <w:pPr>
        <w:pStyle w:val="BodyText"/>
        <w:ind w:hanging="0" w:start="0" w:end="0"/>
        <w:rPr/>
      </w:pPr>
      <w:r>
        <w:rPr/>
        <w:t>Super Micro Computer (NASDAQ:</w:t>
      </w:r>
      <w:hyperlink r:id="rId27">
        <w:bookmarkStart w:id="10" w:name="18afff4d11fed8c5"/>
        <w:bookmarkEnd w:id="10"/>
        <w:r>
          <w:rPr>
            <w:rStyle w:val="Hyperlink"/>
          </w:rPr>
          <w:t>SMCI</w:t>
        </w:r>
      </w:hyperlink>
      <w:r>
        <w:rPr/>
        <w:t>) was the darling of the AI boom, but it has now been hit with a Department of Justice indictment for a $2.5 billion smuggling scheme involving advanced chips sent to China. This hasn’t burst the whole bubble yet because the market is in denial, waiting for a final audit. However, as liquidity dries up under Kevin Warsh, this company will likely be the first major AI domino to fall, destroying the trust that holds up the tech sector. An indictment unsealed in March 2026 details how co-founder Wally Liaw bypassed export controls using fake servers and hair dryers to hide serial numbers.</w:t>
      </w:r>
    </w:p>
    <w:p>
      <w:pPr>
        <w:pStyle w:val="BodyText"/>
        <w:numPr>
          <w:ilvl w:val="0"/>
          <w:numId w:val="11"/>
        </w:numPr>
        <w:tabs>
          <w:tab w:val="clear" w:pos="709"/>
          <w:tab w:val="left" w:pos="0" w:leader="none"/>
        </w:tabs>
        <w:spacing w:before="0" w:after="0"/>
        <w:ind w:hanging="283" w:start="709" w:end="0"/>
        <w:rPr/>
      </w:pPr>
      <w:r>
        <w:rPr>
          <w:rStyle w:val="Strong"/>
        </w:rPr>
        <w:t>3 Most Likely to Rise:</w:t>
      </w:r>
      <w:r>
        <w:rPr/>
        <w:t> Competitors (HP/Dell), Forensic Auditors, Short-sellers.</w:t>
      </w:r>
    </w:p>
    <w:p>
      <w:pPr>
        <w:pStyle w:val="BodyText"/>
        <w:numPr>
          <w:ilvl w:val="0"/>
          <w:numId w:val="11"/>
        </w:numPr>
        <w:tabs>
          <w:tab w:val="clear" w:pos="709"/>
          <w:tab w:val="left" w:pos="0" w:leader="none"/>
        </w:tabs>
        <w:ind w:hanging="283" w:start="709" w:end="0"/>
        <w:rPr/>
      </w:pPr>
      <w:r>
        <w:rPr>
          <w:rStyle w:val="Strong"/>
        </w:rPr>
        <w:t>3 Most Likely to Drop:</w:t>
      </w:r>
      <w:r>
        <w:rPr/>
        <w:t> AI Hardware Stocks, Nvidia, Nasdaq 100.</w:t>
      </w:r>
    </w:p>
    <w:p>
      <w:pPr>
        <w:pStyle w:val="Heading2"/>
        <w:spacing w:before="0" w:after="283"/>
        <w:ind w:hanging="0" w:start="0" w:end="0"/>
        <w:rPr>
          <w:sz w:val="24"/>
          <w:szCs w:val="24"/>
        </w:rPr>
      </w:pPr>
      <w:r>
        <w:rPr>
          <w:rStyle w:val="Strong"/>
          <w:b/>
          <w:bCs/>
          <w:sz w:val="24"/>
          <w:szCs w:val="24"/>
        </w:rPr>
        <w:t>10. Oil at $103 (The Consumption Tax)</w:t>
      </w:r>
    </w:p>
    <w:p>
      <w:pPr>
        <w:pStyle w:val="BodyText"/>
        <w:ind w:hanging="0" w:start="0" w:end="0"/>
        <w:rPr/>
      </w:pPr>
      <w:r>
        <w:rPr/>
        <w:t>As long as the Strait is blocked, oil is a massive tax on every person on the planet. At $103 per barrel, it wipes out any wage gains or tax cuts. This is the primary driver of the Nitrogen Famine and the overall 3.8% inflation. It is the physical weight that prevents the Dow from staying at 50,000 and it pushes silver and gold higher because higher oil prices boosts mining costs by constraining supply. High oil prices add to economic uncertainty prompting investors to move to Silver and Gold providing a further floor for prices. Oil prices jumped back above $100 after the failure of the one-page peace memorandum this week. EIA: Oil Price Outlook</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before="0" w:after="0"/>
        <w:ind w:hanging="0" w:start="0" w:end="0"/>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before="0" w:after="0"/>
        <w:ind w:hanging="0" w:start="0" w:end="0"/>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12"/>
        </w:numPr>
        <w:tabs>
          <w:tab w:val="clear" w:pos="709"/>
          <w:tab w:val="left" w:pos="0" w:leader="none"/>
        </w:tabs>
        <w:spacing w:before="0" w:after="0"/>
        <w:ind w:hanging="283" w:start="709" w:end="0"/>
        <w:rPr/>
      </w:pPr>
      <w:r>
        <w:rPr>
          <w:rStyle w:val="Strong"/>
        </w:rPr>
        <w:t>3 Most Likely to Rise:</w:t>
      </w:r>
      <w:r>
        <w:rPr/>
        <w:t> Solar/Wind Energy, Nuclear Power, Energy Storage.</w:t>
      </w:r>
    </w:p>
    <w:p>
      <w:pPr>
        <w:pStyle w:val="BodyText"/>
        <w:numPr>
          <w:ilvl w:val="0"/>
          <w:numId w:val="12"/>
        </w:numPr>
        <w:tabs>
          <w:tab w:val="clear" w:pos="709"/>
          <w:tab w:val="left" w:pos="0" w:leader="none"/>
        </w:tabs>
        <w:ind w:hanging="283" w:start="709" w:end="0"/>
        <w:rPr/>
      </w:pPr>
      <w:r>
        <w:rPr>
          <w:rStyle w:val="Strong"/>
        </w:rPr>
        <w:t>3 Most Likely to Drop:</w:t>
      </w:r>
      <w:r>
        <w:rPr/>
        <w:t> Airlines, Trucking Companies, Cruise Lines</w:t>
      </w:r>
    </w:p>
    <w:p>
      <w:pPr>
        <w:pStyle w:val="Heading2"/>
        <w:spacing w:before="0" w:after="283"/>
        <w:ind w:hanging="0" w:start="0" w:end="0"/>
        <w:rPr>
          <w:sz w:val="24"/>
          <w:szCs w:val="24"/>
        </w:rPr>
      </w:pPr>
      <w:r>
        <w:rPr>
          <w:rStyle w:val="Strong"/>
          <w:b/>
          <w:bCs/>
          <w:sz w:val="24"/>
          <w:szCs w:val="24"/>
        </w:rPr>
        <w:t>My Thesis: The Great Rotation</w:t>
      </w:r>
    </w:p>
    <w:p>
      <w:pPr>
        <w:pStyle w:val="BodyText"/>
        <w:ind w:hanging="0" w:start="0" w:end="0"/>
        <w:rPr/>
      </w:pPr>
      <w:r>
        <w:rPr/>
        <w:t>The risks listed above will pull down overvalued tech stocks with crazy high valuations and create a </w:t>
      </w:r>
      <w:r>
        <w:rPr>
          <w:rStyle w:val="Emphasis"/>
        </w:rPr>
        <w:t>great rotation</w:t>
      </w:r>
      <w:r>
        <w:rPr/>
        <w:t> into commodities and real assets like silver and gold. And just a reminder that the 10 above risks to the economy sit on top of the </w:t>
      </w:r>
      <w:r>
        <w:rPr>
          <w:rStyle w:val="Strong"/>
        </w:rPr>
        <w:t>BIGGEST DEBT BUBBLE IN THE HISTORY OF THE WORLD</w:t>
      </w:r>
      <w:r>
        <w:rPr/>
        <w:t>.</w:t>
      </w:r>
    </w:p>
    <w:p>
      <w:pPr>
        <w:pStyle w:val="BodyText"/>
        <w:ind w:hanging="0" w:start="0" w:end="0"/>
        <w:rPr/>
      </w:pPr>
      <w:r>
        <w:rPr>
          <w:rStyle w:val="Strong"/>
        </w:rPr>
        <w:t>What Kevin Warsh will do:</w:t>
      </w:r>
    </w:p>
    <w:p>
      <w:pPr>
        <w:pStyle w:val="BodyText"/>
        <w:ind w:hanging="0" w:start="0" w:end="0"/>
        <w:rPr/>
      </w:pPr>
      <w:r>
        <w:rPr/>
        <w:t>Kevin Warsh, our impressive new Fed chair ( who I call the Exorcist ) is expected to cut </w:t>
      </w:r>
      <w:r>
        <w:rPr>
          <w:rStyle w:val="Strong"/>
        </w:rPr>
        <w:t>short-term interest rates</w:t>
      </w:r>
      <w:r>
        <w:rPr/>
        <w:t> to save the commercial banks from collapse. However, he will also </w:t>
      </w:r>
      <w:r>
        <w:rPr>
          <w:rStyle w:val="Strong"/>
        </w:rPr>
        <w:t>shrink the Fed’s balance sheet</w:t>
      </w:r>
      <w:r>
        <w:rPr/>
        <w:t>, which means he is pulling physical cash out of the stock market. This is </w:t>
      </w:r>
      <w:r>
        <w:rPr>
          <w:rStyle w:val="Strong"/>
        </w:rPr>
        <w:t>Bullish for:</w:t>
      </w:r>
      <w:r>
        <w:rPr/>
        <w:t> Physical Silver, Gold, Large Banks (with strong reserves), and Domestic Commodity Producers. </w:t>
      </w:r>
      <w:r>
        <w:rPr>
          <w:rStyle w:val="Strong"/>
        </w:rPr>
        <w:t>Bearish for:</w:t>
      </w:r>
      <w:r>
        <w:rPr/>
        <w:t> Community Banks (with too many commercial real estate loans), Leveraged Tech Stocks, and Private Credit Funds.</w:t>
      </w:r>
    </w:p>
    <w:p>
      <w:pPr>
        <w:pStyle w:val="BodyText"/>
        <w:ind w:hanging="0" w:start="0" w:end="0"/>
        <w:rPr/>
      </w:pPr>
      <w:r>
        <w:rPr>
          <w:rStyle w:val="Strong"/>
        </w:rPr>
        <w:t>The </w:t>
      </w:r>
      <w:r>
        <w:rPr>
          <w:rStyle w:val="Emphasis"/>
        </w:rPr>
        <w:t>Sound Money</w:t>
      </w:r>
      <w:r>
        <w:rPr>
          <w:rStyle w:val="Strong"/>
        </w:rPr>
        <w:t> paradox and why shrinking the balance sheet is Bullish for Gold/Silver</w:t>
      </w:r>
    </w:p>
    <w:p>
      <w:pPr>
        <w:pStyle w:val="BodyText"/>
        <w:ind w:hanging="0" w:start="0" w:end="0"/>
        <w:rPr/>
      </w:pPr>
      <w:r>
        <w:rPr/>
        <w:t>Normally, shrinking the balance sheet makes the dollar stronger and gold weaker. Except when doing so causes a </w:t>
      </w:r>
      <w:r>
        <w:rPr>
          <w:rStyle w:val="Strong"/>
        </w:rPr>
        <w:t>Liquidity Crisis</w:t>
      </w:r>
      <w:r>
        <w:rPr/>
        <w:t> (a crash). When the paper assets (stocks/bonds) start to evaporate and banks look shaky, people stop caring about the </w:t>
      </w:r>
      <w:r>
        <w:rPr>
          <w:rStyle w:val="Emphasis"/>
        </w:rPr>
        <w:t>Dollar Index </w:t>
      </w:r>
      <w:r>
        <w:rPr/>
        <w:t>and start caring about </w:t>
      </w:r>
      <w:r>
        <w:rPr>
          <w:rStyle w:val="Emphasis"/>
        </w:rPr>
        <w:t>Survival Assets</w:t>
      </w:r>
      <w:r>
        <w:rPr/>
        <w:t>.</w:t>
      </w:r>
    </w:p>
    <w:p>
      <w:pPr>
        <w:pStyle w:val="BodyText"/>
        <w:ind w:hanging="0" w:start="0" w:end="0"/>
        <w:rPr/>
      </w:pPr>
      <w:r>
        <w:rPr/>
        <w:t>In a world swimming in debt, Gold and Silver rise because they are the only things that aren’t someone else’s bad debt. They are sold off for margin calls in a Warsh Liquidity panic but are the first to rise stronger from the ashes. The problems above (Nitrogen, Helium, Energy) are too big for the Fed to fix. You can’t solve a fertilizer shortage by shrinking a balance sheet. Eventually, the market realizes that commodities, Gold and Silver are the main value left.</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before="0" w:after="0"/>
        <w:ind w:hanging="0" w:start="0" w:end="0"/>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spacing w:before="0" w:after="0"/>
        <w:rPr/>
      </w:pPr>
      <w:r>
        <w:rPr/>
        <w:br/>
      </w:r>
    </w:p>
    <w:p>
      <w:pPr>
        <w:pStyle w:val="Normal"/>
        <w:bidi w:val="0"/>
        <w:rPr/>
      </w:pPr>
      <w:r>
        <w:rPr/>
      </w:r>
    </w:p>
    <w:sectPr>
      <w:type w:val="continuous"/>
      <w:pgSz w:w="12240" w:h="15840"/>
      <w:pgMar w:left="1134" w:right="1134" w:gutter="0" w:header="0" w:top="1134" w:footer="0" w:bottom="1134"/>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SimSun" w:cs="Lucida Sans"/>
      <w:b/>
      <w:bCs/>
      <w:sz w:val="24"/>
      <w:szCs w:val="24"/>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Bullet20Symbols">
    <w:name w:val="Bullet_20_Symbols"/>
    <w:qFormat/>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rameContents">
    <w:name w:val="Frame Contents"/>
    <w:basedOn w:val="Normal"/>
    <w:qFormat/>
    <w:pPr/>
    <w:rPr/>
  </w:style>
  <w:style w:type="paragraph" w:styleId="FrameContentsuser">
    <w:name w:val="Frame Contents (user)"/>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investing.com/members/contributors/275185244" TargetMode="External"/><Relationship Id="rId3" Type="http://schemas.openxmlformats.org/officeDocument/2006/relationships/hyperlink" Target="https://www.investing.com/analysis/market-overview" TargetMode="External"/><Relationship Id="rId4" Type="http://schemas.openxmlformats.org/officeDocument/2006/relationships/hyperlink" Target="https://www.investing.com/indices/us-30" TargetMode="External"/><Relationship Id="rId5" Type="http://schemas.openxmlformats.org/officeDocument/2006/relationships/hyperlink" Target="https://www.investing.com/currencies/us-dollar-index" TargetMode="External"/><Relationship Id="rId6" Type="http://schemas.openxmlformats.org/officeDocument/2006/relationships/hyperlink" Target="https://www.investing.com/commodities/crude-oil" TargetMode="External"/><Relationship Id="rId7" Type="http://schemas.openxmlformats.org/officeDocument/2006/relationships/hyperlink" Target="https://www.investing.com/rates-bonds/u.s.-30-year-bond-yield" TargetMode="External"/><Relationship Id="rId8" Type="http://schemas.openxmlformats.org/officeDocument/2006/relationships/image" Target="media/image1.jpeg"/><Relationship Id="rId9" Type="http://schemas.openxmlformats.org/officeDocument/2006/relationships/hyperlink" Target="https://www.investing.com/members/contributors/275185244" TargetMode="External"/><Relationship Id="rId10" Type="http://schemas.openxmlformats.org/officeDocument/2006/relationships/hyperlink" Target="https://www.investing.com/members/contributors/275185244" TargetMode="External"/><Relationship Id="rId11" Type="http://schemas.openxmlformats.org/officeDocument/2006/relationships/hyperlink" Target="https://www.investing.com/members/contributors/275185244/opinion" TargetMode="External"/><Relationship Id="rId12" Type="http://schemas.openxmlformats.org/officeDocument/2006/relationships/hyperlink" Target="https://www.linkedin.com/in/jenbawden/" TargetMode="External"/><Relationship Id="rId13" Type="http://schemas.openxmlformats.org/officeDocument/2006/relationships/hyperlink" Target="https://www.investing.com/indices/us-30" TargetMode="External"/><Relationship Id="rId14" Type="http://schemas.openxmlformats.org/officeDocument/2006/relationships/hyperlink" Target="https://www.investing.com/currencies/us-dollar-index" TargetMode="External"/><Relationship Id="rId15" Type="http://schemas.openxmlformats.org/officeDocument/2006/relationships/hyperlink" Target="https://www.investing.com/commodities/crude-oil" TargetMode="External"/><Relationship Id="rId16" Type="http://schemas.openxmlformats.org/officeDocument/2006/relationships/hyperlink" Target="https://www.investing.com/rates-bonds/u.s.-30-year-bond-yield" TargetMode="External"/><Relationship Id="rId17" Type="http://schemas.openxmlformats.org/officeDocument/2006/relationships/hyperlink" Target="https://www.investing.com/indices/us-30" TargetMode="External"/><Relationship Id="rId18" Type="http://schemas.openxmlformats.org/officeDocument/2006/relationships/hyperlink" Target="https://www.investing.com/rates-bonds/u.s.-30-year-bond-yield" TargetMode="External"/><Relationship Id="rId19" Type="http://schemas.openxmlformats.org/officeDocument/2006/relationships/hyperlink" Target="https://www.investing.com/equities/tesla-motors" TargetMode="External"/><Relationship Id="rId20" Type="http://schemas.openxmlformats.org/officeDocument/2006/relationships/hyperlink" Target="https://www.investing.com/equities/nvidia-corp" TargetMode="External"/><Relationship Id="rId21" Type="http://schemas.openxmlformats.org/officeDocument/2006/relationships/hyperlink" Target="https://www.investing.com/currencies/us-dollar-index" TargetMode="External"/><Relationship Id="rId22" Type="http://schemas.openxmlformats.org/officeDocument/2006/relationships/hyperlink" Target="https://www.investing.com/indices/nq-100" TargetMode="External"/><Relationship Id="rId23" Type="http://schemas.openxmlformats.org/officeDocument/2006/relationships/hyperlink" Target="https://www.investing.com/indices/smallcap-2000" TargetMode="External"/><Relationship Id="rId24" Type="http://schemas.openxmlformats.org/officeDocument/2006/relationships/hyperlink" Target="https://www.investing.com/economic-calendar/cpi-733" TargetMode="External"/><Relationship Id="rId25" Type="http://schemas.openxmlformats.org/officeDocument/2006/relationships/hyperlink" Target="https://www.investing.com/central-banks/fed-rate-monitor" TargetMode="External"/><Relationship Id="rId26" Type="http://schemas.openxmlformats.org/officeDocument/2006/relationships/hyperlink" Target="https://www.investing.com/commodities/crude-oil" TargetMode="External"/><Relationship Id="rId27" Type="http://schemas.openxmlformats.org/officeDocument/2006/relationships/hyperlink" Target="https://www.investing.com/equities/super-micro-compu" TargetMode="Externa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LibreOffice/26.2.3.2$Windows_X86_64 LibreOffice_project/70e089b17412e4cb7773e41413306b17a2328c34</Application>
  <AppVersion>15.0000</AppVersion>
  <Pages>6</Pages>
  <Words>1971</Words>
  <Characters>9857</Characters>
  <CharactersWithSpaces>11727</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2026-05-17T11:03:50Z</dcterms:created>
  <dc:creator/>
  <dc:description/>
  <dc:language>en-US</dc:language>
  <cp:lastModifiedBy/>
  <dcterms:modified xsi:type="dcterms:W3CDTF">2026-05-17T11:59:33Z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