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17049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sacar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16478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sacar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sacar la ultima columna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bCs w:val="1"/>
          <w:color w:val="ef4444"/>
          <w:shd w:fill="1e293b" w:val="clear"/>
        </w:rPr>
      </w:pPr>
      <w:r w:rsidDel="00000000" w:rsidR="00000000" w:rsidRPr="00000000">
        <w:rPr>
          <w:rtl w:val="0"/>
        </w:rPr>
        <w:t xml:space="preserve">Falta el id de la grabación, ejemplo: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4444"/>
          <w:shd w:fill="1e293b" w:val="clear"/>
          <w:rtl w:val="0"/>
        </w:rPr>
        <w:t xml:space="preserve">187654981-20260714-210035-3f384d54-de75-4ec5-972b-8648e63bf3a0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Falta Caja 3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Falta Canal: Ej.: CAJA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esto 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1914525" cy="1809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esto sacar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sacar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sacar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