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Clasificación de Llantas Dañadas mediante Reconocimiento de Textura: CNN desde Cero frente a Transfer Learning, con Interpretabilidad Grad-CAM y Manejo del Desbalance de Clases</w:t>
      </w:r>
    </w:p>
    <w:p>
      <w:pPr>
        <w:spacing w:after="60"/>
        <w:jc w:val="center"/>
      </w:pPr>
      <w:r>
        <w:rPr>
          <w:b/>
          <w:bCs/>
        </w:rPr>
        <w:t xml:space="preserve">Integrantes: </w:t>
      </w:r>
      <w:r>
        <w:rPr>
          <w:b/>
          <w:bCs/>
          <w:color w:val="C00000"/>
        </w:rPr>
        <w:t xml:space="preserve">[COMPLETAR: nombres del grupo, afiliación y correos]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Redes Neuronales y Aprendizaje Profundo — Examen Parcial, Pregunta 1</w:t>
      </w:r>
    </w:p>
    <w:p>
      <w:pPr>
        <w:pStyle w:val="Heading1"/>
      </w:pPr>
      <w:r>
        <w:t xml:space="preserve">Resumen</w:t>
      </w:r>
    </w:p>
    <w:p>
      <w:pPr>
        <w:spacing w:after="160" w:line="276"/>
        <w:jc w:val="both"/>
      </w:pPr>
      <w:r>
        <w:t xml:space="preserve">La inspección manual del estado de las llantas es costosa, subjetiva y difícil de escalar. Proponemos un sistema de clasificación binaria basado en CNN que distingue entre llantas en buen estado y dañadas a partir de la textura superficial. Comparamos una CNN entrenada desde cero contra modelos de transfer learning (ResNet-50 y EfficientNet-B0 preentrenados en ImageNet), evaluando con métricas sensibles al desbalance (precisión, recall, F1 y AUC-ROC). Analizamos el desbalance de clases y tres estrategias de mitigación (pesos de clase, sobremuestreo y pérdida focal). Mediante Grad-CAM interpretamos qué patrones de textura el modelo asocia al daño, y discutimos los modos de fallo. </w:t>
      </w:r>
      <w:r>
        <w:rPr>
          <w:b/>
          <w:bCs/>
          <w:color w:val="C00000"/>
        </w:rPr>
        <w:t xml:space="preserve">[COMPLETAR: resumir el resultado principal con cifras, p. ej. el mejor modelo alcanza F1=0.XX y AUC=0.XX]</w:t>
      </w:r>
    </w:p>
    <w:p>
      <w:pPr>
        <w:pStyle w:val="Heading1"/>
      </w:pPr>
      <w:r>
        <w:t xml:space="preserve">1. Introducción y Motivación</w:t>
      </w:r>
    </w:p>
    <w:p>
      <w:pPr>
        <w:spacing w:after="160" w:line="276"/>
        <w:jc w:val="both"/>
      </w:pPr>
      <w:r>
        <w:t xml:space="preserve">El desgaste y el daño en las llantas constituyen un riesgo crítico para la seguridad vial. La inspección visual humana no escala a entornos industriales y presenta variabilidad entre inspectores. Un clasificador automático fiable podría apoyar el tamizaje, priorizando unidades para revisión experta.</w:t>
      </w:r>
    </w:p>
    <w:p>
      <w:pPr>
        <w:spacing w:after="160" w:line="276"/>
        <w:jc w:val="both"/>
      </w:pPr>
      <w:r>
        <w:t xml:space="preserve">Abordamos la detección de daño como clasificación binaria de imágenes de textura. Nuestras contribuciones son: (i) una CNN propia desde cero comparada con backbones preentrenados; (ii) un estudio del desbalance de clases con varias estrategias de mitigación; (iii) interpretabilidad con Grad-CAM; y (iv) análisis cualitativo de fallos. </w:t>
      </w:r>
      <w:r>
        <w:rPr>
          <w:b/>
          <w:bCs/>
          <w:color w:val="C00000"/>
        </w:rPr>
        <w:t xml:space="preserve">[COMPLETAR: ajustar las contribuciones a lo que obtuviste]</w:t>
      </w:r>
    </w:p>
    <w:p>
      <w:pPr>
        <w:pStyle w:val="Heading1"/>
      </w:pPr>
      <w:r>
        <w:t xml:space="preserve">2. Trabajos Relacionados</w:t>
      </w:r>
    </w:p>
    <w:p>
      <w:pPr>
        <w:spacing w:after="160" w:line="276"/>
        <w:jc w:val="both"/>
      </w:pPr>
      <w:r>
        <w:t xml:space="preserve">Las CNN profundas transformaron la clasificación de imágenes a partir de AlexNet [1] sobre ImageNet [2]. La normalización por lotes [3] estabilizó el entrenamiento, y las conexiones residuales de ResNet [4] permitieron redes muy profundas. EfficientNet [5] propuso un escalado compuesto. Para datos desbalanceados, la pérdida focal [6] enfatiza los ejemplos difíciles. En interpretabilidad, Grad-CAM [7] genera mapas de localización desde los gradientes de la última capa convolucional. </w:t>
      </w:r>
      <w:r>
        <w:rPr>
          <w:b/>
          <w:bCs/>
          <w:color w:val="C00000"/>
        </w:rPr>
        <w:t xml:space="preserve">[COMPLETAR: añade ≥1 referencia de inspección de defectos/textura y la cita del dataset (mínimo 5 en total)]</w:t>
      </w:r>
    </w:p>
    <w:p>
      <w:pPr>
        <w:pStyle w:val="Heading1"/>
      </w:pPr>
      <w:r>
        <w:t xml:space="preserve">3. Metodología</w:t>
      </w:r>
    </w:p>
    <w:p>
      <w:pPr>
        <w:pStyle w:val="Heading2"/>
      </w:pPr>
      <w:r>
        <w:t xml:space="preserve">3.1. Datos y particiones</w:t>
      </w:r>
    </w:p>
    <w:p>
      <w:pPr>
        <w:spacing w:after="160" w:line="276"/>
        <w:jc w:val="both"/>
      </w:pPr>
      <w:r>
        <w:t xml:space="preserve">Usamos el conjunto Tire Texture Image Recognition (Kaggle), con imágenes por clase mapeadas a las etiquetas good (0) y damaged (1). Partición estratificada 70/15/15 con semilla fija. </w:t>
      </w:r>
      <w:r>
        <w:rPr>
          <w:b/>
          <w:bCs/>
          <w:color w:val="C00000"/>
        </w:rPr>
        <w:t xml:space="preserve">[COMPLETAR: reporta nº de imágenes por clase y partición (de outputs/&lt;run&gt;/data_info.json)]</w:t>
      </w:r>
    </w:p>
    <w:p>
      <w:pPr>
        <w:pStyle w:val="Heading2"/>
      </w:pPr>
      <w:r>
        <w:t xml:space="preserve">3.2. Arquitecturas</w:t>
      </w:r>
    </w:p>
    <w:p>
      <w:pPr>
        <w:spacing w:after="160" w:line="276"/>
        <w:jc w:val="both"/>
      </w:pPr>
      <w:r>
        <w:t xml:space="preserve">Comparamos tres modelos: (1) una CNN desde cero de cuatro bloques convolucionales (Conv-BN-ReLU ×2 + max-pooling), global average pooling y cabeza densa con dropout; (2) ResNet-50 preentrenada con la capa final reemplazada por un único logit; (3) EfficientNet-B0 con reemplazo análogo. Todos emiten un solo logit (clase positiva = daño).</w:t>
      </w:r>
    </w:p>
    <w:p>
      <w:pPr>
        <w:pStyle w:val="Heading2"/>
      </w:pPr>
      <w:r>
        <w:t xml:space="preserve">3.3. Funciones de pérdida y desbalance</w:t>
      </w:r>
    </w:p>
    <w:p>
      <w:pPr>
        <w:spacing w:after="160" w:line="276"/>
        <w:jc w:val="both"/>
      </w:pPr>
      <w:r>
        <w:t xml:space="preserve">Pérdida base: entropía cruzada binaria con logits (BCE). Para el desbalance evaluamos pesos de clase (pos_weight = N_neg/N_pos), sobremuestreo (WeightedRandomSampler) y pérdida focal (alpha=0.25, gamma=2.0).</w:t>
      </w:r>
    </w:p>
    <w:p>
      <w:pPr>
        <w:pStyle w:val="Heading2"/>
      </w:pPr>
      <w:r>
        <w:t xml:space="preserve">3.4. Protocolo de entrenamiento</w:t>
      </w:r>
    </w:p>
    <w:p>
      <w:pPr>
        <w:spacing w:after="160" w:line="276"/>
        <w:jc w:val="both"/>
      </w:pPr>
      <w:r>
        <w:t xml:space="preserve">Optimizador AdamW, planificador cosine annealing, precisión mixta (AMP) y early stopping según F1 de validación. </w:t>
      </w:r>
      <w:r>
        <w:rPr>
          <w:b/>
          <w:bCs/>
          <w:color w:val="C00000"/>
        </w:rPr>
        <w:t xml:space="preserve">[COMPLETAR: especifica épocas, batch, learning rate y aumento finales (de config.json)]</w:t>
      </w:r>
    </w:p>
    <w:p>
      <w:pPr>
        <w:pStyle w:val="Heading1"/>
      </w:pPr>
      <w:r>
        <w:t xml:space="preserve">4. Experimentos</w:t>
      </w:r>
    </w:p>
    <w:p>
      <w:pPr>
        <w:spacing w:after="160" w:line="276"/>
        <w:jc w:val="both"/>
      </w:pPr>
      <w:r>
        <w:t xml:space="preserve">Tres bloques: (A) comparación de arquitecturas; (B) ablación sobre tres factores (pérdida, intensidad del aumento de datos y profundidad del backbone); y (C) estudio del desbalance. Todas las métricas se reportan sobre el conjunto de prueba retenido.</w:t>
      </w:r>
    </w:p>
    <w:p>
      <w:pPr>
        <w:pStyle w:val="Heading1"/>
      </w:pPr>
      <w:r>
        <w:t xml:space="preserve">5. Resultados</w:t>
      </w:r>
    </w:p>
    <w:p>
      <w:pPr>
        <w:pStyle w:val="Heading2"/>
      </w:pPr>
      <w:r>
        <w:t xml:space="preserve">5.1. Comparación de arquitecturas</w:t>
      </w:r>
    </w:p>
    <w:p>
      <w:pPr>
        <w:spacing w:after="160" w:line="276"/>
        <w:jc w:val="both"/>
      </w:pPr>
      <w:r>
        <w:t xml:space="preserve">La siguiente tabla resume el desempeño en prueba. </w:t>
      </w:r>
      <w:r>
        <w:rPr>
          <w:b/>
          <w:bCs/>
          <w:color w:val="C00000"/>
        </w:rPr>
        <w:t xml:space="preserve">[COMPLETAR: completar con outputs/comparison_architectures.csv y comentar qué arquitectura gana y por qué]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Exactitud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Precisión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CNN desde cero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ResNet-50 (transfer)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EfficientNet-B0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80"/>
        <w:jc w:val="left"/>
      </w:pPr>
      <w:r>
        <w:rPr>
          <w:i/>
          <w:iCs/>
          <w:sz w:val="18"/>
          <w:szCs w:val="18"/>
        </w:rPr>
        <w:t xml:space="preserve">Tabla. Comparación de arquitecturas en el conjunto de prueba.</w:t>
      </w:r>
    </w:p>
    <w:p>
      <w:pPr>
        <w:shd w:fill="F2F2F2" w:val="clear"/>
        <w:spacing w:after="40" w:before="120"/>
        <w:jc w:val="center"/>
      </w:pPr>
      <w:r>
        <w:rPr>
          <w:i/>
          <w:iCs/>
          <w:color w:val="C00000"/>
        </w:rPr>
        <w:t xml:space="preserve">[ Insertar imagen: confusion_matrix.png ]</w:t>
      </w:r>
      <w:r>
        <w:rPr>
          <w:i/>
          <w:iCs/>
          <w:color w:val="808080"/>
          <w:sz w:val="18"/>
          <w:szCs w:val="18"/>
        </w:rPr>
        <w:br/>
        <w:t xml:space="preserve">Insertar &gt; Imágenes &gt; Este dispositivo… (desde informe/figures/)</w:t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Figura. </w:t>
      </w:r>
      <w:r>
        <w:rPr>
          <w:sz w:val="18"/>
          <w:szCs w:val="18"/>
        </w:rPr>
        <w:t xml:space="preserve">Matriz de confusión del mejor modelo.</w:t>
      </w:r>
    </w:p>
    <w:p>
      <w:pPr>
        <w:shd w:fill="F2F2F2" w:val="clear"/>
        <w:spacing w:after="40" w:before="120"/>
        <w:jc w:val="center"/>
      </w:pPr>
      <w:r>
        <w:rPr>
          <w:i/>
          <w:iCs/>
          <w:color w:val="C00000"/>
        </w:rPr>
        <w:t xml:space="preserve">[ Insertar imagen: roc_curve.png ]</w:t>
      </w:r>
      <w:r>
        <w:rPr>
          <w:i/>
          <w:iCs/>
          <w:color w:val="808080"/>
          <w:sz w:val="18"/>
          <w:szCs w:val="18"/>
        </w:rPr>
        <w:br/>
        <w:t xml:space="preserve">Insertar &gt; Imágenes &gt; Este dispositivo… (desde informe/figures/)</w:t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Figura. </w:t>
      </w:r>
      <w:r>
        <w:rPr>
          <w:sz w:val="18"/>
          <w:szCs w:val="18"/>
        </w:rPr>
        <w:t xml:space="preserve">Curva ROC del mejor modelo (con AUC).</w:t>
      </w:r>
    </w:p>
    <w:p>
      <w:pPr>
        <w:spacing w:after="160" w:line="276"/>
        <w:jc w:val="both"/>
      </w:pPr>
      <w:r>
        <w:t xml:space="preserve">Interpreta los falsos negativos (daño no detectado) frente a los falsos positivos. </w:t>
      </w:r>
      <w:r>
        <w:rPr>
          <w:b/>
          <w:bCs/>
          <w:color w:val="C00000"/>
        </w:rPr>
        <w:t xml:space="preserve">[COMPLETAR: discusión]</w:t>
      </w:r>
    </w:p>
    <w:p>
      <w:pPr>
        <w:pStyle w:val="Heading2"/>
      </w:pPr>
      <w:r>
        <w:t xml:space="preserve">5.2. Estudio de ablación</w:t>
      </w:r>
    </w:p>
    <w:p>
      <w:pPr>
        <w:spacing w:after="160" w:line="276"/>
        <w:jc w:val="both"/>
      </w:pPr>
      <w:r>
        <w:t xml:space="preserve">Efecto de cada factor sobre el desempeño. </w:t>
      </w:r>
      <w:r>
        <w:rPr>
          <w:b/>
          <w:bCs/>
          <w:color w:val="C00000"/>
        </w:rPr>
        <w:t xml:space="preserve">[COMPLETAR: completar con outputs/ablation.csv]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160"/>
        <w:gridCol w:w="1780"/>
        <w:gridCol w:w="1780"/>
        <w:gridCol w:w="1780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Variante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Pérdida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BCE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Pérdida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Focal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Aumento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Aumento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Aumento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ResNet-18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Backbone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ResNet-50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80"/>
        <w:jc w:val="left"/>
      </w:pPr>
      <w:r>
        <w:rPr>
          <w:i/>
          <w:iCs/>
          <w:sz w:val="18"/>
          <w:szCs w:val="18"/>
        </w:rPr>
        <w:t xml:space="preserve">Tabla. Ablación: función de pérdida, aumento de datos y profundidad del backbone.</w:t>
      </w:r>
    </w:p>
    <w:p>
      <w:pPr>
        <w:pStyle w:val="Heading2"/>
      </w:pPr>
      <w:r>
        <w:t xml:space="preserve">5.3. Desbalance de clases</w:t>
      </w:r>
    </w:p>
    <w:p>
      <w:pPr>
        <w:spacing w:after="160" w:line="276"/>
        <w:jc w:val="both"/>
      </w:pPr>
      <w:r>
        <w:t xml:space="preserve">Indica el ratio de desbalance (de data_info.json). </w:t>
      </w:r>
      <w:r>
        <w:rPr>
          <w:b/>
          <w:bCs/>
          <w:color w:val="C00000"/>
        </w:rPr>
        <w:t xml:space="preserve">[COMPLETAR: ratio]</w:t>
      </w:r>
      <w:r>
        <w:t xml:space="preserve"> La tabla compara las estrategias de mitigación frente al modelo sin mitigación. </w:t>
      </w:r>
      <w:r>
        <w:rPr>
          <w:b/>
          <w:bCs/>
          <w:color w:val="C00000"/>
        </w:rPr>
        <w:t xml:space="preserve">[COMPLETAR: completar con outputs/imbalance_study.csv y discutir el trade-off precisión/recall]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Precisión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 mitigación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Pesos de clase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Sobremuestreo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Pérdida focal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80"/>
        <w:jc w:val="left"/>
      </w:pPr>
      <w:r>
        <w:rPr>
          <w:i/>
          <w:iCs/>
          <w:sz w:val="18"/>
          <w:szCs w:val="18"/>
        </w:rPr>
        <w:t xml:space="preserve">Tabla. Efecto de las estrategias de mitigación del desbalance.</w:t>
      </w:r>
    </w:p>
    <w:p>
      <w:pPr>
        <w:pStyle w:val="Heading2"/>
      </w:pPr>
      <w:r>
        <w:t xml:space="preserve">5.4. Interpretabilidad (Grad-CAM)</w:t>
      </w:r>
    </w:p>
    <w:p>
      <w:pPr>
        <w:shd w:fill="F2F2F2" w:val="clear"/>
        <w:spacing w:after="40" w:before="120"/>
        <w:jc w:val="center"/>
      </w:pPr>
      <w:r>
        <w:rPr>
          <w:i/>
          <w:iCs/>
          <w:color w:val="C00000"/>
        </w:rPr>
        <w:t xml:space="preserve">[ Insertar imagen: gradcam.png ]</w:t>
      </w:r>
      <w:r>
        <w:rPr>
          <w:i/>
          <w:iCs/>
          <w:color w:val="808080"/>
          <w:sz w:val="18"/>
          <w:szCs w:val="18"/>
        </w:rPr>
        <w:br/>
        <w:t xml:space="preserve">Insertar &gt; Imágenes &gt; Este dispositivo… (desde informe/figures/)</w:t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Figura. </w:t>
      </w:r>
      <w:r>
        <w:rPr>
          <w:sz w:val="18"/>
          <w:szCs w:val="18"/>
        </w:rPr>
        <w:t xml:space="preserve">Mapas Grad-CAM sobre ejemplos good y damaged.</w:t>
      </w:r>
    </w:p>
    <w:p>
      <w:pPr>
        <w:spacing w:after="160" w:line="276"/>
        <w:jc w:val="both"/>
      </w:pPr>
      <w:r>
        <w:t xml:space="preserve">Describe qué patrones de textura (grietas, deformaciones, bordes irregulares) activan la predicción de daño y si son plausibles. </w:t>
      </w:r>
      <w:r>
        <w:rPr>
          <w:b/>
          <w:bCs/>
          <w:color w:val="C00000"/>
        </w:rPr>
        <w:t xml:space="preserve">[COMPLETAR: discusión]</w:t>
      </w:r>
    </w:p>
    <w:p>
      <w:pPr>
        <w:pStyle w:val="Heading2"/>
      </w:pPr>
      <w:r>
        <w:t xml:space="preserve">5.5. Análisis cualitativo de fallos</w:t>
      </w:r>
    </w:p>
    <w:p>
      <w:pPr>
        <w:shd w:fill="F2F2F2" w:val="clear"/>
        <w:spacing w:after="40" w:before="120"/>
        <w:jc w:val="center"/>
      </w:pPr>
      <w:r>
        <w:rPr>
          <w:i/>
          <w:iCs/>
          <w:color w:val="C00000"/>
        </w:rPr>
        <w:t xml:space="preserve">[ Insertar imagen: failures.png ]</w:t>
      </w:r>
      <w:r>
        <w:rPr>
          <w:i/>
          <w:iCs/>
          <w:color w:val="808080"/>
          <w:sz w:val="18"/>
          <w:szCs w:val="18"/>
        </w:rPr>
        <w:br/>
        <w:t xml:space="preserve">Insertar &gt; Imágenes &gt; Este dispositivo… (desde informe/figures/)</w:t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Figura. </w:t>
      </w:r>
      <w:r>
        <w:rPr>
          <w:sz w:val="18"/>
          <w:szCs w:val="18"/>
        </w:rPr>
        <w:t xml:space="preserve">Ejemplos mal clasificados (falsos negativos y falsos positivos).</w:t>
      </w:r>
    </w:p>
    <w:p>
      <w:pPr>
        <w:spacing w:after="160" w:line="276"/>
        <w:jc w:val="both"/>
      </w:pPr>
      <w:r>
        <w:t xml:space="preserve">Comenta al menos cinco casos con hipótesis de causa (iluminación, oclusión, ambigüedad de etiqueta, daño sutil, textura atípica). </w:t>
      </w:r>
      <w:r>
        <w:rPr>
          <w:b/>
          <w:bCs/>
          <w:color w:val="C00000"/>
        </w:rPr>
        <w:t xml:space="preserve">[COMPLETAR: ≥5 casos]</w:t>
      </w:r>
    </w:p>
    <w:p>
      <w:pPr>
        <w:pStyle w:val="Heading1"/>
      </w:pPr>
      <w:r>
        <w:t xml:space="preserve">6. Discusión y Limitaciones</w:t>
      </w:r>
    </w:p>
    <w:p>
      <w:pPr>
        <w:spacing w:after="160" w:line="276"/>
        <w:jc w:val="both"/>
      </w:pPr>
      <w:r>
        <w:rPr>
          <w:b/>
          <w:bCs/>
          <w:color w:val="C00000"/>
        </w:rPr>
        <w:t xml:space="preserve">[COMPLETAR: discute críticamente]</w:t>
      </w:r>
      <w:r>
        <w:t xml:space="preserve">: tamaño y representatividad del dataset; sesgo en las condiciones de captura; brecha entre prueba y producción; riesgo de despliegue (un falso negativo deja pasar una llanta peligrosa); y dependencia de los pesos de ImageNet, cuyo dominio difiere del de texturas de llantas.</w:t>
      </w:r>
    </w:p>
    <w:p>
      <w:pPr>
        <w:pStyle w:val="Heading1"/>
      </w:pPr>
      <w:r>
        <w:t xml:space="preserve">7. Conclusión</w:t>
      </w:r>
    </w:p>
    <w:p>
      <w:pPr>
        <w:spacing w:after="160" w:line="276"/>
        <w:jc w:val="both"/>
      </w:pPr>
      <w:r>
        <w:rPr>
          <w:b/>
          <w:bCs/>
          <w:color w:val="C00000"/>
        </w:rPr>
        <w:t xml:space="preserve">[COMPLETAR: resume el hallazgo principal, la mejor configuración y una línea de trabajo futuro (p. ej. segmentación del daño o detección multiclase de tipos de defecto)]</w:t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Krizhevsky, A., Sutskever, I., &amp; Hinton, G. E. (2012). ImageNet Classification with Deep Convolutional Neural Networks. NeurIPS.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Deng, J., Dong, W., Socher, R., Li, L.-J., Li, K., &amp; Fei-Fei, L. (2009). ImageNet: A Large-Scale Hierarchical Image Database. CVPR.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Ioffe, S., &amp; Szegedy, C. (2015). Batch Normalization: Accelerating Deep Network Training by Reducing Internal Covariate Shift. ICML.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He, K., Zhang, X., Ren, S., &amp; Sun, J. (2016). Deep Residual Learning for Image Recognition. CVPR.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Tan, M., &amp; Le, Q. V. (2019). EfficientNet: Rethinking Model Scaling for Convolutional Neural Networks. ICML.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Lin, T.-Y., Goyal, P., Girshick, R., He, K., &amp; Dollar, P. (2017). Focal Loss for Dense Object Detection. ICCV.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Selvaraju, R. R., Cogswell, M., Das, A., Vedantam, R., Parikh, D., &amp; Batra, D. (2017). Grad-CAM: Visual Explanations from Deep Networks via Gradient-based Localization. ICCV.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2026-05-28T07:43:23.926Z</dcterms:created>
  <dcterms:modified xsi:type="dcterms:W3CDTF">2026-05-28T07:43:23.927Z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