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2200"/>
        <w:jc w:val="center"/>
      </w:pPr>
      <w:r>
        <w:rPr>
          <w:rFonts w:ascii="Arial" w:cs="Arial" w:eastAsia="Arial" w:hAnsi="Arial"/>
          <w:b/>
          <w:bCs/>
          <w:i w:val="false"/>
          <w:iCs w:val="false"/>
          <w:caps w:val="false"/>
          <w:color w:val="1F4E79"/>
          <w:sz w:val="42"/>
          <w:szCs w:val="42"/>
        </w:rPr>
        <w:t xml:space="preserve">Appendix C</w:t>
      </w:r>
    </w:p>
    <w:p>
      <w:pPr>
        <w:spacing w:after="280"/>
        <w:jc w:val="center"/>
      </w:pPr>
      <w:r>
        <w:rPr>
          <w:rFonts w:ascii="Arial" w:cs="Arial" w:eastAsia="Arial" w:hAnsi="Arial"/>
          <w:b/>
          <w:bCs/>
          <w:i w:val="false"/>
          <w:iCs w:val="false"/>
          <w:caps w:val="false"/>
          <w:color w:val="000000"/>
          <w:sz w:val="30"/>
          <w:szCs w:val="30"/>
        </w:rPr>
        <w:t xml:space="preserve">Sample Implementation Summaries</w:t>
      </w:r>
    </w:p>
    <w:p>
      <w:pPr>
        <w:spacing w:after="220"/>
        <w:jc w:val="center"/>
      </w:pPr>
      <w:r>
        <w:rPr>
          <w:rFonts w:ascii="Arial" w:cs="Arial" w:eastAsia="Arial" w:hAnsi="Arial"/>
          <w:b w:val="false"/>
          <w:bCs w:val="false"/>
          <w:i w:val="false"/>
          <w:iCs w:val="false"/>
          <w:caps w:val="false"/>
          <w:color w:val="000000"/>
          <w:sz w:val="24"/>
          <w:szCs w:val="24"/>
        </w:rPr>
        <w:t xml:space="preserve">KliMalasakit Operational Data Unified System (KODUS)</w:t>
      </w:r>
    </w:p>
    <w:p>
      <w:pPr>
        <w:spacing w:after="650"/>
        <w:jc w:val="center"/>
      </w:pPr>
      <w:r>
        <w:rPr>
          <w:rFonts w:ascii="Arial" w:cs="Arial" w:eastAsia="Arial" w:hAnsi="Arial"/>
          <w:b w:val="false"/>
          <w:bCs w:val="false"/>
          <w:i w:val="false"/>
          <w:iCs w:val="false"/>
          <w:caps w:val="false"/>
          <w:color w:val="000000"/>
          <w:sz w:val="22"/>
          <w:szCs w:val="22"/>
        </w:rPr>
        <w:t xml:space="preserve">Good Practice Documentation Appendix Package</w:t>
      </w:r>
    </w:p>
    <w:p>
      <w:pPr>
        <w:spacing w:after="180"/>
        <w:jc w:val="center"/>
      </w:pPr>
      <w:r>
        <w:rPr>
          <w:rFonts w:ascii="Arial" w:cs="Arial" w:eastAsia="Arial" w:hAnsi="Arial"/>
          <w:b w:val="false"/>
          <w:bCs w:val="false"/>
          <w:i w:val="false"/>
          <w:iCs w:val="false"/>
          <w:caps w:val="false"/>
          <w:color w:val="000000"/>
          <w:sz w:val="22"/>
          <w:szCs w:val="22"/>
        </w:rPr>
        <w:t xml:space="preserve">DSWD Field Office Caraga</w:t>
      </w:r>
    </w:p>
    <w:p>
      <w:pPr>
        <w:spacing w:after="180"/>
        <w:jc w:val="center"/>
      </w:pPr>
      <w:r>
        <w:rPr>
          <w:rFonts w:ascii="Arial" w:cs="Arial" w:eastAsia="Arial" w:hAnsi="Arial"/>
          <w:b w:val="false"/>
          <w:bCs w:val="false"/>
          <w:i/>
          <w:iCs/>
          <w:caps w:val="false"/>
          <w:color w:val="000000"/>
          <w:sz w:val="20"/>
          <w:szCs w:val="20"/>
        </w:rPr>
        <w:t xml:space="preserve">Prepared for Knowledge Management documentation review</w:t>
      </w:r>
    </w:p>
    <w:p>
      <w:pPr>
        <w:jc w:val="center"/>
      </w:pPr>
      <w:r>
        <w:rPr>
          <w:rFonts w:ascii="Arial" w:cs="Arial" w:eastAsia="Arial" w:hAnsi="Arial"/>
          <w:b/>
          <w:bCs/>
          <w:i w:val="false"/>
          <w:iCs w:val="false"/>
          <w:caps w:val="false"/>
          <w:color w:val="C00000"/>
          <w:sz w:val="20"/>
          <w:szCs w:val="20"/>
        </w:rPr>
        <w:t xml:space="preserve">[MANUAL INPUT REQUIRED: Insert official document date, version, reviewer, and approving official]</w:t>
      </w:r>
    </w:p>
    <w:p>
      <w:r>
        <w:br w:type="page"/>
      </w:r>
    </w:p>
    <w:p>
      <w:pPr>
        <w:pStyle w:val="Heading1"/>
        <w:spacing w:after="130" w:before="300" w:line="276"/>
        <w:jc w:val="left"/>
      </w:pPr>
      <w:r>
        <w:rPr>
          <w:rFonts w:ascii="Arial" w:cs="Arial" w:eastAsia="Arial" w:hAnsi="Arial"/>
          <w:b/>
          <w:bCs/>
          <w:i w:val="false"/>
          <w:iCs w:val="false"/>
          <w:caps w:val="false"/>
          <w:color w:val="1F4E79"/>
          <w:sz w:val="30"/>
          <w:szCs w:val="30"/>
        </w:rPr>
        <w:t xml:space="preserve">Table of Contents</w:t>
      </w:r>
    </w:p>
    <w:sdt>
      <w:sdtPr/>
      <w:sdtContent>
        <w:p>
          <w:r>
            <w:fldChar w:fldCharType="begin" w:dirty="true"/>
            <w:instrText xml:space="preserve">TOC \h \o "1-3"</w:instrText>
            <w:fldChar w:fldCharType="separate"/>
          </w:r>
        </w:p>
        <w:p>
          <w:r>
            <w:fldChar w:fldCharType="end"/>
          </w:r>
        </w:p>
      </w:sdtContent>
    </w:sdt>
    <w:p>
      <w:r>
        <w:br w:type="page"/>
      </w:r>
    </w:p>
    <w:p>
      <w:pPr>
        <w:pStyle w:val="Heading1"/>
        <w:spacing w:after="130" w:before="300" w:line="276"/>
        <w:jc w:val="left"/>
      </w:pPr>
      <w:r>
        <w:rPr>
          <w:rFonts w:ascii="Arial" w:cs="Arial" w:eastAsia="Arial" w:hAnsi="Arial"/>
          <w:b/>
          <w:bCs/>
          <w:i w:val="false"/>
          <w:iCs w:val="false"/>
          <w:caps w:val="false"/>
          <w:color w:val="1F4E79"/>
          <w:sz w:val="30"/>
          <w:szCs w:val="30"/>
        </w:rPr>
        <w:t xml:space="preserve">Appendix C - Sample Implementation Summaries</w:t>
      </w:r>
    </w:p>
    <w:p>
      <w:pPr>
        <w:spacing w:after="120" w:before="80" w:line="276"/>
        <w:jc w:val="both"/>
      </w:pPr>
      <w:r>
        <w:rPr>
          <w:rFonts w:ascii="Arial" w:cs="Arial" w:eastAsia="Arial" w:hAnsi="Arial"/>
          <w:b w:val="false"/>
          <w:bCs w:val="false"/>
          <w:i w:val="false"/>
          <w:iCs w:val="false"/>
          <w:caps w:val="false"/>
          <w:color w:val="000000"/>
          <w:sz w:val="22"/>
          <w:szCs w:val="22"/>
        </w:rPr>
        <w:t xml:space="preserve">This appendix forms part of the KODUS Good Practice Documentation package. It is prepared in formal DSWD Knowledge Management style to provide organized evidence, process notes, and documentary references for review, replication, and institutional learning.</w:t>
      </w:r>
    </w:p>
    <w:p>
      <w:pPr>
        <w:spacing w:after="120" w:before="80" w:line="276"/>
        <w:jc w:val="both"/>
      </w:pPr>
      <w:r>
        <w:rPr>
          <w:rFonts w:ascii="Arial" w:cs="Arial" w:eastAsia="Arial" w:hAnsi="Arial"/>
          <w:b w:val="false"/>
          <w:bCs w:val="false"/>
          <w:i w:val="false"/>
          <w:iCs w:val="false"/>
          <w:caps w:val="false"/>
          <w:color w:val="000000"/>
          <w:sz w:val="22"/>
          <w:szCs w:val="22"/>
        </w:rPr>
        <w:t xml:space="preserve">Scope: Synthetic implementation summaries for demonstrating how KODUS supports management review of Project LAWA and BINHI targets, activities, and accomplishments.</w:t>
      </w:r>
    </w:p>
    <w:p>
      <w:pPr>
        <w:spacing w:after="120" w:before="80" w:line="276"/>
        <w:jc w:val="both"/>
      </w:pPr>
      <w:r>
        <w:rPr>
          <w:rFonts w:ascii="Arial" w:cs="Arial" w:eastAsia="Arial" w:hAnsi="Arial"/>
          <w:b w:val="false"/>
          <w:bCs w:val="false"/>
          <w:i w:val="false"/>
          <w:iCs w:val="false"/>
          <w:caps w:val="false"/>
          <w:color w:val="000000"/>
          <w:sz w:val="22"/>
          <w:szCs w:val="22"/>
        </w:rPr>
        <w:t xml:space="preserve">Confidentiality notice: All examples in this appendix use sanitized, aggregate, or synthetic data. Screenshots pending owner validation are marked with manual insertion notices. Passwords, tokens, OAuth secrets, beneficiary data, contact details, private host identifiers, and other sensitive values are excluded.</w:t>
      </w:r>
    </w:p>
    <w:p>
      <w:pPr>
        <w:pStyle w:val="Heading2"/>
        <w:spacing w:after="130" w:before="220" w:line="276"/>
        <w:jc w:val="left"/>
      </w:pPr>
      <w:r>
        <w:rPr>
          <w:rFonts w:ascii="Arial" w:cs="Arial" w:eastAsia="Arial" w:hAnsi="Arial"/>
          <w:b/>
          <w:bCs/>
          <w:i w:val="false"/>
          <w:iCs w:val="false"/>
          <w:caps w:val="false"/>
          <w:color w:val="1F4E79"/>
          <w:sz w:val="25"/>
          <w:szCs w:val="25"/>
        </w:rPr>
        <w:t xml:space="preserve">C.1 Summary Preparation Note</w:t>
      </w:r>
    </w:p>
    <w:p>
      <w:pPr>
        <w:spacing w:after="120" w:before="80" w:line="276"/>
        <w:jc w:val="both"/>
      </w:pPr>
      <w:r>
        <w:rPr>
          <w:rFonts w:ascii="Arial" w:cs="Arial" w:eastAsia="Arial" w:hAnsi="Arial"/>
          <w:b w:val="false"/>
          <w:bCs w:val="false"/>
          <w:i w:val="false"/>
          <w:iCs w:val="false"/>
          <w:caps w:val="false"/>
          <w:color w:val="000000"/>
          <w:sz w:val="22"/>
          <w:szCs w:val="22"/>
        </w:rPr>
        <w:t xml:space="preserve">The sample summaries below are illustrative only. They are designed to show the documentary form and review fields expected in the GPD package without disclosing actual beneficiary-level or personally identifiable records.</w:t>
      </w:r>
    </w:p>
    <w:p>
      <w:pPr>
        <w:spacing w:after="80" w:before="120" w:line="276"/>
        <w:jc w:val="center"/>
      </w:pPr>
      <w:r>
        <w:rPr>
          <w:rFonts w:ascii="Arial" w:cs="Arial" w:eastAsia="Arial" w:hAnsi="Arial"/>
          <w:b w:val="false"/>
          <w:bCs w:val="false"/>
          <w:i w:val="false"/>
          <w:iCs w:val="false"/>
          <w:caps w:val="false"/>
          <w:color w:val="000000"/>
          <w:sz w:val="22"/>
          <w:szCs w:val="22"/>
        </w:rPr>
        <w:t xml:space="preserve">Table C-</w:t>
      </w:r>
      <w:fldSimple w:instr="SEQ TableC \* ARABIC"/>
      <w:r>
        <w:rPr>
          <w:rFonts w:ascii="Arial" w:cs="Arial" w:eastAsia="Arial" w:hAnsi="Arial"/>
          <w:b/>
          <w:bCs/>
          <w:i w:val="false"/>
          <w:iCs w:val="false"/>
          <w:caps w:val="false"/>
          <w:color w:val="000000"/>
          <w:sz w:val="22"/>
          <w:szCs w:val="22"/>
        </w:rPr>
        <w:t xml:space="preserve">. Sample provincial implementation summary</w:t>
      </w:r>
    </w:p>
    <w:tbl>
      <w:tblPr>
        <w:tblW w:type="pct" w:w="100%"/>
        <w:tblBorders>
          <w:top w:val="single" w:color="808080" w:sz="4"/>
          <w:left w:val="single" w:color="808080" w:sz="4"/>
          <w:bottom w:val="single" w:color="808080" w:sz="4"/>
          <w:right w:val="single" w:color="808080" w:sz="4"/>
          <w:insideH w:val="single" w:color="BFBFBF" w:sz="4"/>
          <w:insideV w:val="single" w:color="BFBFBF" w:sz="4"/>
        </w:tblBorders>
      </w:tblPr>
      <w:tblGrid>
        <w:gridCol w:w="100"/>
        <w:gridCol w:w="100"/>
        <w:gridCol w:w="100"/>
        <w:gridCol w:w="100"/>
        <w:gridCol w:w="100"/>
        <w:gridCol w:w="100"/>
      </w:tblGrid>
      <w:tr>
        <w:trPr>
          <w:tblHeader/>
        </w:trPr>
        <w:tc>
          <w:tcPr>
            <w:tcW w:type="pct" w:w="19%"/>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Province</w:t>
            </w:r>
          </w:p>
        </w:tc>
        <w:tc>
          <w:tcPr>
            <w:tcW w:type="pct" w:w="16%"/>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Municipalities covered</w:t>
            </w:r>
          </w:p>
        </w:tc>
        <w:tc>
          <w:tcPr>
            <w:tcW w:type="pct" w:w="16%"/>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Approved target PBs</w:t>
            </w:r>
          </w:p>
        </w:tc>
        <w:tc>
          <w:tcPr>
            <w:tcW w:type="pct" w:w="16%"/>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Imported/validated PBs</w:t>
            </w:r>
          </w:p>
        </w:tc>
        <w:tc>
          <w:tcPr>
            <w:tcW w:type="pct" w:w="16%"/>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Validation status</w:t>
            </w:r>
          </w:p>
        </w:tc>
        <w:tc>
          <w:tcPr>
            <w:tcW w:type="pct" w:w="17%"/>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Management note</w:t>
            </w:r>
          </w:p>
        </w:tc>
      </w:tr>
      <w:tr>
        <w:trPr>
          <w:tblHeader w:val="false"/>
        </w:trPr>
        <w:tc>
          <w:tcPr>
            <w:tcW w:type="pct" w:w="19%"/>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Agusan del Norte</w:t>
            </w:r>
          </w:p>
        </w:tc>
        <w:tc>
          <w:tcPr>
            <w:tcW w:type="pct" w:w="16%"/>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3</w:t>
            </w:r>
          </w:p>
        </w:tc>
        <w:tc>
          <w:tcPr>
            <w:tcW w:type="pct" w:w="16%"/>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120</w:t>
            </w:r>
          </w:p>
        </w:tc>
        <w:tc>
          <w:tcPr>
            <w:tcW w:type="pct" w:w="16%"/>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118</w:t>
            </w:r>
          </w:p>
        </w:tc>
        <w:tc>
          <w:tcPr>
            <w:tcW w:type="pct" w:w="16%"/>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Partial</w:t>
            </w:r>
          </w:p>
        </w:tc>
        <w:tc>
          <w:tcPr>
            <w:tcW w:type="pct" w:w="17%"/>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Two pending entries subject to source workbook reconciliation.</w:t>
            </w:r>
          </w:p>
        </w:tc>
      </w:tr>
      <w:tr>
        <w:trPr>
          <w:tblHeader w:val="false"/>
        </w:trPr>
        <w:tc>
          <w:tcPr>
            <w:tcW w:type="pct" w:w="19%"/>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Agusan del Sur</w:t>
            </w:r>
          </w:p>
        </w:tc>
        <w:tc>
          <w:tcPr>
            <w:tcW w:type="pct" w:w="16%"/>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4</w:t>
            </w:r>
          </w:p>
        </w:tc>
        <w:tc>
          <w:tcPr>
            <w:tcW w:type="pct" w:w="16%"/>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180</w:t>
            </w:r>
          </w:p>
        </w:tc>
        <w:tc>
          <w:tcPr>
            <w:tcW w:type="pct" w:w="16%"/>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180</w:t>
            </w:r>
          </w:p>
        </w:tc>
        <w:tc>
          <w:tcPr>
            <w:tcW w:type="pct" w:w="16%"/>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Validated</w:t>
            </w:r>
          </w:p>
        </w:tc>
        <w:tc>
          <w:tcPr>
            <w:tcW w:type="pct" w:w="17%"/>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Counts aligned with approved target records.</w:t>
            </w:r>
          </w:p>
        </w:tc>
      </w:tr>
      <w:tr>
        <w:trPr>
          <w:tblHeader w:val="false"/>
        </w:trPr>
        <w:tc>
          <w:tcPr>
            <w:tcW w:type="pct" w:w="19%"/>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Surigao del Norte</w:t>
            </w:r>
          </w:p>
        </w:tc>
        <w:tc>
          <w:tcPr>
            <w:tcW w:type="pct" w:w="16%"/>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2</w:t>
            </w:r>
          </w:p>
        </w:tc>
        <w:tc>
          <w:tcPr>
            <w:tcW w:type="pct" w:w="16%"/>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90</w:t>
            </w:r>
          </w:p>
        </w:tc>
        <w:tc>
          <w:tcPr>
            <w:tcW w:type="pct" w:w="16%"/>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94</w:t>
            </w:r>
          </w:p>
        </w:tc>
        <w:tc>
          <w:tcPr>
            <w:tcW w:type="pct" w:w="16%"/>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Over Target</w:t>
            </w:r>
          </w:p>
        </w:tc>
        <w:tc>
          <w:tcPr>
            <w:tcW w:type="pct" w:w="17%"/>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Four excess entries under validation review.</w:t>
            </w:r>
          </w:p>
        </w:tc>
      </w:tr>
      <w:tr>
        <w:trPr>
          <w:tblHeader w:val="false"/>
        </w:trPr>
        <w:tc>
          <w:tcPr>
            <w:tcW w:type="pct" w:w="19%"/>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Surigao del Sur</w:t>
            </w:r>
          </w:p>
        </w:tc>
        <w:tc>
          <w:tcPr>
            <w:tcW w:type="pct" w:w="16%"/>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3</w:t>
            </w:r>
          </w:p>
        </w:tc>
        <w:tc>
          <w:tcPr>
            <w:tcW w:type="pct" w:w="16%"/>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150</w:t>
            </w:r>
          </w:p>
        </w:tc>
        <w:tc>
          <w:tcPr>
            <w:tcW w:type="pct" w:w="16%"/>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150</w:t>
            </w:r>
          </w:p>
        </w:tc>
        <w:tc>
          <w:tcPr>
            <w:tcW w:type="pct" w:w="16%"/>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Validated</w:t>
            </w:r>
          </w:p>
        </w:tc>
        <w:tc>
          <w:tcPr>
            <w:tcW w:type="pct" w:w="17%"/>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Ready for consolidated reporting.</w:t>
            </w:r>
          </w:p>
        </w:tc>
      </w:tr>
      <w:tr>
        <w:trPr>
          <w:tblHeader w:val="false"/>
        </w:trPr>
        <w:tc>
          <w:tcPr>
            <w:tcW w:type="pct" w:w="19%"/>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Dinagat Islands</w:t>
            </w:r>
          </w:p>
        </w:tc>
        <w:tc>
          <w:tcPr>
            <w:tcW w:type="pct" w:w="16%"/>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1</w:t>
            </w:r>
          </w:p>
        </w:tc>
        <w:tc>
          <w:tcPr>
            <w:tcW w:type="pct" w:w="16%"/>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45</w:t>
            </w:r>
          </w:p>
        </w:tc>
        <w:tc>
          <w:tcPr>
            <w:tcW w:type="pct" w:w="16%"/>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42</w:t>
            </w:r>
          </w:p>
        </w:tc>
        <w:tc>
          <w:tcPr>
            <w:tcW w:type="pct" w:w="16%"/>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Partial</w:t>
            </w:r>
          </w:p>
        </w:tc>
        <w:tc>
          <w:tcPr>
            <w:tcW w:type="pct" w:w="17%"/>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Three pending entries awaiting field confirmation.</w:t>
            </w:r>
          </w:p>
        </w:tc>
      </w:tr>
    </w:tbl>
    <w:p>
      <w:pPr>
        <w:spacing w:after="80" w:before="120" w:line="276"/>
        <w:jc w:val="center"/>
      </w:pPr>
      <w:r>
        <w:rPr>
          <w:rFonts w:ascii="Arial" w:cs="Arial" w:eastAsia="Arial" w:hAnsi="Arial"/>
          <w:b w:val="false"/>
          <w:bCs w:val="false"/>
          <w:i w:val="false"/>
          <w:iCs w:val="false"/>
          <w:caps w:val="false"/>
          <w:color w:val="000000"/>
          <w:sz w:val="22"/>
          <w:szCs w:val="22"/>
        </w:rPr>
        <w:t xml:space="preserve">Table C-</w:t>
      </w:r>
      <w:fldSimple w:instr="SEQ TableC \* ARABIC"/>
      <w:r>
        <w:rPr>
          <w:rFonts w:ascii="Arial" w:cs="Arial" w:eastAsia="Arial" w:hAnsi="Arial"/>
          <w:b/>
          <w:bCs/>
          <w:i w:val="false"/>
          <w:iCs w:val="false"/>
          <w:caps w:val="false"/>
          <w:color w:val="000000"/>
          <w:sz w:val="22"/>
          <w:szCs w:val="22"/>
        </w:rPr>
        <w:t xml:space="preserve">. Sample activity accomplishment summary</w:t>
      </w:r>
    </w:p>
    <w:tbl>
      <w:tblPr>
        <w:tblW w:type="pct" w:w="100%"/>
        <w:tblBorders>
          <w:top w:val="single" w:color="808080" w:sz="4"/>
          <w:left w:val="single" w:color="808080" w:sz="4"/>
          <w:bottom w:val="single" w:color="808080" w:sz="4"/>
          <w:right w:val="single" w:color="808080" w:sz="4"/>
          <w:insideH w:val="single" w:color="BFBFBF" w:sz="4"/>
          <w:insideV w:val="single" w:color="BFBFBF" w:sz="4"/>
        </w:tblBorders>
      </w:tblPr>
      <w:tblGrid>
        <w:gridCol w:w="100"/>
        <w:gridCol w:w="100"/>
        <w:gridCol w:w="100"/>
        <w:gridCol w:w="100"/>
        <w:gridCol w:w="100"/>
        <w:gridCol w:w="100"/>
      </w:tblGrid>
      <w:tr>
        <w:trPr>
          <w:tblHeader/>
        </w:trPr>
        <w:tc>
          <w:tcPr>
            <w:tcW w:type="pct" w:w="30%"/>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Activity area</w:t>
            </w:r>
          </w:p>
        </w:tc>
        <w:tc>
          <w:tcPr>
            <w:tcW w:type="pct" w:w="18%"/>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Synthetic reporting period</w:t>
            </w:r>
          </w:p>
        </w:tc>
        <w:tc>
          <w:tcPr>
            <w:tcW w:type="pct" w:w="14%"/>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Planned activities</w:t>
            </w:r>
          </w:p>
        </w:tc>
        <w:tc>
          <w:tcPr>
            <w:tcW w:type="pct" w:w="14%"/>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Completed activities</w:t>
            </w:r>
          </w:p>
        </w:tc>
        <w:tc>
          <w:tcPr>
            <w:tcW w:type="pct" w:w="10%"/>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Variance</w:t>
            </w:r>
          </w:p>
        </w:tc>
        <w:tc>
          <w:tcPr>
            <w:tcW w:type="pct" w:w="14%"/>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Action point</w:t>
            </w:r>
          </w:p>
        </w:tc>
      </w:tr>
      <w:tr>
        <w:trPr>
          <w:tblHeader w:val="false"/>
        </w:trPr>
        <w:tc>
          <w:tcPr>
            <w:tcW w:type="pct" w:w="3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Climate-resilient livelihood support</w:t>
            </w:r>
          </w:p>
        </w:tc>
        <w:tc>
          <w:tcPr>
            <w:tcW w:type="pct" w:w="1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Q1 2026</w:t>
            </w:r>
          </w:p>
        </w:tc>
        <w:tc>
          <w:tcPr>
            <w:tcW w:type="pct" w:w="1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12</w:t>
            </w:r>
          </w:p>
        </w:tc>
        <w:tc>
          <w:tcPr>
            <w:tcW w:type="pct" w:w="1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11</w:t>
            </w:r>
          </w:p>
        </w:tc>
        <w:tc>
          <w:tcPr>
            <w:tcW w:type="pct" w:w="1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-1</w:t>
            </w:r>
          </w:p>
        </w:tc>
        <w:tc>
          <w:tcPr>
            <w:tcW w:type="pct" w:w="1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Confirm rescheduled activity date.</w:t>
            </w:r>
          </w:p>
        </w:tc>
      </w:tr>
      <w:tr>
        <w:trPr>
          <w:tblHeader w:val="false"/>
        </w:trPr>
        <w:tc>
          <w:tcPr>
            <w:tcW w:type="pct" w:w="3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Cash-for-training/work implementation</w:t>
            </w:r>
          </w:p>
        </w:tc>
        <w:tc>
          <w:tcPr>
            <w:tcW w:type="pct" w:w="1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Q1 2026</w:t>
            </w:r>
          </w:p>
        </w:tc>
        <w:tc>
          <w:tcPr>
            <w:tcW w:type="pct" w:w="1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18</w:t>
            </w:r>
          </w:p>
        </w:tc>
        <w:tc>
          <w:tcPr>
            <w:tcW w:type="pct" w:w="1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18</w:t>
            </w:r>
          </w:p>
        </w:tc>
        <w:tc>
          <w:tcPr>
            <w:tcW w:type="pct" w:w="1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0</w:t>
            </w:r>
          </w:p>
        </w:tc>
        <w:tc>
          <w:tcPr>
            <w:tcW w:type="pct" w:w="1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Maintain routine monitoring.</w:t>
            </w:r>
          </w:p>
        </w:tc>
      </w:tr>
      <w:tr>
        <w:trPr>
          <w:tblHeader w:val="false"/>
        </w:trPr>
        <w:tc>
          <w:tcPr>
            <w:tcW w:type="pct" w:w="3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MEB validation and reporting</w:t>
            </w:r>
          </w:p>
        </w:tc>
        <w:tc>
          <w:tcPr>
            <w:tcW w:type="pct" w:w="1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Q1 2026</w:t>
            </w:r>
          </w:p>
        </w:tc>
        <w:tc>
          <w:tcPr>
            <w:tcW w:type="pct" w:w="1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5</w:t>
            </w:r>
          </w:p>
        </w:tc>
        <w:tc>
          <w:tcPr>
            <w:tcW w:type="pct" w:w="1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4</w:t>
            </w:r>
          </w:p>
        </w:tc>
        <w:tc>
          <w:tcPr>
            <w:tcW w:type="pct" w:w="1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-1</w:t>
            </w:r>
          </w:p>
        </w:tc>
        <w:tc>
          <w:tcPr>
            <w:tcW w:type="pct" w:w="1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Complete pending workbook validation.</w:t>
            </w:r>
          </w:p>
        </w:tc>
      </w:tr>
      <w:tr>
        <w:trPr>
          <w:tblHeader w:val="false"/>
        </w:trPr>
        <w:tc>
          <w:tcPr>
            <w:tcW w:type="pct" w:w="3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Monitoring and technical assistance</w:t>
            </w:r>
          </w:p>
        </w:tc>
        <w:tc>
          <w:tcPr>
            <w:tcW w:type="pct" w:w="1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Q1 2026</w:t>
            </w:r>
          </w:p>
        </w:tc>
        <w:tc>
          <w:tcPr>
            <w:tcW w:type="pct" w:w="1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8</w:t>
            </w:r>
          </w:p>
        </w:tc>
        <w:tc>
          <w:tcPr>
            <w:tcW w:type="pct" w:w="1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8</w:t>
            </w:r>
          </w:p>
        </w:tc>
        <w:tc>
          <w:tcPr>
            <w:tcW w:type="pct" w:w="1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0</w:t>
            </w:r>
          </w:p>
        </w:tc>
        <w:tc>
          <w:tcPr>
            <w:tcW w:type="pct" w:w="1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Attach approved monitoring evidence.</w:t>
            </w:r>
          </w:p>
        </w:tc>
      </w:tr>
    </w:tbl>
    <w:p>
      <w:pPr>
        <w:pStyle w:val="Heading2"/>
        <w:spacing w:after="130" w:before="220" w:line="276"/>
        <w:jc w:val="left"/>
      </w:pPr>
      <w:r>
        <w:rPr>
          <w:rFonts w:ascii="Arial" w:cs="Arial" w:eastAsia="Arial" w:hAnsi="Arial"/>
          <w:b/>
          <w:bCs/>
          <w:i w:val="false"/>
          <w:iCs w:val="false"/>
          <w:caps w:val="false"/>
          <w:color w:val="1F4E79"/>
          <w:sz w:val="25"/>
          <w:szCs w:val="25"/>
        </w:rPr>
        <w:t xml:space="preserve">C.2 Sample Narrative Summary</w:t>
      </w:r>
    </w:p>
    <w:p>
      <w:pPr>
        <w:spacing w:after="120" w:before="80" w:line="276"/>
        <w:jc w:val="both"/>
      </w:pPr>
      <w:r>
        <w:rPr>
          <w:rFonts w:ascii="Arial" w:cs="Arial" w:eastAsia="Arial" w:hAnsi="Arial"/>
          <w:b w:val="false"/>
          <w:bCs w:val="false"/>
          <w:i w:val="false"/>
          <w:iCs w:val="false"/>
          <w:caps w:val="false"/>
          <w:color w:val="000000"/>
          <w:sz w:val="22"/>
          <w:szCs w:val="22"/>
        </w:rPr>
        <w:t xml:space="preserve">For the synthetic reporting period, KODUS supported consolidation of target and accomplishment references across covered localities. The dashboard and validation modules enabled management to identify locations with complete validation, partial completion, or records requiring further reconciliation. The generated summaries are intended to support operational decision-making, management review, and preparation of formal reports using controlled and validated source data.</w:t>
      </w:r>
    </w:p>
    <w:p>
      <w:pPr>
        <w:pStyle w:val="Heading2"/>
        <w:spacing w:after="130" w:before="220" w:line="276"/>
        <w:jc w:val="left"/>
      </w:pPr>
      <w:r>
        <w:rPr>
          <w:rFonts w:ascii="Arial" w:cs="Arial" w:eastAsia="Arial" w:hAnsi="Arial"/>
          <w:b/>
          <w:bCs/>
          <w:i w:val="false"/>
          <w:iCs w:val="false"/>
          <w:caps w:val="false"/>
          <w:color w:val="1F4E79"/>
          <w:sz w:val="25"/>
          <w:szCs w:val="25"/>
        </w:rPr>
        <w:t xml:space="preserve">C.3 Recommended Summary Attachments</w:t>
      </w:r>
    </w:p>
    <w:p>
      <w:pPr>
        <w:spacing w:after="120" w:before="80" w:line="276"/>
        <w:jc w:val="both"/>
      </w:pPr>
      <w:r>
        <w:rPr>
          <w:rFonts w:ascii="Arial" w:cs="Arial" w:eastAsia="Arial" w:hAnsi="Arial"/>
          <w:b w:val="false"/>
          <w:bCs w:val="false"/>
          <w:i w:val="false"/>
          <w:iCs w:val="false"/>
          <w:caps w:val="false"/>
          <w:color w:val="000000"/>
          <w:sz w:val="22"/>
          <w:szCs w:val="22"/>
        </w:rPr>
        <w:t xml:space="preserve">The final owner-validated package may attach approved aggregate exports, sanitized screenshots, and signed review sheets. Raw operational workbooks, unmasked beneficiary records, and source files containing personal data shall not be included in the public or KM-facing appendix package.</w:t>
      </w:r>
    </w:p>
    <w:p>
      <w:pPr>
        <w:pStyle w:val="Heading2"/>
        <w:spacing w:after="130" w:before="220" w:line="276"/>
        <w:jc w:val="left"/>
      </w:pPr>
      <w:r>
        <w:rPr>
          <w:rFonts w:ascii="Arial" w:cs="Arial" w:eastAsia="Arial" w:hAnsi="Arial"/>
          <w:b/>
          <w:bCs/>
          <w:i w:val="false"/>
          <w:iCs w:val="false"/>
          <w:caps w:val="false"/>
          <w:color w:val="1F4E79"/>
          <w:sz w:val="25"/>
          <w:szCs w:val="25"/>
        </w:rPr>
        <w:t xml:space="preserve">C. Owner Validation Checklist</w:t>
      </w:r>
    </w:p>
    <w:p>
      <w:pPr>
        <w:spacing w:after="80" w:before="120" w:line="276"/>
        <w:jc w:val="center"/>
      </w:pPr>
      <w:r>
        <w:rPr>
          <w:rFonts w:ascii="Arial" w:cs="Arial" w:eastAsia="Arial" w:hAnsi="Arial"/>
          <w:b w:val="false"/>
          <w:bCs w:val="false"/>
          <w:i w:val="false"/>
          <w:iCs w:val="false"/>
          <w:caps w:val="false"/>
          <w:color w:val="000000"/>
          <w:sz w:val="22"/>
          <w:szCs w:val="22"/>
        </w:rPr>
        <w:t xml:space="preserve">Table C-</w:t>
      </w:r>
      <w:fldSimple w:instr="SEQ TableC \* ARABIC"/>
      <w:r>
        <w:rPr>
          <w:rFonts w:ascii="Arial" w:cs="Arial" w:eastAsia="Arial" w:hAnsi="Arial"/>
          <w:b/>
          <w:bCs/>
          <w:i w:val="false"/>
          <w:iCs w:val="false"/>
          <w:caps w:val="false"/>
          <w:color w:val="000000"/>
          <w:sz w:val="22"/>
          <w:szCs w:val="22"/>
        </w:rPr>
        <w:t xml:space="preserve">. Owner validation checklist</w:t>
      </w:r>
    </w:p>
    <w:tbl>
      <w:tblPr>
        <w:tblW w:type="pct" w:w="100%"/>
        <w:tblBorders>
          <w:top w:val="single" w:color="808080" w:sz="4"/>
          <w:left w:val="single" w:color="808080" w:sz="4"/>
          <w:bottom w:val="single" w:color="808080" w:sz="4"/>
          <w:right w:val="single" w:color="808080" w:sz="4"/>
          <w:insideH w:val="single" w:color="BFBFBF" w:sz="4"/>
          <w:insideV w:val="single" w:color="BFBFBF" w:sz="4"/>
        </w:tblBorders>
      </w:tblPr>
      <w:tblGrid>
        <w:gridCol w:w="100"/>
        <w:gridCol w:w="100"/>
        <w:gridCol w:w="100"/>
      </w:tblGrid>
      <w:tr>
        <w:trPr>
          <w:tblHeader/>
        </w:trPr>
        <w:tc>
          <w:tcPr>
            <w:tcW w:type="pct" w:w="28%"/>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Validation item</w:t>
            </w:r>
          </w:p>
        </w:tc>
        <w:tc>
          <w:tcPr>
            <w:tcW w:type="pct" w:w="52%"/>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Required action</w:t>
            </w:r>
          </w:p>
        </w:tc>
        <w:tc>
          <w:tcPr>
            <w:tcW w:type="pct" w:w="20%"/>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Status</w:t>
            </w:r>
          </w:p>
        </w:tc>
      </w:tr>
      <w:tr>
        <w:trPr>
          <w:tblHeader w:val="false"/>
        </w:trPr>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Sanitization</w:t>
            </w:r>
          </w:p>
        </w:tc>
        <w:tc>
          <w:tcPr>
            <w:tcW w:type="pct" w:w="5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Confirm no beneficiary-level personal information, account secret, token, or password is visible.</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[MANUAL INPUT REQUIRED]</w:t>
            </w:r>
          </w:p>
        </w:tc>
      </w:tr>
      <w:tr>
        <w:trPr>
          <w:tblHeader w:val="false"/>
        </w:trPr>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Currency</w:t>
            </w:r>
          </w:p>
        </w:tc>
        <w:tc>
          <w:tcPr>
            <w:tcW w:type="pct" w:w="5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Confirm screenshots, tables, and process notes reflect the approved KODUS build.</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[MANUAL INPUT REQUIRED]</w:t>
            </w:r>
          </w:p>
        </w:tc>
      </w:tr>
      <w:tr>
        <w:trPr>
          <w:tblHeader w:val="false"/>
        </w:trPr>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Sign-off</w:t>
            </w:r>
          </w:p>
        </w:tc>
        <w:tc>
          <w:tcPr>
            <w:tcW w:type="pct" w:w="5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Record reviewer, date reviewed, and approving official in the title page.</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[MANUAL INPUT REQUIRED]</w:t>
            </w:r>
          </w:p>
        </w:tc>
      </w:tr>
      <w:tr>
        <w:trPr>
          <w:tblHeader w:val="false"/>
        </w:trPr>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Retention</w:t>
            </w:r>
          </w:p>
        </w:tc>
        <w:tc>
          <w:tcPr>
            <w:tcW w:type="pct" w:w="5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File the validated appendix with the controlled GPD/KM documentation set.</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[MANUAL INPUT REQUIRED]</w:t>
            </w:r>
          </w:p>
        </w:tc>
      </w:tr>
    </w:tbl>
    <w:sectPr>
      <w:headerReference w:type="default" r:id="rId7"/>
      <w:footerReference w:type="default" r:id="rId8"/>
      <w:pgSz w:w="11906" w:h="16838" w:orient="portrait"/>
      <w:pgMar w:top="108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bCs/>
        <w:i w:val="false"/>
        <w:iCs w:val="false"/>
        <w:caps w:val="false"/>
        <w:color w:val="666666"/>
        <w:sz w:val="18"/>
        <w:szCs w:val="18"/>
      </w:rPr>
      <w:t xml:space="preserve">FOR OFFICIAL USE ONLY</w:t>
    </w:r>
    <w:r>
      <w:rPr>
        <w:rFonts w:ascii="Arial" w:cs="Arial" w:eastAsia="Arial" w:hAnsi="Arial"/>
        <w:b w:val="false"/>
        <w:bCs w:val="false"/>
        <w:i w:val="false"/>
        <w:iCs w:val="false"/>
        <w:caps w:val="false"/>
        <w:color w:val="666666"/>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b/>
        <w:bCs/>
        <w:i w:val="false"/>
        <w:iCs w:val="false"/>
        <w:caps w:val="false"/>
        <w:color w:val="666666"/>
        <w:sz w:val="18"/>
        <w:szCs w:val="18"/>
      </w:rPr>
      <w:t xml:space="preserve">KODUS Good Practice Documentation - Appendix 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pPr>
    <w:rPr>
      <w:rFonts w:ascii="Arial" w:cs="Arial" w:eastAsia="Arial" w:hAnsi="Arial"/>
      <w:b/>
      <w:bCs/>
      <w:color w:val="1F4E79"/>
      <w:sz w:val="30"/>
      <w:szCs w:val="30"/>
    </w:rPr>
  </w:style>
  <w:style w:type="paragraph" w:styleId="Heading2">
    <w:name w:val="Heading 2"/>
    <w:basedOn w:val="Normal"/>
    <w:next w:val="Normal"/>
    <w:qFormat/>
    <w:pPr>
      <w:spacing w:after="130" w:before="240"/>
    </w:pPr>
    <w:rPr>
      <w:rFonts w:ascii="Arial" w:cs="Arial" w:eastAsia="Arial" w:hAnsi="Arial"/>
      <w:b/>
      <w:bCs/>
      <w:color w:val="1F4E79"/>
      <w:sz w:val="25"/>
      <w:szCs w:val="25"/>
    </w:rPr>
  </w:style>
  <w:style w:type="paragraph" w:styleId="Heading3">
    <w:name w:val="Heading 3"/>
    <w:basedOn w:val="Normal"/>
    <w:next w:val="Normal"/>
    <w:qFormat/>
    <w:pPr>
      <w:spacing w:after="110" w:before="200"/>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C - Sample Implementation Summaries</dc:title>
  <dc:creator>KODUS GPD Appendix Tooling</dc:creator>
  <dc:description>KODUS Good Practice Documentation appendix package</dc:description>
  <cp:lastModifiedBy>Un-named</cp:lastModifiedBy>
  <cp:revision>1</cp:revision>
  <dcterms:created xsi:type="dcterms:W3CDTF">2026-05-12T08:29:32.640Z</dcterms:created>
  <dcterms:modified xsi:type="dcterms:W3CDTF">2026-05-12T08:29:32.640Z</dcterms:modified>
</cp:coreProperties>
</file>

<file path=docProps/custom.xml><?xml version="1.0" encoding="utf-8"?>
<Properties xmlns="http://schemas.openxmlformats.org/officeDocument/2006/custom-properties" xmlns:vt="http://schemas.openxmlformats.org/officeDocument/2006/docPropsVTypes"/>
</file>