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2200"/>
        <w:jc w:val="center"/>
      </w:pPr>
      <w:r>
        <w:rPr>
          <w:rFonts w:ascii="Arial" w:cs="Arial" w:eastAsia="Arial" w:hAnsi="Arial"/>
          <w:b/>
          <w:bCs/>
          <w:i w:val="false"/>
          <w:iCs w:val="false"/>
          <w:caps w:val="false"/>
          <w:color w:val="1F4E79"/>
          <w:sz w:val="42"/>
          <w:szCs w:val="42"/>
        </w:rPr>
        <w:t xml:space="preserve">Appendix D</w:t>
      </w:r>
    </w:p>
    <w:p>
      <w:pPr>
        <w:spacing w:after="280"/>
        <w:jc w:val="center"/>
      </w:pPr>
      <w:r>
        <w:rPr>
          <w:rFonts w:ascii="Arial" w:cs="Arial" w:eastAsia="Arial" w:hAnsi="Arial"/>
          <w:b/>
          <w:bCs/>
          <w:i w:val="false"/>
          <w:iCs w:val="false"/>
          <w:caps w:val="false"/>
          <w:color w:val="000000"/>
          <w:sz w:val="30"/>
          <w:szCs w:val="30"/>
        </w:rPr>
        <w:t xml:space="preserve">Audit-Log Screenshots</w:t>
      </w:r>
    </w:p>
    <w:p>
      <w:pPr>
        <w:spacing w:after="220"/>
        <w:jc w:val="center"/>
      </w:pPr>
      <w:r>
        <w:rPr>
          <w:rFonts w:ascii="Arial" w:cs="Arial" w:eastAsia="Arial" w:hAnsi="Arial"/>
          <w:b w:val="false"/>
          <w:bCs w:val="false"/>
          <w:i w:val="false"/>
          <w:iCs w:val="false"/>
          <w:caps w:val="false"/>
          <w:color w:val="000000"/>
          <w:sz w:val="24"/>
          <w:szCs w:val="24"/>
        </w:rPr>
        <w:t xml:space="preserve">KliMalasakit Operational Data Unified System (KODUS)</w:t>
      </w:r>
    </w:p>
    <w:p>
      <w:pPr>
        <w:spacing w:after="650"/>
        <w:jc w:val="center"/>
      </w:pPr>
      <w:r>
        <w:rPr>
          <w:rFonts w:ascii="Arial" w:cs="Arial" w:eastAsia="Arial" w:hAnsi="Arial"/>
          <w:b w:val="false"/>
          <w:bCs w:val="false"/>
          <w:i w:val="false"/>
          <w:iCs w:val="false"/>
          <w:caps w:val="false"/>
          <w:color w:val="000000"/>
          <w:sz w:val="22"/>
          <w:szCs w:val="22"/>
        </w:rPr>
        <w:t xml:space="preserve">Good Practice Documentation Appendix Package</w:t>
      </w:r>
    </w:p>
    <w:p>
      <w:pPr>
        <w:spacing w:after="180"/>
        <w:jc w:val="center"/>
      </w:pPr>
      <w:r>
        <w:rPr>
          <w:rFonts w:ascii="Arial" w:cs="Arial" w:eastAsia="Arial" w:hAnsi="Arial"/>
          <w:b w:val="false"/>
          <w:bCs w:val="false"/>
          <w:i w:val="false"/>
          <w:iCs w:val="false"/>
          <w:caps w:val="false"/>
          <w:color w:val="000000"/>
          <w:sz w:val="22"/>
          <w:szCs w:val="22"/>
        </w:rPr>
        <w:t xml:space="preserve">DSWD Field Office Caraga</w:t>
      </w:r>
    </w:p>
    <w:p>
      <w:pPr>
        <w:spacing w:after="180"/>
        <w:jc w:val="center"/>
      </w:pPr>
      <w:r>
        <w:rPr>
          <w:rFonts w:ascii="Arial" w:cs="Arial" w:eastAsia="Arial" w:hAnsi="Arial"/>
          <w:b w:val="false"/>
          <w:bCs w:val="false"/>
          <w:i/>
          <w:iCs/>
          <w:caps w:val="false"/>
          <w:color w:val="000000"/>
          <w:sz w:val="20"/>
          <w:szCs w:val="20"/>
        </w:rPr>
        <w:t xml:space="preserve">Prepared for Knowledge Management documentation review</w:t>
      </w:r>
    </w:p>
    <w:p>
      <w:pPr>
        <w:jc w:val="center"/>
      </w:pPr>
      <w:r>
        <w:rPr>
          <w:rFonts w:ascii="Arial" w:cs="Arial" w:eastAsia="Arial" w:hAnsi="Arial"/>
          <w:b/>
          <w:bCs/>
          <w:i w:val="false"/>
          <w:iCs w:val="false"/>
          <w:caps w:val="false"/>
          <w:color w:val="C00000"/>
          <w:sz w:val="20"/>
          <w:szCs w:val="20"/>
        </w:rPr>
        <w:t xml:space="preserve">[MANUAL INPUT REQUIRED: Insert official document date, version, reviewer, and approving official]</w:t>
      </w:r>
    </w:p>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30" w:before="300" w:line="276"/>
        <w:jc w:val="left"/>
      </w:pPr>
      <w:r>
        <w:rPr>
          <w:rFonts w:ascii="Arial" w:cs="Arial" w:eastAsia="Arial" w:hAnsi="Arial"/>
          <w:b/>
          <w:bCs/>
          <w:i w:val="false"/>
          <w:iCs w:val="false"/>
          <w:caps w:val="false"/>
          <w:color w:val="1F4E79"/>
          <w:sz w:val="30"/>
          <w:szCs w:val="30"/>
        </w:rPr>
        <w:t xml:space="preserve">Appendix D - Audit-Log Screenshots</w:t>
      </w:r>
    </w:p>
    <w:p>
      <w:pPr>
        <w:spacing w:after="120" w:before="80" w:line="276"/>
        <w:jc w:val="both"/>
      </w:pPr>
      <w:r>
        <w:rPr>
          <w:rFonts w:ascii="Arial" w:cs="Arial" w:eastAsia="Arial" w:hAnsi="Arial"/>
          <w:b w:val="false"/>
          <w:bCs w:val="false"/>
          <w:i w:val="false"/>
          <w:iCs w:val="false"/>
          <w:caps w:val="false"/>
          <w:color w:val="000000"/>
          <w:sz w:val="22"/>
          <w:szCs w:val="22"/>
        </w:rPr>
        <w:t xml:space="preserve">This appendix forms part of the KODUS Good Practice Documentation package. It is prepared in formal DSWD Knowledge Management style to provide organized evidence, process notes, and documentary references for review, replication, and institutional learning.</w:t>
      </w:r>
    </w:p>
    <w:p>
      <w:pPr>
        <w:spacing w:after="120" w:before="80" w:line="276"/>
        <w:jc w:val="both"/>
      </w:pPr>
      <w:r>
        <w:rPr>
          <w:rFonts w:ascii="Arial" w:cs="Arial" w:eastAsia="Arial" w:hAnsi="Arial"/>
          <w:b w:val="false"/>
          <w:bCs w:val="false"/>
          <w:i w:val="false"/>
          <w:iCs w:val="false"/>
          <w:caps w:val="false"/>
          <w:color w:val="000000"/>
          <w:sz w:val="22"/>
          <w:szCs w:val="22"/>
        </w:rPr>
        <w:t xml:space="preserve">Scope: Audit log views, accountability controls, and sanitized sample audit fields used to document traceability of KODUS actions.</w:t>
      </w:r>
    </w:p>
    <w:p>
      <w:pPr>
        <w:spacing w:after="120" w:before="80" w:line="276"/>
        <w:jc w:val="both"/>
      </w:pPr>
      <w:r>
        <w:rPr>
          <w:rFonts w:ascii="Arial" w:cs="Arial" w:eastAsia="Arial" w:hAnsi="Arial"/>
          <w:b w:val="false"/>
          <w:bCs w:val="false"/>
          <w:i w:val="false"/>
          <w:iCs w:val="false"/>
          <w:caps w:val="false"/>
          <w:color w:val="000000"/>
          <w:sz w:val="22"/>
          <w:szCs w:val="22"/>
        </w:rPr>
        <w:t xml:space="preserve">Confidentiality notice: All examples in this appendix use sanitized, aggregate, or synthetic data. Screenshots pending owner validation are marked with manual insertion notices. Passwords, tokens, OAuth secrets, beneficiary data, contact details, private host identifiers, and other sensitive values are excluded.</w:t>
      </w:r>
    </w:p>
    <w:p>
      <w:pPr>
        <w:pStyle w:val="Heading2"/>
        <w:spacing w:after="130" w:before="220" w:line="276"/>
        <w:jc w:val="left"/>
      </w:pPr>
      <w:r>
        <w:rPr>
          <w:rFonts w:ascii="Arial" w:cs="Arial" w:eastAsia="Arial" w:hAnsi="Arial"/>
          <w:b/>
          <w:bCs/>
          <w:i w:val="false"/>
          <w:iCs w:val="false"/>
          <w:caps w:val="false"/>
          <w:color w:val="1F4E79"/>
          <w:sz w:val="25"/>
          <w:szCs w:val="25"/>
        </w:rPr>
        <w:t xml:space="preserve">D.1 Audit-Log Evidence Standards</w:t>
      </w:r>
    </w:p>
    <w:p>
      <w:pPr>
        <w:spacing w:after="120" w:before="80" w:line="276"/>
        <w:jc w:val="both"/>
      </w:pPr>
      <w:r>
        <w:rPr>
          <w:rFonts w:ascii="Arial" w:cs="Arial" w:eastAsia="Arial" w:hAnsi="Arial"/>
          <w:b w:val="false"/>
          <w:bCs w:val="false"/>
          <w:i w:val="false"/>
          <w:iCs w:val="false"/>
          <w:caps w:val="false"/>
          <w:color w:val="000000"/>
          <w:sz w:val="22"/>
          <w:szCs w:val="22"/>
        </w:rPr>
        <w:t xml:space="preserve">Audit-log evidence shall demonstrate accountability controls without exposing private user details, IP addresses, session identifiers, tokens, or beneficiary-level data. Where screenshots contain sensitive values, the document owner shall redact or replace them before insertion.</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D-</w:t>
      </w:r>
      <w:fldSimple w:instr="SEQ FigureD \* ARABIC"/>
      <w:r>
        <w:rPr>
          <w:rFonts w:ascii="Arial" w:cs="Arial" w:eastAsia="Arial" w:hAnsi="Arial"/>
          <w:b/>
          <w:bCs/>
          <w:i w:val="false"/>
          <w:iCs w:val="false"/>
          <w:caps w:val="false"/>
          <w:color w:val="000000"/>
          <w:sz w:val="22"/>
          <w:szCs w:val="22"/>
        </w:rPr>
        <w:t xml:space="preserve">. Audit Logs Administrative View</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administrative review of user actions, timestamps, and system event details using sanitized values.</w:t>
      </w:r>
    </w:p>
    <w:p>
      <w:pPr>
        <w:spacing w:after="80" w:before="12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14725"/>
                    </a:xfrm>
                    <a:prstGeom prst="rect">
                      <a:avLst/>
                    </a:prstGeom>
                  </pic:spPr>
                </pic:pic>
              </a:graphicData>
            </a:graphic>
          </wp:inline>
        </w:drawing>
      </w:r>
    </w:p>
    <w:p>
      <w:pPr>
        <w:spacing w:after="60" w:before="80" w:line="276"/>
        <w:jc w:val="center"/>
      </w:pPr>
      <w:r>
        <w:rPr>
          <w:rFonts w:ascii="Arial" w:cs="Arial" w:eastAsia="Arial" w:hAnsi="Arial"/>
          <w:b w:val="false"/>
          <w:bCs w:val="false"/>
          <w:i w:val="false"/>
          <w:iCs w:val="false"/>
          <w:caps w:val="false"/>
          <w:color w:val="000000"/>
          <w:sz w:val="22"/>
          <w:szCs w:val="22"/>
        </w:rPr>
        <w:t xml:space="preserve">Figure D-</w:t>
      </w:r>
      <w:fldSimple w:instr="SEQ FigureD \* ARABIC"/>
      <w:r>
        <w:rPr>
          <w:rFonts w:ascii="Arial" w:cs="Arial" w:eastAsia="Arial" w:hAnsi="Arial"/>
          <w:b/>
          <w:bCs/>
          <w:i w:val="false"/>
          <w:iCs w:val="false"/>
          <w:caps w:val="false"/>
          <w:color w:val="000000"/>
          <w:sz w:val="22"/>
          <w:szCs w:val="22"/>
        </w:rPr>
        <w:t xml:space="preserve">. User Management Accountability Context</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Shows the administrative context for role and account actions that may be reflected in the audit trail.</w:t>
      </w:r>
    </w:p>
    <w:tbl>
      <w:tblPr>
        <w:tblW w:type="pct" w:w="100%"/>
        <w:tblBorders>
          <w:top w:val="single" w:color="999999" w:sz="8"/>
          <w:left w:val="single" w:color="999999" w:sz="8"/>
          <w:bottom w:val="single" w:color="999999" w:sz="8"/>
          <w:right w:val="single" w:color="999999" w:sz="8"/>
          <w:insideH w:val="single" w:color="auto" w:sz="4"/>
          <w:insideV w:val="single" w:color="auto" w:sz="4"/>
        </w:tblBorders>
      </w:tblPr>
      <w:tblGrid>
        <w:gridCol w:w="100"/>
      </w:tblGrid>
      <w:tr>
        <w:tc>
          <w:tcPr>
            <w:shd w:fill="F2F2F2" w:val="clear"/>
            <w:tcMar>
              <w:top w:type="dxa" w:w="850"/>
              <w:left w:type="dxa" w:w="120"/>
              <w:bottom w:type="dxa" w:w="850"/>
              <w:right w:type="dxa" w:w="120"/>
            </w:tcMar>
          </w:tcPr>
          <w:p>
            <w:pPr>
              <w:jc w:val="center"/>
            </w:pPr>
            <w:r>
              <w:rPr>
                <w:rFonts w:ascii="Arial" w:cs="Arial" w:eastAsia="Arial" w:hAnsi="Arial"/>
                <w:b/>
                <w:bCs/>
                <w:i w:val="false"/>
                <w:iCs w:val="false"/>
                <w:caps w:val="false"/>
                <w:color w:val="C00000"/>
                <w:sz w:val="22"/>
                <w:szCs w:val="22"/>
              </w:rPr>
              <w:t xml:space="preserve">[MANUAL SCREENSHOT INSERT REQUIRED]</w:t>
            </w:r>
          </w:p>
          <w:p>
            <w:pPr>
              <w:jc w:val="center"/>
            </w:pPr>
            <w:r>
              <w:rPr>
                <w:rFonts w:ascii="Arial" w:cs="Arial" w:eastAsia="Arial" w:hAnsi="Arial"/>
                <w:b/>
                <w:bCs/>
                <w:i w:val="false"/>
                <w:iCs w:val="false"/>
                <w:caps w:val="false"/>
                <w:color w:val="666666"/>
                <w:sz w:val="18"/>
                <w:szCs w:val="18"/>
              </w:rPr>
              <w:t xml:space="preserve">Filtered Audit Search Result</w:t>
            </w:r>
          </w:p>
          <w:p>
            <w:pPr>
              <w:jc w:val="center"/>
            </w:pPr>
            <w:r>
              <w:rPr>
                <w:rFonts w:ascii="Arial" w:cs="Arial" w:eastAsia="Arial" w:hAnsi="Arial"/>
                <w:b w:val="false"/>
                <w:bCs w:val="false"/>
                <w:i/>
                <w:iCs/>
                <w:caps w:val="false"/>
                <w:color w:val="666666"/>
                <w:sz w:val="18"/>
                <w:szCs w:val="18"/>
              </w:rPr>
              <w:t xml:space="preserve">Use sanitized or synthetic data only.</w:t>
            </w:r>
          </w:p>
        </w:tc>
      </w:tr>
    </w:tbl>
    <w:p>
      <w:pPr>
        <w:spacing w:after="60" w:before="80" w:line="276"/>
        <w:jc w:val="center"/>
      </w:pPr>
      <w:r>
        <w:rPr>
          <w:rFonts w:ascii="Arial" w:cs="Arial" w:eastAsia="Arial" w:hAnsi="Arial"/>
          <w:b w:val="false"/>
          <w:bCs w:val="false"/>
          <w:i w:val="false"/>
          <w:iCs w:val="false"/>
          <w:caps w:val="false"/>
          <w:color w:val="000000"/>
          <w:sz w:val="22"/>
          <w:szCs w:val="22"/>
        </w:rPr>
        <w:t xml:space="preserve">Figure D-</w:t>
      </w:r>
      <w:fldSimple w:instr="SEQ FigureD \* ARABIC"/>
      <w:r>
        <w:rPr>
          <w:rFonts w:ascii="Arial" w:cs="Arial" w:eastAsia="Arial" w:hAnsi="Arial"/>
          <w:b/>
          <w:bCs/>
          <w:i w:val="false"/>
          <w:iCs w:val="false"/>
          <w:caps w:val="false"/>
          <w:color w:val="000000"/>
          <w:sz w:val="22"/>
          <w:szCs w:val="22"/>
        </w:rPr>
        <w:t xml:space="preserve">. Filtered Audit Search Result</w:t>
      </w:r>
    </w:p>
    <w:p>
      <w:pPr>
        <w:spacing w:after="150" w:before="20" w:line="276"/>
        <w:jc w:val="both"/>
      </w:pPr>
      <w:r>
        <w:rPr>
          <w:rFonts w:ascii="Arial" w:cs="Arial" w:eastAsia="Arial" w:hAnsi="Arial"/>
          <w:b/>
          <w:bCs/>
          <w:i w:val="false"/>
          <w:iCs w:val="false"/>
          <w:caps w:val="false"/>
          <w:color w:val="000000"/>
          <w:sz w:val="22"/>
          <w:szCs w:val="22"/>
        </w:rPr>
        <w:t xml:space="preserve">Purpose/use: </w:t>
      </w:r>
      <w:r>
        <w:rPr>
          <w:rFonts w:ascii="Arial" w:cs="Arial" w:eastAsia="Arial" w:hAnsi="Arial"/>
          <w:b w:val="false"/>
          <w:bCs w:val="false"/>
          <w:i w:val="false"/>
          <w:iCs w:val="false"/>
          <w:caps w:val="false"/>
          <w:color w:val="000000"/>
          <w:sz w:val="22"/>
          <w:szCs w:val="22"/>
        </w:rPr>
        <w:t xml:space="preserve">Reserved for a sanitized screenshot showing filtered audit results for a selected action category and date range.</w:t>
      </w:r>
    </w:p>
    <w:p>
      <w:pPr>
        <w:pStyle w:val="Heading2"/>
        <w:spacing w:after="130" w:before="220" w:line="276"/>
        <w:jc w:val="left"/>
      </w:pPr>
      <w:r>
        <w:rPr>
          <w:rFonts w:ascii="Arial" w:cs="Arial" w:eastAsia="Arial" w:hAnsi="Arial"/>
          <w:b/>
          <w:bCs/>
          <w:i w:val="false"/>
          <w:iCs w:val="false"/>
          <w:caps w:val="false"/>
          <w:color w:val="1F4E79"/>
          <w:sz w:val="25"/>
          <w:szCs w:val="25"/>
        </w:rPr>
        <w:t xml:space="preserve">D.2 Synthetic Audit-Log Sample</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D-</w:t>
      </w:r>
      <w:fldSimple w:instr="SEQ TableD \* ARABIC"/>
      <w:r>
        <w:rPr>
          <w:rFonts w:ascii="Arial" w:cs="Arial" w:eastAsia="Arial" w:hAnsi="Arial"/>
          <w:b/>
          <w:bCs/>
          <w:i w:val="false"/>
          <w:iCs w:val="false"/>
          <w:caps w:val="false"/>
          <w:color w:val="000000"/>
          <w:sz w:val="22"/>
          <w:szCs w:val="22"/>
        </w:rPr>
        <w:t xml:space="preserve">. Synthetic audit-log sample</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gridCol w:w="100"/>
      </w:tblGrid>
      <w:tr>
        <w:trPr>
          <w:tblHeader/>
        </w:trPr>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Timestamp</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Role</w:t>
            </w:r>
          </w:p>
        </w:tc>
        <w:tc>
          <w:tcPr>
            <w:tcW w:type="pct" w:w="2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Action category</w:t>
            </w:r>
          </w:p>
        </w:tc>
        <w:tc>
          <w:tcPr>
            <w:tcW w:type="pct" w:w="1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Object reference</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Sanitized details</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2026-05-01 09:15</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System Administrator</w:t>
            </w:r>
          </w:p>
        </w:tc>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User status update</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USER-TEST-014</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Test account status changed from Active to Inactive.</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2026-05-01 10:42</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Editor</w:t>
            </w:r>
          </w:p>
        </w:tc>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MEB import</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BATCH-SYN-2026-004</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Synthetic workbook import completed with 120 rows.</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2026-05-02 14:05</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Authorized AA</w:t>
            </w:r>
          </w:p>
        </w:tc>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Validation review</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VAL-SYN-2026-011</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Location status updated to Validated after count reconciliation.</w:t>
            </w:r>
          </w:p>
        </w:tc>
      </w:tr>
      <w:tr>
        <w:trPr>
          <w:tblHeader w:val="false"/>
        </w:trPr>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2026-05-03 08:55</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System</w:t>
            </w:r>
          </w:p>
        </w:tc>
        <w:tc>
          <w:tcPr>
            <w:tcW w:type="pct" w:w="2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Background job</w:t>
            </w:r>
          </w:p>
        </w:tc>
        <w:tc>
          <w:tcPr>
            <w:tcW w:type="pct" w:w="1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DEDUP-SYN-2026-002</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Deduplication job completed; output stored in controlled area.</w:t>
            </w:r>
          </w:p>
        </w:tc>
      </w:tr>
    </w:tbl>
    <w:p>
      <w:pPr>
        <w:pStyle w:val="Heading2"/>
        <w:spacing w:after="130" w:before="220" w:line="276"/>
        <w:jc w:val="left"/>
      </w:pPr>
      <w:r>
        <w:rPr>
          <w:rFonts w:ascii="Arial" w:cs="Arial" w:eastAsia="Arial" w:hAnsi="Arial"/>
          <w:b/>
          <w:bCs/>
          <w:i w:val="false"/>
          <w:iCs w:val="false"/>
          <w:caps w:val="false"/>
          <w:color w:val="1F4E79"/>
          <w:sz w:val="25"/>
          <w:szCs w:val="25"/>
        </w:rPr>
        <w:t xml:space="preserve">D.3 Audit Review Note</w:t>
      </w:r>
    </w:p>
    <w:p>
      <w:pPr>
        <w:spacing w:after="120" w:before="80" w:line="276"/>
        <w:jc w:val="both"/>
      </w:pPr>
      <w:r>
        <w:rPr>
          <w:rFonts w:ascii="Arial" w:cs="Arial" w:eastAsia="Arial" w:hAnsi="Arial"/>
          <w:b w:val="false"/>
          <w:bCs w:val="false"/>
          <w:i w:val="false"/>
          <w:iCs w:val="false"/>
          <w:caps w:val="false"/>
          <w:color w:val="000000"/>
          <w:sz w:val="22"/>
          <w:szCs w:val="22"/>
        </w:rPr>
        <w:t xml:space="preserve">Audit-log extracts included in documentation shall be limited to the minimum fields required to demonstrate the control. Full audit-log exports remain operational records and shall be handled under applicable information security, records management, and privacy requirements.</w:t>
      </w:r>
    </w:p>
    <w:p>
      <w:pPr>
        <w:pStyle w:val="Heading2"/>
        <w:spacing w:after="130" w:before="220" w:line="276"/>
        <w:jc w:val="left"/>
      </w:pPr>
      <w:r>
        <w:rPr>
          <w:rFonts w:ascii="Arial" w:cs="Arial" w:eastAsia="Arial" w:hAnsi="Arial"/>
          <w:b/>
          <w:bCs/>
          <w:i w:val="false"/>
          <w:iCs w:val="false"/>
          <w:caps w:val="false"/>
          <w:color w:val="1F4E79"/>
          <w:sz w:val="25"/>
          <w:szCs w:val="25"/>
        </w:rPr>
        <w:t xml:space="preserve">D. Owner Validation Checklist</w:t>
      </w:r>
    </w:p>
    <w:p>
      <w:pPr>
        <w:spacing w:after="80" w:before="120" w:line="276"/>
        <w:jc w:val="center"/>
      </w:pPr>
      <w:r>
        <w:rPr>
          <w:rFonts w:ascii="Arial" w:cs="Arial" w:eastAsia="Arial" w:hAnsi="Arial"/>
          <w:b w:val="false"/>
          <w:bCs w:val="false"/>
          <w:i w:val="false"/>
          <w:iCs w:val="false"/>
          <w:caps w:val="false"/>
          <w:color w:val="000000"/>
          <w:sz w:val="22"/>
          <w:szCs w:val="22"/>
        </w:rPr>
        <w:t xml:space="preserve">Table D-</w:t>
      </w:r>
      <w:fldSimple w:instr="SEQ TableD \* ARABIC"/>
      <w:r>
        <w:rPr>
          <w:rFonts w:ascii="Arial" w:cs="Arial" w:eastAsia="Arial" w:hAnsi="Arial"/>
          <w:b/>
          <w:bCs/>
          <w:i w:val="false"/>
          <w:iCs w:val="false"/>
          <w:caps w:val="false"/>
          <w:color w:val="000000"/>
          <w:sz w:val="22"/>
          <w:szCs w:val="22"/>
        </w:rPr>
        <w:t xml:space="preserve">. Owner validation checklist</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pct" w:w="28%"/>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Validation item</w:t>
            </w:r>
          </w:p>
        </w:tc>
        <w:tc>
          <w:tcPr>
            <w:tcW w:type="pct" w:w="52%"/>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Required action</w:t>
            </w:r>
          </w:p>
        </w:tc>
        <w:tc>
          <w:tcPr>
            <w:tcW w:type="pct" w:w="20%"/>
            <w:shd w:fill="D9EAF7" w:val="clear"/>
            <w:tcMar>
              <w:top w:type="dxa" w:w="90"/>
              <w:left w:type="dxa" w:w="90"/>
              <w:bottom w:type="dxa" w:w="90"/>
              <w:right w:type="dxa" w:w="90"/>
            </w:tcMar>
          </w:tcPr>
          <w:p>
            <w:pPr>
              <w:spacing w:after="0" w:before="0" w:line="240"/>
              <w:jc w:val="left"/>
            </w:pPr>
            <w:r>
              <w:rPr>
                <w:rFonts w:ascii="Arial" w:cs="Arial" w:eastAsia="Arial" w:hAnsi="Arial"/>
                <w:b/>
                <w:bCs/>
                <w:i w:val="false"/>
                <w:iCs w:val="false"/>
                <w:caps w:val="false"/>
                <w:color w:val="1F4E79"/>
                <w:sz w:val="18"/>
                <w:szCs w:val="18"/>
              </w:rPr>
              <w:t xml:space="preserve">Status</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Sanitization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no beneficiary-level personal information, account secret, token, or password is visible.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Currency</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Confirm screenshots, tables, and process notes reflect the approved KODUS build.</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Sign-off</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Record reviewer, date reviewed, and approving official in the title page.</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r>
        <w:trPr>
          <w:tblHeader w:val="false"/>
        </w:trPr>
        <w:tc>
          <w:tcPr>
            <w:tcW w:type="pct" w:w="28%"/>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Retention</w:t>
            </w:r>
          </w:p>
        </w:tc>
        <w:tc>
          <w:tcPr>
            <w:tcW w:type="pct" w:w="52%"/>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File the validated appendix with the controlled GPD/KM documentation set.</w:t>
            </w:r>
          </w:p>
        </w:tc>
        <w:tc>
          <w:tcPr>
            <w:tcW w:type="pct" w:w="20%"/>
            <w:tcMar>
              <w:top w:type="dxa" w:w="90"/>
              <w:left w:type="dxa" w:w="90"/>
              <w:bottom w:type="dxa" w:w="90"/>
              <w:right w:type="dxa" w:w="90"/>
            </w:tcMar>
          </w:tcPr>
          <w:p>
            <w:pPr>
              <w:spacing w:after="0" w:before="0" w:line="240"/>
              <w:jc w:val="left"/>
            </w:pPr>
            <w:r>
              <w:rPr>
                <w:rFonts w:ascii="Arial" w:cs="Arial" w:eastAsia="Arial" w:hAnsi="Arial"/>
                <w:b w:val="false"/>
                <w:bCs w:val="false"/>
                <w:i w:val="false"/>
                <w:iCs w:val="false"/>
                <w:caps w:val="false"/>
                <w:color w:val="000000"/>
                <w:sz w:val="18"/>
                <w:szCs w:val="18"/>
              </w:rPr>
              <w:t xml:space="preserve">[MANUAL INPUT REQUIRED]</w:t>
            </w:r>
          </w:p>
        </w:tc>
      </w:tr>
    </w:tbl>
    <w:sectPr>
      <w:headerReference w:type="default" r:id="rId7"/>
      <w:footerReference w:type="default" r:id="rId8"/>
      <w:pgSz w:w="11906" w:h="16838" w:orient="portrait"/>
      <w:pgMar w:top="108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i w:val="false"/>
        <w:iCs w:val="false"/>
        <w:caps w:val="false"/>
        <w:color w:val="666666"/>
        <w:sz w:val="18"/>
        <w:szCs w:val="18"/>
      </w:rPr>
      <w:t xml:space="preserve">FOR OFFICIAL USE ONLY</w:t>
    </w:r>
    <w:r>
      <w:rPr>
        <w:rFonts w:ascii="Arial" w:cs="Arial" w:eastAsia="Arial" w:hAnsi="Arial"/>
        <w:b w:val="false"/>
        <w:bCs w:val="false"/>
        <w:i w:val="false"/>
        <w:iCs w:val="false"/>
        <w:caps w:val="false"/>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i w:val="false"/>
        <w:iCs w:val="false"/>
        <w:caps w:val="false"/>
        <w:color w:val="666666"/>
        <w:sz w:val="18"/>
        <w:szCs w:val="18"/>
      </w:rPr>
      <w:t xml:space="preserve">KODUS Good Practice Documentation - Appendix 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Arial" w:cs="Arial" w:eastAsia="Arial" w:hAnsi="Arial"/>
      <w:b/>
      <w:bCs/>
      <w:color w:val="1F4E79"/>
      <w:sz w:val="30"/>
      <w:szCs w:val="30"/>
    </w:rPr>
  </w:style>
  <w:style w:type="paragraph" w:styleId="Heading2">
    <w:name w:val="Heading 2"/>
    <w:basedOn w:val="Normal"/>
    <w:next w:val="Normal"/>
    <w:qFormat/>
    <w:pPr>
      <w:spacing w:after="130" w:before="240"/>
    </w:pPr>
    <w:rPr>
      <w:rFonts w:ascii="Arial" w:cs="Arial" w:eastAsia="Arial" w:hAnsi="Arial"/>
      <w:b/>
      <w:bCs/>
      <w:color w:val="1F4E79"/>
      <w:sz w:val="25"/>
      <w:szCs w:val="25"/>
    </w:rPr>
  </w:style>
  <w:style w:type="paragraph" w:styleId="Heading3">
    <w:name w:val="Heading 3"/>
    <w:basedOn w:val="Normal"/>
    <w:next w:val="Normal"/>
    <w:qFormat/>
    <w:pPr>
      <w:spacing w:after="110" w:before="20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c2ec948107a953a9468d3fab7bfba9eb12676a.png"/><Relationship Id="rId10" Type="http://schemas.openxmlformats.org/officeDocument/2006/relationships/image" Target="media/449d59f97918030397c0675315cef5db301143b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D - Audit-Log Screenshots</dc:title>
  <dc:creator>KODUS GPD Appendix Tooling</dc:creator>
  <dc:description>KODUS Good Practice Documentation appendix package</dc:description>
  <cp:lastModifiedBy>Un-named</cp:lastModifiedBy>
  <cp:revision>1</cp:revision>
  <dcterms:created xsi:type="dcterms:W3CDTF">2026-05-12T08:29:32.692Z</dcterms:created>
  <dcterms:modified xsi:type="dcterms:W3CDTF">2026-05-12T08:29:32.692Z</dcterms:modified>
</cp:coreProperties>
</file>

<file path=docProps/custom.xml><?xml version="1.0" encoding="utf-8"?>
<Properties xmlns="http://schemas.openxmlformats.org/officeDocument/2006/custom-properties" xmlns:vt="http://schemas.openxmlformats.org/officeDocument/2006/docPropsVTypes"/>
</file>