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200"/>
        <w:jc w:val="center"/>
      </w:pPr>
      <w:r>
        <w:rPr>
          <w:rFonts w:ascii="Arial" w:cs="Arial" w:eastAsia="Arial" w:hAnsi="Arial"/>
          <w:b/>
          <w:bCs/>
          <w:i w:val="false"/>
          <w:iCs w:val="false"/>
          <w:caps w:val="false"/>
          <w:color w:val="1F4E79"/>
          <w:sz w:val="42"/>
          <w:szCs w:val="42"/>
        </w:rPr>
        <w:t xml:space="preserve">Appendix E</w:t>
      </w:r>
    </w:p>
    <w:p>
      <w:pPr>
        <w:spacing w:after="280"/>
        <w:jc w:val="center"/>
      </w:pPr>
      <w:r>
        <w:rPr>
          <w:rFonts w:ascii="Arial" w:cs="Arial" w:eastAsia="Arial" w:hAnsi="Arial"/>
          <w:b/>
          <w:bCs/>
          <w:i w:val="false"/>
          <w:iCs w:val="false"/>
          <w:caps w:val="false"/>
          <w:color w:val="000000"/>
          <w:sz w:val="30"/>
          <w:szCs w:val="30"/>
        </w:rPr>
        <w:t xml:space="preserve">Deduplication and Crossmatch Result Samples</w:t>
      </w:r>
    </w:p>
    <w:p>
      <w:pPr>
        <w:spacing w:after="220"/>
        <w:jc w:val="center"/>
      </w:pPr>
      <w:r>
        <w:rPr>
          <w:rFonts w:ascii="Arial" w:cs="Arial" w:eastAsia="Arial" w:hAnsi="Arial"/>
          <w:b w:val="false"/>
          <w:bCs w:val="false"/>
          <w:i w:val="false"/>
          <w:iCs w:val="false"/>
          <w:caps w:val="false"/>
          <w:color w:val="000000"/>
          <w:sz w:val="24"/>
          <w:szCs w:val="24"/>
        </w:rPr>
        <w:t xml:space="preserve">KliMalasakit Operational Data Unified System (KODUS)</w:t>
      </w:r>
    </w:p>
    <w:p>
      <w:pPr>
        <w:spacing w:after="650"/>
        <w:jc w:val="center"/>
      </w:pPr>
      <w:r>
        <w:rPr>
          <w:rFonts w:ascii="Arial" w:cs="Arial" w:eastAsia="Arial" w:hAnsi="Arial"/>
          <w:b w:val="false"/>
          <w:bCs w:val="false"/>
          <w:i w:val="false"/>
          <w:iCs w:val="false"/>
          <w:caps w:val="false"/>
          <w:color w:val="000000"/>
          <w:sz w:val="22"/>
          <w:szCs w:val="22"/>
        </w:rPr>
        <w:t xml:space="preserve">Good Practice Documentation Appendix Package</w:t>
      </w:r>
    </w:p>
    <w:p>
      <w:pPr>
        <w:spacing w:after="180"/>
        <w:jc w:val="center"/>
      </w:pPr>
      <w:r>
        <w:rPr>
          <w:rFonts w:ascii="Arial" w:cs="Arial" w:eastAsia="Arial" w:hAnsi="Arial"/>
          <w:b w:val="false"/>
          <w:bCs w:val="false"/>
          <w:i w:val="false"/>
          <w:iCs w:val="false"/>
          <w:caps w:val="false"/>
          <w:color w:val="000000"/>
          <w:sz w:val="22"/>
          <w:szCs w:val="22"/>
        </w:rPr>
        <w:t xml:space="preserve">DSWD Field Office Caraga</w:t>
      </w:r>
    </w:p>
    <w:p>
      <w:pPr>
        <w:spacing w:after="180"/>
        <w:jc w:val="center"/>
      </w:pPr>
      <w:r>
        <w:rPr>
          <w:rFonts w:ascii="Arial" w:cs="Arial" w:eastAsia="Arial" w:hAnsi="Arial"/>
          <w:b w:val="false"/>
          <w:bCs w:val="false"/>
          <w:i/>
          <w:iCs/>
          <w:caps w:val="false"/>
          <w:color w:val="000000"/>
          <w:sz w:val="20"/>
          <w:szCs w:val="20"/>
        </w:rPr>
        <w:t xml:space="preserve">Prepared for Knowledge Management documentation review</w:t>
      </w:r>
    </w:p>
    <w:p>
      <w:pPr>
        <w:jc w:val="center"/>
      </w:pPr>
      <w:r>
        <w:rPr>
          <w:rFonts w:ascii="Arial" w:cs="Arial" w:eastAsia="Arial" w:hAnsi="Arial"/>
          <w:b/>
          <w:bCs/>
          <w:i w:val="false"/>
          <w:iCs w:val="false"/>
          <w:caps w:val="false"/>
          <w:color w:val="C00000"/>
          <w:sz w:val="20"/>
          <w:szCs w:val="20"/>
        </w:rPr>
        <w:t xml:space="preserve">[MANUAL INPUT REQUIRED: Insert official document date, version, reviewer, and approving official]</w:t>
      </w:r>
    </w:p>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E - Deduplication and Crossmatch Result Samples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Synthetic duplicate-detection and crossmatch result formats for demonstrating KODUS matching outputs while preserving confidentiality.</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E.1 Result Interpretation Note</w:t>
      </w:r>
    </w:p>
    <w:p>
      <w:pPr>
        <w:spacing w:after="120" w:before="80" w:line="276"/>
        <w:jc w:val="both"/>
      </w:pPr>
      <w:r>
        <w:rPr>
          <w:rFonts w:ascii="Arial" w:cs="Arial" w:eastAsia="Arial" w:hAnsi="Arial"/>
          <w:b w:val="false"/>
          <w:bCs w:val="false"/>
          <w:i w:val="false"/>
          <w:iCs w:val="false"/>
          <w:caps w:val="false"/>
          <w:color w:val="000000"/>
          <w:sz w:val="22"/>
          <w:szCs w:val="22"/>
        </w:rPr>
        <w:t xml:space="preserve">The following samples use synthetic record codes, synthetic names, and non-production scores. They demonstrate how reviewers may interpret possible duplicate groups and crossmatch candidates. No real beneficiary identifiers are included.</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E-</w:t>
      </w:r>
      <w:fldSimple w:instr="SEQ FigureE \* ARABIC"/>
      <w:r>
        <w:rPr>
          <w:rFonts w:ascii="Arial" w:cs="Arial" w:eastAsia="Arial" w:hAnsi="Arial"/>
          <w:b/>
          <w:bCs/>
          <w:i w:val="false"/>
          <w:iCs w:val="false"/>
          <w:caps w:val="false"/>
          <w:color w:val="000000"/>
          <w:sz w:val="22"/>
          <w:szCs w:val="22"/>
        </w:rPr>
        <w:t xml:space="preserve">. Deduplication Upload / Recent Jobs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entry point for deduplication processing using synthetic or test upload references.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E-</w:t>
      </w:r>
      <w:fldSimple w:instr="SEQ FigureE \* ARABIC"/>
      <w:r>
        <w:rPr>
          <w:rFonts w:ascii="Arial" w:cs="Arial" w:eastAsia="Arial" w:hAnsi="Arial"/>
          <w:b/>
          <w:bCs/>
          <w:i w:val="false"/>
          <w:iCs w:val="false"/>
          <w:caps w:val="false"/>
          <w:color w:val="000000"/>
          <w:sz w:val="22"/>
          <w:szCs w:val="22"/>
        </w:rPr>
        <w:t xml:space="preserve">. Crossmatch Upload / Candidate Review</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crossmatch setup and candidate review controls using synthetic references.</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E-</w:t>
      </w:r>
      <w:fldSimple w:instr="SEQ TableE \* ARABIC"/>
      <w:r>
        <w:rPr>
          <w:rFonts w:ascii="Arial" w:cs="Arial" w:eastAsia="Arial" w:hAnsi="Arial"/>
          <w:b/>
          <w:bCs/>
          <w:i w:val="false"/>
          <w:iCs w:val="false"/>
          <w:caps w:val="false"/>
          <w:color w:val="000000"/>
          <w:sz w:val="22"/>
          <w:szCs w:val="22"/>
        </w:rPr>
        <w:t xml:space="preserve">. Synthetic deduplication group sample</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gridCol w:w="100"/>
      </w:tblGrid>
      <w:tr>
        <w:trPr>
          <w:tblHeader/>
        </w:trPr>
        <w:tc>
          <w:tcPr>
            <w:tcW w:type="pct" w:w="13%"/>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Group ID</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Synthetic record code</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Synthetic display name</w:t>
            </w:r>
          </w:p>
        </w:tc>
        <w:tc>
          <w:tcPr>
            <w:tcW w:type="pct" w:w="17%"/>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Location hint</w:t>
            </w:r>
          </w:p>
        </w:tc>
        <w:tc>
          <w:tcPr>
            <w:tcW w:type="pct" w:w="13%"/>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Similarity score</w:t>
            </w:r>
          </w:p>
        </w:tc>
        <w:tc>
          <w:tcPr>
            <w:tcW w:type="pct" w:w="17%"/>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Reviewer disposition</w:t>
            </w:r>
          </w:p>
        </w:tc>
      </w:tr>
      <w:tr>
        <w:trPr>
          <w:tblHeader w:val="false"/>
        </w:trPr>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DG-001</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REC-SYN-00041</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Person Alpha</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Municipality A</w:t>
            </w:r>
          </w:p>
        </w:tc>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96%</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Probable duplicate; confirm source workbook.</w:t>
            </w:r>
          </w:p>
        </w:tc>
      </w:tr>
      <w:tr>
        <w:trPr>
          <w:tblHeader w:val="false"/>
        </w:trPr>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DG-001</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REC-SYN-00077</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Person Alfa</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Municipality A</w:t>
            </w:r>
          </w:p>
        </w:tc>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96%</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Probable duplicate; same group as REC-SYN-00041.</w:t>
            </w:r>
          </w:p>
        </w:tc>
      </w:tr>
      <w:tr>
        <w:trPr>
          <w:tblHeader w:val="false"/>
        </w:trPr>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DG-002</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REC-SYN-00118</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Person Beta</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Municipality B</w:t>
            </w:r>
          </w:p>
        </w:tc>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88%</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Possible duplicate; review supporting fields.</w:t>
            </w:r>
          </w:p>
        </w:tc>
      </w:tr>
      <w:tr>
        <w:trPr>
          <w:tblHeader w:val="false"/>
        </w:trPr>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DG-002</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REC-SYN-00204</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Person B.</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Municipality B</w:t>
            </w:r>
          </w:p>
        </w:tc>
        <w:tc>
          <w:tcPr>
            <w:tcW w:type="pct" w:w="13%"/>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88%</w:t>
            </w:r>
          </w:p>
        </w:tc>
        <w:tc>
          <w:tcPr>
            <w:tcW w:type="pct" w:w="17%"/>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Possible duplicate; review supporting fields.</w:t>
            </w:r>
          </w:p>
        </w:tc>
      </w:tr>
    </w:tbl>
    <w:p>
      <w:pPr>
        <w:spacing w:after="80" w:before="120" w:line="276"/>
        <w:jc w:val="center"/>
      </w:pPr>
      <w:r>
        <w:rPr>
          <w:rFonts w:ascii="Arial" w:cs="Arial" w:eastAsia="Arial" w:hAnsi="Arial"/>
          <w:b w:val="false"/>
          <w:bCs w:val="false"/>
          <w:i w:val="false"/>
          <w:iCs w:val="false"/>
          <w:caps w:val="false"/>
          <w:color w:val="000000"/>
          <w:sz w:val="22"/>
          <w:szCs w:val="22"/>
        </w:rPr>
        <w:t xml:space="preserve">Table E-</w:t>
      </w:r>
      <w:fldSimple w:instr="SEQ TableE \* ARABIC"/>
      <w:r>
        <w:rPr>
          <w:rFonts w:ascii="Arial" w:cs="Arial" w:eastAsia="Arial" w:hAnsi="Arial"/>
          <w:b/>
          <w:bCs/>
          <w:i w:val="false"/>
          <w:iCs w:val="false"/>
          <w:caps w:val="false"/>
          <w:color w:val="000000"/>
          <w:sz w:val="22"/>
          <w:szCs w:val="22"/>
        </w:rPr>
        <w:t xml:space="preserve">. Synthetic crossmatch candidate sample</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gridCol w:w="100"/>
      </w:tblGrid>
      <w:tr>
        <w:trPr>
          <w:tblHeader/>
        </w:trPr>
        <w:tc>
          <w:tcPr>
            <w:tcW w:type="pct" w:w="1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Uploaded record</w:t>
            </w:r>
          </w:p>
        </w:tc>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Top candidate</w:t>
            </w:r>
          </w:p>
        </w:tc>
        <w:tc>
          <w:tcPr>
            <w:tcW w:type="pct" w:w="1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Name score</w:t>
            </w:r>
          </w:p>
        </w:tc>
        <w:tc>
          <w:tcPr>
            <w:tcW w:type="pct" w:w="1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Location score</w:t>
            </w:r>
          </w:p>
        </w:tc>
        <w:tc>
          <w:tcPr>
            <w:tcW w:type="pct" w:w="1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Overall score</w:t>
            </w:r>
          </w:p>
        </w:tc>
        <w:tc>
          <w:tcPr>
            <w:tcW w:type="pct" w:w="15%"/>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Recommended action</w:t>
            </w:r>
          </w:p>
        </w:tc>
      </w:tr>
      <w:tr>
        <w:trPr>
          <w:tblHeader w:val="false"/>
        </w:trPr>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UP-SYN-0031</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MEB-SYN-0881</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92%</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100%</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95%</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as likely match.</w:t>
            </w:r>
          </w:p>
        </w:tc>
      </w:tr>
      <w:tr>
        <w:trPr>
          <w:tblHeader w:val="false"/>
        </w:trPr>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UP-SYN-0032</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MEB-SYN-1024</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76%</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100%</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83%</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Review before acceptance.</w:t>
            </w:r>
          </w:p>
        </w:tc>
      </w:tr>
      <w:tr>
        <w:trPr>
          <w:tblHeader w:val="false"/>
        </w:trPr>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UP-SYN-0033</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 candidate above threshold</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N/A</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N/A</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N/A</w:t>
            </w:r>
          </w:p>
        </w:tc>
        <w:tc>
          <w:tcPr>
            <w:tcW w:type="pct" w:w="15%"/>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Treat as no automated match.</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E.2 Reviewer Handling Guidance</w:t>
      </w:r>
    </w:p>
    <w:p>
      <w:pPr>
        <w:spacing w:after="120" w:before="80" w:line="276"/>
        <w:jc w:val="both"/>
      </w:pPr>
      <w:r>
        <w:rPr>
          <w:rFonts w:ascii="Arial" w:cs="Arial" w:eastAsia="Arial" w:hAnsi="Arial"/>
          <w:b w:val="false"/>
          <w:bCs w:val="false"/>
          <w:i w:val="false"/>
          <w:iCs w:val="false"/>
          <w:caps w:val="false"/>
          <w:color w:val="000000"/>
          <w:sz w:val="22"/>
          <w:szCs w:val="22"/>
        </w:rPr>
        <w:t xml:space="preserve">Automated scores are decision-support outputs and do not by themselves establish identity or eligibility. The accountable reviewer shall examine source-authorized evidence, document the basis for acceptance or rejection, and retain only the minimum necessary evidence in the controlled operational record.</w:t>
      </w:r>
    </w:p>
    <w:p>
      <w:pPr>
        <w:pStyle w:val="Heading2"/>
        <w:spacing w:after="130" w:before="220" w:line="276"/>
        <w:jc w:val="left"/>
      </w:pPr>
      <w:r>
        <w:rPr>
          <w:rFonts w:ascii="Arial" w:cs="Arial" w:eastAsia="Arial" w:hAnsi="Arial"/>
          <w:b/>
          <w:bCs/>
          <w:i w:val="false"/>
          <w:iCs w:val="false"/>
          <w:caps w:val="false"/>
          <w:color w:val="1F4E79"/>
          <w:sz w:val="25"/>
          <w:szCs w:val="25"/>
        </w:rPr>
        <w:t xml:space="preserve">E.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E-</w:t>
      </w:r>
      <w:fldSimple w:instr="SEQ TableE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sectPr>
      <w:headerReference w:type="default" r:id="rId7"/>
      <w:footerReference w:type="default" r:id="rId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val="false"/>
        <w:iCs w:val="false"/>
        <w:caps w:val="false"/>
        <w:color w:val="666666"/>
        <w:sz w:val="18"/>
        <w:szCs w:val="18"/>
      </w:rPr>
      <w:t xml:space="preserve">FOR OFFICIAL USE ONLY</w:t>
    </w:r>
    <w:r>
      <w:rPr>
        <w:rFonts w:ascii="Arial" w:cs="Arial" w:eastAsia="Arial" w:hAnsi="Arial"/>
        <w:b w:val="false"/>
        <w:bCs w:val="false"/>
        <w:i w:val="false"/>
        <w:iCs w:val="false"/>
        <w:cap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i w:val="false"/>
        <w:iCs w:val="false"/>
        <w:caps w:val="false"/>
        <w:color w:val="666666"/>
        <w:sz w:val="18"/>
        <w:szCs w:val="18"/>
      </w:rPr>
      <w:t xml:space="preserve">KODUS Good Practice Documentation - Appendix 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4E79"/>
      <w:sz w:val="30"/>
      <w:szCs w:val="30"/>
    </w:rPr>
  </w:style>
  <w:style w:type="paragraph" w:styleId="Heading2">
    <w:name w:val="Heading 2"/>
    <w:basedOn w:val="Normal"/>
    <w:next w:val="Normal"/>
    <w:qFormat/>
    <w:pPr>
      <w:spacing w:after="130" w:before="240"/>
    </w:pPr>
    <w:rPr>
      <w:rFonts w:ascii="Arial" w:cs="Arial" w:eastAsia="Arial" w:hAnsi="Arial"/>
      <w:b/>
      <w:bCs/>
      <w:color w:val="1F4E79"/>
      <w:sz w:val="25"/>
      <w:szCs w:val="25"/>
    </w:rPr>
  </w:style>
  <w:style w:type="paragraph" w:styleId="Heading3">
    <w:name w:val="Heading 3"/>
    <w:basedOn w:val="Normal"/>
    <w:next w:val="Normal"/>
    <w:qFormat/>
    <w:pPr>
      <w:spacing w:after="110" w:before="20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d00c95bbd4ef9b5e97902d25bf219837a149f2.png"/><Relationship Id="rId10" Type="http://schemas.openxmlformats.org/officeDocument/2006/relationships/image" Target="media/4581ed10c692a18b61600515b0d001d021f165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E - Deduplication and Crossmatch Result Samples</dc:title>
  <dc:creator>KODUS GPD Appendix Tooling</dc:creator>
  <dc:description>KODUS Good Practice Documentation appendix package</dc:description>
  <cp:lastModifiedBy>Un-named</cp:lastModifiedBy>
  <cp:revision>1</cp:revision>
  <dcterms:created xsi:type="dcterms:W3CDTF">2026-05-12T08:29:32.772Z</dcterms:created>
  <dcterms:modified xsi:type="dcterms:W3CDTF">2026-05-12T08:29:32.773Z</dcterms:modified>
</cp:coreProperties>
</file>

<file path=docProps/custom.xml><?xml version="1.0" encoding="utf-8"?>
<Properties xmlns="http://schemas.openxmlformats.org/officeDocument/2006/custom-properties" xmlns:vt="http://schemas.openxmlformats.org/officeDocument/2006/docPropsVTypes"/>
</file>