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20" w:before="2200"/>
        <w:jc w:val="center"/>
      </w:pPr>
      <w:r>
        <w:rPr>
          <w:rFonts w:ascii="Arial" w:cs="Arial" w:eastAsia="Arial" w:hAnsi="Arial"/>
          <w:b/>
          <w:bCs/>
          <w:i w:val="false"/>
          <w:iCs w:val="false"/>
          <w:caps w:val="false"/>
          <w:color w:val="1F4E79"/>
          <w:sz w:val="42"/>
          <w:szCs w:val="42"/>
        </w:rPr>
        <w:t xml:space="preserve">Appendix G</w:t>
      </w:r>
    </w:p>
    <w:p>
      <w:pPr>
        <w:spacing w:after="280"/>
        <w:jc w:val="center"/>
      </w:pPr>
      <w:r>
        <w:rPr>
          <w:rFonts w:ascii="Arial" w:cs="Arial" w:eastAsia="Arial" w:hAnsi="Arial"/>
          <w:b/>
          <w:bCs/>
          <w:i w:val="false"/>
          <w:iCs w:val="false"/>
          <w:caps w:val="false"/>
          <w:color w:val="000000"/>
          <w:sz w:val="30"/>
          <w:szCs w:val="30"/>
        </w:rPr>
        <w:t xml:space="preserve">Deployment Documentation</w:t>
      </w:r>
    </w:p>
    <w:p>
      <w:pPr>
        <w:spacing w:after="220"/>
        <w:jc w:val="center"/>
      </w:pPr>
      <w:r>
        <w:rPr>
          <w:rFonts w:ascii="Arial" w:cs="Arial" w:eastAsia="Arial" w:hAnsi="Arial"/>
          <w:b w:val="false"/>
          <w:bCs w:val="false"/>
          <w:i w:val="false"/>
          <w:iCs w:val="false"/>
          <w:caps w:val="false"/>
          <w:color w:val="000000"/>
          <w:sz w:val="24"/>
          <w:szCs w:val="24"/>
        </w:rPr>
        <w:t xml:space="preserve">KliMalasakit Operational Data Unified System (KODUS)</w:t>
      </w:r>
    </w:p>
    <w:p>
      <w:pPr>
        <w:spacing w:after="650"/>
        <w:jc w:val="center"/>
      </w:pPr>
      <w:r>
        <w:rPr>
          <w:rFonts w:ascii="Arial" w:cs="Arial" w:eastAsia="Arial" w:hAnsi="Arial"/>
          <w:b w:val="false"/>
          <w:bCs w:val="false"/>
          <w:i w:val="false"/>
          <w:iCs w:val="false"/>
          <w:caps w:val="false"/>
          <w:color w:val="000000"/>
          <w:sz w:val="22"/>
          <w:szCs w:val="22"/>
        </w:rPr>
        <w:t xml:space="preserve">Good Practice Documentation Appendix Package</w:t>
      </w:r>
    </w:p>
    <w:p>
      <w:pPr>
        <w:spacing w:after="180"/>
        <w:jc w:val="center"/>
      </w:pPr>
      <w:r>
        <w:rPr>
          <w:rFonts w:ascii="Arial" w:cs="Arial" w:eastAsia="Arial" w:hAnsi="Arial"/>
          <w:b w:val="false"/>
          <w:bCs w:val="false"/>
          <w:i w:val="false"/>
          <w:iCs w:val="false"/>
          <w:caps w:val="false"/>
          <w:color w:val="000000"/>
          <w:sz w:val="22"/>
          <w:szCs w:val="22"/>
        </w:rPr>
        <w:t xml:space="preserve">DSWD Field Office Caraga</w:t>
      </w:r>
    </w:p>
    <w:p>
      <w:pPr>
        <w:spacing w:after="180"/>
        <w:jc w:val="center"/>
      </w:pPr>
      <w:r>
        <w:rPr>
          <w:rFonts w:ascii="Arial" w:cs="Arial" w:eastAsia="Arial" w:hAnsi="Arial"/>
          <w:b w:val="false"/>
          <w:bCs w:val="false"/>
          <w:i/>
          <w:iCs/>
          <w:caps w:val="false"/>
          <w:color w:val="000000"/>
          <w:sz w:val="20"/>
          <w:szCs w:val="20"/>
        </w:rPr>
        <w:t xml:space="preserve">Prepared for Knowledge Management documentation review</w:t>
      </w:r>
    </w:p>
    <w:p>
      <w:pPr>
        <w:jc w:val="center"/>
      </w:pPr>
      <w:r>
        <w:rPr>
          <w:rFonts w:ascii="Arial" w:cs="Arial" w:eastAsia="Arial" w:hAnsi="Arial"/>
          <w:b/>
          <w:bCs/>
          <w:i w:val="false"/>
          <w:iCs w:val="false"/>
          <w:caps w:val="false"/>
          <w:color w:val="C00000"/>
          <w:sz w:val="20"/>
          <w:szCs w:val="20"/>
        </w:rPr>
        <w:t xml:space="preserve">[MANUAL INPUT REQUIRED: Insert official document date, version, reviewer, and approving official]</w:t>
      </w:r>
    </w:p>
    <w:p>
      <w:r>
        <w:br w:type="page"/>
      </w:r>
    </w:p>
    <w:p>
      <w:pPr>
        <w:pStyle w:val="Heading1"/>
        <w:spacing w:after="130" w:before="300" w:line="276"/>
        <w:jc w:val="left"/>
      </w:pPr>
      <w:r>
        <w:rPr>
          <w:rFonts w:ascii="Arial" w:cs="Arial" w:eastAsia="Arial" w:hAnsi="Arial"/>
          <w:b/>
          <w:bCs/>
          <w:i w:val="false"/>
          <w:iCs w:val="false"/>
          <w:caps w:val="false"/>
          <w:color w:val="1F4E79"/>
          <w:sz w:val="30"/>
          <w:szCs w:val="30"/>
        </w:rPr>
        <w:t xml:space="preserve">Table of Contents</w:t>
      </w:r>
    </w:p>
    <w:sdt>
      <w:sdtPr/>
      <w:sdtContent>
        <w:p>
          <w:r>
            <w:fldChar w:fldCharType="begin" w:dirty="true"/>
            <w:instrText xml:space="preserve">TOC \h \o "1-3"</w:instrText>
            <w:fldChar w:fldCharType="separate"/>
          </w:r>
        </w:p>
        <w:p>
          <w:r>
            <w:fldChar w:fldCharType="end"/>
          </w:r>
        </w:p>
      </w:sdtContent>
    </w:sdt>
    <w:p>
      <w:r>
        <w:br w:type="page"/>
      </w:r>
    </w:p>
    <w:p>
      <w:pPr>
        <w:pStyle w:val="Heading1"/>
        <w:spacing w:after="130" w:before="300" w:line="276"/>
        <w:jc w:val="left"/>
      </w:pPr>
      <w:r>
        <w:rPr>
          <w:rFonts w:ascii="Arial" w:cs="Arial" w:eastAsia="Arial" w:hAnsi="Arial"/>
          <w:b/>
          <w:bCs/>
          <w:i w:val="false"/>
          <w:iCs w:val="false"/>
          <w:caps w:val="false"/>
          <w:color w:val="1F4E79"/>
          <w:sz w:val="30"/>
          <w:szCs w:val="30"/>
        </w:rPr>
        <w:t xml:space="preserve">Appendix G - Deployment Documentation</w:t>
      </w:r>
    </w:p>
    <w:p>
      <w:pPr>
        <w:spacing w:after="120" w:before="80" w:line="276"/>
        <w:jc w:val="both"/>
      </w:pPr>
      <w:r>
        <w:rPr>
          <w:rFonts w:ascii="Arial" w:cs="Arial" w:eastAsia="Arial" w:hAnsi="Arial"/>
          <w:b w:val="false"/>
          <w:bCs w:val="false"/>
          <w:i w:val="false"/>
          <w:iCs w:val="false"/>
          <w:caps w:val="false"/>
          <w:color w:val="000000"/>
          <w:sz w:val="22"/>
          <w:szCs w:val="22"/>
        </w:rPr>
        <w:t xml:space="preserve">This appendix forms part of the KODUS Good Practice Documentation package. It is prepared in formal DSWD Knowledge Management style to provide organized evidence, process notes, and documentary references for review, replication, and institutional learning.</w:t>
      </w:r>
    </w:p>
    <w:p>
      <w:pPr>
        <w:spacing w:after="120" w:before="80" w:line="276"/>
        <w:jc w:val="both"/>
      </w:pPr>
      <w:r>
        <w:rPr>
          <w:rFonts w:ascii="Arial" w:cs="Arial" w:eastAsia="Arial" w:hAnsi="Arial"/>
          <w:b w:val="false"/>
          <w:bCs w:val="false"/>
          <w:i w:val="false"/>
          <w:iCs w:val="false"/>
          <w:caps w:val="false"/>
          <w:color w:val="000000"/>
          <w:sz w:val="22"/>
          <w:szCs w:val="22"/>
        </w:rPr>
        <w:t xml:space="preserve">Scope: Deployment setup, hosting environment, backup/restore expectations, release management, background workers, realtime components, and sustainability controls for KODUS.</w:t>
      </w:r>
    </w:p>
    <w:p>
      <w:pPr>
        <w:spacing w:after="120" w:before="80" w:line="276"/>
        <w:jc w:val="both"/>
      </w:pPr>
      <w:r>
        <w:rPr>
          <w:rFonts w:ascii="Arial" w:cs="Arial" w:eastAsia="Arial" w:hAnsi="Arial"/>
          <w:b w:val="false"/>
          <w:bCs w:val="false"/>
          <w:i w:val="false"/>
          <w:iCs w:val="false"/>
          <w:caps w:val="false"/>
          <w:color w:val="000000"/>
          <w:sz w:val="22"/>
          <w:szCs w:val="22"/>
        </w:rPr>
        <w:t xml:space="preserve">Confidentiality notice: All examples in this appendix use sanitized, aggregate, or synthetic data. Screenshots pending owner validation are marked with manual insertion notices. Passwords, tokens, OAuth secrets, beneficiary data, contact details, private host identifiers, and other sensitive values are excluded.</w:t>
      </w:r>
    </w:p>
    <w:p>
      <w:pPr>
        <w:pStyle w:val="Heading2"/>
        <w:spacing w:after="130" w:before="220" w:line="276"/>
        <w:jc w:val="left"/>
      </w:pPr>
      <w:r>
        <w:rPr>
          <w:rFonts w:ascii="Arial" w:cs="Arial" w:eastAsia="Arial" w:hAnsi="Arial"/>
          <w:b/>
          <w:bCs/>
          <w:i w:val="false"/>
          <w:iCs w:val="false"/>
          <w:caps w:val="false"/>
          <w:color w:val="1F4E79"/>
          <w:sz w:val="25"/>
          <w:szCs w:val="25"/>
        </w:rPr>
        <w:t xml:space="preserve">G.1 Deployment Profile</w:t>
      </w:r>
    </w:p>
    <w:p>
      <w:pPr>
        <w:spacing w:after="80" w:before="120" w:line="276"/>
        <w:jc w:val="center"/>
      </w:pPr>
      <w:r>
        <w:rPr>
          <w:rFonts w:ascii="Arial" w:cs="Arial" w:eastAsia="Arial" w:hAnsi="Arial"/>
          <w:b w:val="false"/>
          <w:bCs w:val="false"/>
          <w:i w:val="false"/>
          <w:iCs w:val="false"/>
          <w:caps w:val="false"/>
          <w:color w:val="000000"/>
          <w:sz w:val="22"/>
          <w:szCs w:val="22"/>
        </w:rPr>
        <w:t xml:space="preserve">Table G-</w:t>
      </w:r>
      <w:fldSimple w:instr="SEQ TableG \* ARABIC"/>
      <w:r>
        <w:rPr>
          <w:rFonts w:ascii="Arial" w:cs="Arial" w:eastAsia="Arial" w:hAnsi="Arial"/>
          <w:b/>
          <w:bCs/>
          <w:i w:val="false"/>
          <w:iCs w:val="false"/>
          <w:caps w:val="false"/>
          <w:color w:val="000000"/>
          <w:sz w:val="22"/>
          <w:szCs w:val="22"/>
        </w:rPr>
        <w:t xml:space="preserve">. Deployment profile summary</w:t>
      </w:r>
    </w:p>
    <w:tbl>
      <w:tblPr>
        <w:tblW w:type="pct" w:w="100%"/>
        <w:tblBorders>
          <w:top w:val="single" w:color="808080" w:sz="4"/>
          <w:left w:val="single" w:color="808080" w:sz="4"/>
          <w:bottom w:val="single" w:color="808080" w:sz="4"/>
          <w:right w:val="single" w:color="808080" w:sz="4"/>
          <w:insideH w:val="single" w:color="BFBFBF" w:sz="4"/>
          <w:insideV w:val="single" w:color="BFBFBF" w:sz="4"/>
        </w:tblBorders>
      </w:tblPr>
      <w:tblGrid>
        <w:gridCol w:w="100"/>
        <w:gridCol w:w="100"/>
      </w:tblGrid>
      <w:tr>
        <w:trPr>
          <w:tblHeader/>
        </w:trPr>
        <w:tc>
          <w:tcPr>
            <w:tcW w:type="pct" w:w="28%"/>
            <w:shd w:fill="D9EAF7" w:val="clear"/>
            <w:tcMar>
              <w:top w:type="dxa" w:w="90"/>
              <w:left w:type="dxa" w:w="90"/>
              <w:bottom w:type="dxa" w:w="90"/>
              <w:right w:type="dxa" w:w="90"/>
            </w:tcMar>
          </w:tcPr>
          <w:p>
            <w:pPr>
              <w:spacing w:after="0" w:before="0" w:line="240"/>
              <w:jc w:val="left"/>
            </w:pPr>
            <w:r>
              <w:rPr>
                <w:rFonts w:ascii="Arial" w:cs="Arial" w:eastAsia="Arial" w:hAnsi="Arial"/>
                <w:b/>
                <w:bCs/>
                <w:i w:val="false"/>
                <w:iCs w:val="false"/>
                <w:caps w:val="false"/>
                <w:color w:val="1F4E79"/>
                <w:sz w:val="18"/>
                <w:szCs w:val="18"/>
              </w:rPr>
              <w:t xml:space="preserve">Item</w:t>
            </w:r>
          </w:p>
        </w:tc>
        <w:tc>
          <w:tcPr>
            <w:tcW w:type="pct" w:w="72%"/>
            <w:shd w:fill="D9EAF7" w:val="clear"/>
            <w:tcMar>
              <w:top w:type="dxa" w:w="90"/>
              <w:left w:type="dxa" w:w="90"/>
              <w:bottom w:type="dxa" w:w="90"/>
              <w:right w:type="dxa" w:w="90"/>
            </w:tcMar>
          </w:tcPr>
          <w:p>
            <w:pPr>
              <w:spacing w:after="0" w:before="0" w:line="240"/>
              <w:jc w:val="left"/>
            </w:pPr>
            <w:r>
              <w:rPr>
                <w:rFonts w:ascii="Arial" w:cs="Arial" w:eastAsia="Arial" w:hAnsi="Arial"/>
                <w:b/>
                <w:bCs/>
                <w:i w:val="false"/>
                <w:iCs w:val="false"/>
                <w:caps w:val="false"/>
                <w:color w:val="1F4E79"/>
                <w:sz w:val="18"/>
                <w:szCs w:val="18"/>
              </w:rPr>
              <w:t xml:space="preserve">Description</w:t>
            </w:r>
          </w:p>
        </w:tc>
      </w:tr>
      <w:tr>
        <w:trPr>
          <w:tblHeader w:val="false"/>
        </w:trPr>
        <w:tc>
          <w:tcPr>
            <w:tcW w:type="pct" w:w="28%"/>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Application name</w:t>
            </w:r>
          </w:p>
        </w:tc>
        <w:tc>
          <w:tcPr>
            <w:tcW w:type="pct" w:w="72%"/>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KliMalasakit Operational Data Unified System (KODUS)</w:t>
            </w:r>
          </w:p>
        </w:tc>
      </w:tr>
      <w:tr>
        <w:trPr>
          <w:tblHeader w:val="false"/>
        </w:trPr>
        <w:tc>
          <w:tcPr>
            <w:tcW w:type="pct" w:w="28%"/>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Application type</w:t>
            </w:r>
          </w:p>
        </w:tc>
        <w:tc>
          <w:tcPr>
            <w:tcW w:type="pct" w:w="72%"/>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Server-rendered PHP/MySQL internal operations platform</w:t>
            </w:r>
          </w:p>
        </w:tc>
      </w:tr>
      <w:tr>
        <w:trPr>
          <w:tblHeader w:val="false"/>
        </w:trPr>
        <w:tc>
          <w:tcPr>
            <w:tcW w:type="pct" w:w="28%"/>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Primary operational areas</w:t>
            </w:r>
          </w:p>
        </w:tc>
        <w:tc>
          <w:tcPr>
            <w:tcW w:type="pct" w:w="72%"/>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MEB processing, validation, implementation monitoring, deduplication, crossmatch, reports, messaging, notifications, audit logs, and administrative controls</w:t>
            </w:r>
          </w:p>
        </w:tc>
      </w:tr>
      <w:tr>
        <w:trPr>
          <w:tblHeader w:val="false"/>
        </w:trPr>
        <w:tc>
          <w:tcPr>
            <w:tcW w:type="pct" w:w="28%"/>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Expected stack</w:t>
            </w:r>
          </w:p>
        </w:tc>
        <w:tc>
          <w:tcPr>
            <w:tcW w:type="pct" w:w="72%"/>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Linux server; Nginx or Apache; PHP-FPM/PHP CLI; MySQL or MariaDB; Composer; SMTP access; optional Socket.IO bridge</w:t>
            </w:r>
          </w:p>
        </w:tc>
      </w:tr>
      <w:tr>
        <w:trPr>
          <w:tblHeader w:val="false"/>
        </w:trPr>
        <w:tc>
          <w:tcPr>
            <w:tcW w:type="pct" w:w="28%"/>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Documentation basis</w:t>
            </w:r>
          </w:p>
        </w:tc>
        <w:tc>
          <w:tcPr>
            <w:tcW w:type="pct" w:w="72%"/>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Repository deployment notes reviewed on 2026-05-12, including Linux/Nginx deployment guidance and production package guide.</w:t>
            </w:r>
          </w:p>
        </w:tc>
      </w:tr>
    </w:tbl>
    <w:p>
      <w:pPr>
        <w:pStyle w:val="Heading2"/>
        <w:spacing w:after="130" w:before="220" w:line="276"/>
        <w:jc w:val="left"/>
      </w:pPr>
      <w:r>
        <w:rPr>
          <w:rFonts w:ascii="Arial" w:cs="Arial" w:eastAsia="Arial" w:hAnsi="Arial"/>
          <w:b/>
          <w:bCs/>
          <w:i w:val="false"/>
          <w:iCs w:val="false"/>
          <w:caps w:val="false"/>
          <w:color w:val="1F4E79"/>
          <w:sz w:val="25"/>
          <w:szCs w:val="25"/>
        </w:rPr>
        <w:t xml:space="preserve">G.2 Deployment Setup Checklist</w:t>
      </w:r>
    </w:p>
    <w:p>
      <w:pPr>
        <w:spacing w:after="80" w:before="120" w:line="276"/>
        <w:jc w:val="center"/>
      </w:pPr>
      <w:r>
        <w:rPr>
          <w:rFonts w:ascii="Arial" w:cs="Arial" w:eastAsia="Arial" w:hAnsi="Arial"/>
          <w:b w:val="false"/>
          <w:bCs w:val="false"/>
          <w:i w:val="false"/>
          <w:iCs w:val="false"/>
          <w:caps w:val="false"/>
          <w:color w:val="000000"/>
          <w:sz w:val="22"/>
          <w:szCs w:val="22"/>
        </w:rPr>
        <w:t xml:space="preserve">Table G-</w:t>
      </w:r>
      <w:fldSimple w:instr="SEQ TableG \* ARABIC"/>
      <w:r>
        <w:rPr>
          <w:rFonts w:ascii="Arial" w:cs="Arial" w:eastAsia="Arial" w:hAnsi="Arial"/>
          <w:b/>
          <w:bCs/>
          <w:i w:val="false"/>
          <w:iCs w:val="false"/>
          <w:caps w:val="false"/>
          <w:color w:val="000000"/>
          <w:sz w:val="22"/>
          <w:szCs w:val="22"/>
        </w:rPr>
        <w:t xml:space="preserve">. Deployment setup checklist</w:t>
      </w:r>
    </w:p>
    <w:tbl>
      <w:tblPr>
        <w:tblW w:type="pct" w:w="100%"/>
        <w:tblBorders>
          <w:top w:val="single" w:color="808080" w:sz="4"/>
          <w:left w:val="single" w:color="808080" w:sz="4"/>
          <w:bottom w:val="single" w:color="808080" w:sz="4"/>
          <w:right w:val="single" w:color="808080" w:sz="4"/>
          <w:insideH w:val="single" w:color="BFBFBF" w:sz="4"/>
          <w:insideV w:val="single" w:color="BFBFBF" w:sz="4"/>
        </w:tblBorders>
      </w:tblPr>
      <w:tblGrid>
        <w:gridCol w:w="100"/>
        <w:gridCol w:w="100"/>
        <w:gridCol w:w="100"/>
      </w:tblGrid>
      <w:tr>
        <w:trPr>
          <w:tblHeader/>
        </w:trPr>
        <w:tc>
          <w:tcPr>
            <w:tcW w:type="pct" w:w="20%"/>
            <w:shd w:fill="D9EAF7" w:val="clear"/>
            <w:tcMar>
              <w:top w:type="dxa" w:w="90"/>
              <w:left w:type="dxa" w:w="90"/>
              <w:bottom w:type="dxa" w:w="90"/>
              <w:right w:type="dxa" w:w="90"/>
            </w:tcMar>
          </w:tcPr>
          <w:p>
            <w:pPr>
              <w:spacing w:after="0" w:before="0" w:line="240"/>
              <w:jc w:val="left"/>
            </w:pPr>
            <w:r>
              <w:rPr>
                <w:rFonts w:ascii="Arial" w:cs="Arial" w:eastAsia="Arial" w:hAnsi="Arial"/>
                <w:b/>
                <w:bCs/>
                <w:i w:val="false"/>
                <w:iCs w:val="false"/>
                <w:caps w:val="false"/>
                <w:color w:val="1F4E79"/>
                <w:sz w:val="18"/>
                <w:szCs w:val="18"/>
              </w:rPr>
              <w:t xml:space="preserve">Component</w:t>
            </w:r>
          </w:p>
        </w:tc>
        <w:tc>
          <w:tcPr>
            <w:tcW w:type="pct" w:w="55%"/>
            <w:shd w:fill="D9EAF7" w:val="clear"/>
            <w:tcMar>
              <w:top w:type="dxa" w:w="90"/>
              <w:left w:type="dxa" w:w="90"/>
              <w:bottom w:type="dxa" w:w="90"/>
              <w:right w:type="dxa" w:w="90"/>
            </w:tcMar>
          </w:tcPr>
          <w:p>
            <w:pPr>
              <w:spacing w:after="0" w:before="0" w:line="240"/>
              <w:jc w:val="left"/>
            </w:pPr>
            <w:r>
              <w:rPr>
                <w:rFonts w:ascii="Arial" w:cs="Arial" w:eastAsia="Arial" w:hAnsi="Arial"/>
                <w:b/>
                <w:bCs/>
                <w:i w:val="false"/>
                <w:iCs w:val="false"/>
                <w:caps w:val="false"/>
                <w:color w:val="1F4E79"/>
                <w:sz w:val="18"/>
                <w:szCs w:val="18"/>
              </w:rPr>
              <w:t xml:space="preserve">Expected arrangement</w:t>
            </w:r>
          </w:p>
        </w:tc>
        <w:tc>
          <w:tcPr>
            <w:tcW w:type="pct" w:w="25%"/>
            <w:shd w:fill="D9EAF7" w:val="clear"/>
            <w:tcMar>
              <w:top w:type="dxa" w:w="90"/>
              <w:left w:type="dxa" w:w="90"/>
              <w:bottom w:type="dxa" w:w="90"/>
              <w:right w:type="dxa" w:w="90"/>
            </w:tcMar>
          </w:tcPr>
          <w:p>
            <w:pPr>
              <w:spacing w:after="0" w:before="0" w:line="240"/>
              <w:jc w:val="left"/>
            </w:pPr>
            <w:r>
              <w:rPr>
                <w:rFonts w:ascii="Arial" w:cs="Arial" w:eastAsia="Arial" w:hAnsi="Arial"/>
                <w:b/>
                <w:bCs/>
                <w:i w:val="false"/>
                <w:iCs w:val="false"/>
                <w:caps w:val="false"/>
                <w:color w:val="1F4E79"/>
                <w:sz w:val="18"/>
                <w:szCs w:val="18"/>
              </w:rPr>
              <w:t xml:space="preserve">Owner validation</w:t>
            </w:r>
          </w:p>
        </w:tc>
      </w:tr>
      <w:tr>
        <w:trPr>
          <w:tblHeader w:val="false"/>
        </w:trPr>
        <w:tc>
          <w:tcPr>
            <w:tcW w:type="pct" w:w="2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Web server</w:t>
            </w:r>
          </w:p>
        </w:tc>
        <w:tc>
          <w:tcPr>
            <w:tcW w:type="pct" w:w="55%"/>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Nginx or Apache configured to route PHP requests and block secrets, logs, docs, dumps, private keys, and executable uploads.</w:t>
            </w:r>
          </w:p>
        </w:tc>
        <w:tc>
          <w:tcPr>
            <w:tcW w:type="pct" w:w="25%"/>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[MANUAL INPUT REQUIRED]</w:t>
            </w:r>
          </w:p>
        </w:tc>
      </w:tr>
      <w:tr>
        <w:trPr>
          <w:tblHeader w:val="false"/>
        </w:trPr>
        <w:tc>
          <w:tcPr>
            <w:tcW w:type="pct" w:w="2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PHP runtime</w:t>
            </w:r>
          </w:p>
        </w:tc>
        <w:tc>
          <w:tcPr>
            <w:tcW w:type="pct" w:w="55%"/>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PHP-FPM for web requests and PHP CLI for background workers.</w:t>
            </w:r>
          </w:p>
        </w:tc>
        <w:tc>
          <w:tcPr>
            <w:tcW w:type="pct" w:w="25%"/>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[MANUAL INPUT REQUIRED]</w:t>
            </w:r>
          </w:p>
        </w:tc>
      </w:tr>
      <w:tr>
        <w:trPr>
          <w:tblHeader w:val="false"/>
        </w:trPr>
        <w:tc>
          <w:tcPr>
            <w:tcW w:type="pct" w:w="2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Database</w:t>
            </w:r>
          </w:p>
        </w:tc>
        <w:tc>
          <w:tcPr>
            <w:tcW w:type="pct" w:w="55%"/>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MySQL or MariaDB with production credentials stored only in server environment.</w:t>
            </w:r>
          </w:p>
        </w:tc>
        <w:tc>
          <w:tcPr>
            <w:tcW w:type="pct" w:w="25%"/>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[MANUAL INPUT REQUIRED]</w:t>
            </w:r>
          </w:p>
        </w:tc>
      </w:tr>
      <w:tr>
        <w:trPr>
          <w:tblHeader w:val="false"/>
        </w:trPr>
        <w:tc>
          <w:tcPr>
            <w:tcW w:type="pct" w:w="2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Dependencies</w:t>
            </w:r>
          </w:p>
        </w:tc>
        <w:tc>
          <w:tcPr>
            <w:tcW w:type="pct" w:w="55%"/>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Composer dependencies installed using reviewed package process.</w:t>
            </w:r>
          </w:p>
        </w:tc>
        <w:tc>
          <w:tcPr>
            <w:tcW w:type="pct" w:w="25%"/>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[MANUAL INPUT REQUIRED]</w:t>
            </w:r>
          </w:p>
        </w:tc>
      </w:tr>
      <w:tr>
        <w:trPr>
          <w:tblHeader w:val="false"/>
        </w:trPr>
        <w:tc>
          <w:tcPr>
            <w:tcW w:type="pct" w:w="2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Environment file</w:t>
            </w:r>
          </w:p>
        </w:tc>
        <w:tc>
          <w:tcPr>
            <w:tcW w:type="pct" w:w="55%"/>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.env created directly on server and excluded from packages and documentation.</w:t>
            </w:r>
          </w:p>
        </w:tc>
        <w:tc>
          <w:tcPr>
            <w:tcW w:type="pct" w:w="25%"/>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[MANUAL INPUT REQUIRED]</w:t>
            </w:r>
          </w:p>
        </w:tc>
      </w:tr>
      <w:tr>
        <w:trPr>
          <w:tblHeader w:val="false"/>
        </w:trPr>
        <w:tc>
          <w:tcPr>
            <w:tcW w:type="pct" w:w="2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SMTP</w:t>
            </w:r>
          </w:p>
        </w:tc>
        <w:tc>
          <w:tcPr>
            <w:tcW w:type="pct" w:w="55%"/>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Mail relay configured through environment values without exposing credentials.</w:t>
            </w:r>
          </w:p>
        </w:tc>
        <w:tc>
          <w:tcPr>
            <w:tcW w:type="pct" w:w="25%"/>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[MANUAL INPUT REQUIRED]</w:t>
            </w:r>
          </w:p>
        </w:tc>
      </w:tr>
      <w:tr>
        <w:trPr>
          <w:tblHeader w:val="false"/>
        </w:trPr>
        <w:tc>
          <w:tcPr>
            <w:tcW w:type="pct" w:w="2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SSO</w:t>
            </w:r>
          </w:p>
        </w:tc>
        <w:tc>
          <w:tcPr>
            <w:tcW w:type="pct" w:w="55%"/>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Optional Caraga Connect SSO configured only when approved client details are issued.</w:t>
            </w:r>
          </w:p>
        </w:tc>
        <w:tc>
          <w:tcPr>
            <w:tcW w:type="pct" w:w="25%"/>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[MANUAL INPUT REQUIRED]</w:t>
            </w:r>
          </w:p>
        </w:tc>
      </w:tr>
      <w:tr>
        <w:trPr>
          <w:tblHeader w:val="false"/>
        </w:trPr>
        <w:tc>
          <w:tcPr>
            <w:tcW w:type="pct" w:w="2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Realtime</w:t>
            </w:r>
          </w:p>
        </w:tc>
        <w:tc>
          <w:tcPr>
            <w:tcW w:type="pct" w:w="55%"/>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Optional Socket.IO bridge enabled through environment values or recorded as fallback-polling only.</w:t>
            </w:r>
          </w:p>
        </w:tc>
        <w:tc>
          <w:tcPr>
            <w:tcW w:type="pct" w:w="25%"/>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[MANUAL INPUT REQUIRED]</w:t>
            </w:r>
          </w:p>
        </w:tc>
      </w:tr>
    </w:tbl>
    <w:p>
      <w:pPr>
        <w:pStyle w:val="Heading2"/>
        <w:spacing w:after="130" w:before="220" w:line="276"/>
        <w:jc w:val="left"/>
      </w:pPr>
      <w:r>
        <w:rPr>
          <w:rFonts w:ascii="Arial" w:cs="Arial" w:eastAsia="Arial" w:hAnsi="Arial"/>
          <w:b/>
          <w:bCs/>
          <w:i w:val="false"/>
          <w:iCs w:val="false"/>
          <w:caps w:val="false"/>
          <w:color w:val="1F4E79"/>
          <w:sz w:val="25"/>
          <w:szCs w:val="25"/>
        </w:rPr>
        <w:t xml:space="preserve">G.3 Runtime Directories and Protection</w:t>
      </w:r>
    </w:p>
    <w:p>
      <w:pPr>
        <w:spacing w:after="80" w:before="120" w:line="276"/>
        <w:jc w:val="center"/>
      </w:pPr>
      <w:r>
        <w:rPr>
          <w:rFonts w:ascii="Arial" w:cs="Arial" w:eastAsia="Arial" w:hAnsi="Arial"/>
          <w:b w:val="false"/>
          <w:bCs w:val="false"/>
          <w:i w:val="false"/>
          <w:iCs w:val="false"/>
          <w:caps w:val="false"/>
          <w:color w:val="000000"/>
          <w:sz w:val="22"/>
          <w:szCs w:val="22"/>
        </w:rPr>
        <w:t xml:space="preserve">Table G-</w:t>
      </w:r>
      <w:fldSimple w:instr="SEQ TableG \* ARABIC"/>
      <w:r>
        <w:rPr>
          <w:rFonts w:ascii="Arial" w:cs="Arial" w:eastAsia="Arial" w:hAnsi="Arial"/>
          <w:b/>
          <w:bCs/>
          <w:i w:val="false"/>
          <w:iCs w:val="false"/>
          <w:caps w:val="false"/>
          <w:color w:val="000000"/>
          <w:sz w:val="22"/>
          <w:szCs w:val="22"/>
        </w:rPr>
        <w:t xml:space="preserve">. Runtime directory protection summary</w:t>
      </w:r>
    </w:p>
    <w:tbl>
      <w:tblPr>
        <w:tblW w:type="pct" w:w="100%"/>
        <w:tblBorders>
          <w:top w:val="single" w:color="808080" w:sz="4"/>
          <w:left w:val="single" w:color="808080" w:sz="4"/>
          <w:bottom w:val="single" w:color="808080" w:sz="4"/>
          <w:right w:val="single" w:color="808080" w:sz="4"/>
          <w:insideH w:val="single" w:color="BFBFBF" w:sz="4"/>
          <w:insideV w:val="single" w:color="BFBFBF" w:sz="4"/>
        </w:tblBorders>
      </w:tblPr>
      <w:tblGrid>
        <w:gridCol w:w="100"/>
        <w:gridCol w:w="100"/>
        <w:gridCol w:w="100"/>
      </w:tblGrid>
      <w:tr>
        <w:trPr>
          <w:tblHeader/>
        </w:trPr>
        <w:tc>
          <w:tcPr>
            <w:tcW w:type="pct" w:w="22%"/>
            <w:shd w:fill="D9EAF7" w:val="clear"/>
            <w:tcMar>
              <w:top w:type="dxa" w:w="90"/>
              <w:left w:type="dxa" w:w="90"/>
              <w:bottom w:type="dxa" w:w="90"/>
              <w:right w:type="dxa" w:w="90"/>
            </w:tcMar>
          </w:tcPr>
          <w:p>
            <w:pPr>
              <w:spacing w:after="0" w:before="0" w:line="240"/>
              <w:jc w:val="left"/>
            </w:pPr>
            <w:r>
              <w:rPr>
                <w:rFonts w:ascii="Arial" w:cs="Arial" w:eastAsia="Arial" w:hAnsi="Arial"/>
                <w:b/>
                <w:bCs/>
                <w:i w:val="false"/>
                <w:iCs w:val="false"/>
                <w:caps w:val="false"/>
                <w:color w:val="1F4E79"/>
                <w:sz w:val="18"/>
                <w:szCs w:val="18"/>
              </w:rPr>
              <w:t xml:space="preserve">Runtime area</w:t>
            </w:r>
          </w:p>
        </w:tc>
        <w:tc>
          <w:tcPr>
            <w:tcW w:type="pct" w:w="38%"/>
            <w:shd w:fill="D9EAF7" w:val="clear"/>
            <w:tcMar>
              <w:top w:type="dxa" w:w="90"/>
              <w:left w:type="dxa" w:w="90"/>
              <w:bottom w:type="dxa" w:w="90"/>
              <w:right w:type="dxa" w:w="90"/>
            </w:tcMar>
          </w:tcPr>
          <w:p>
            <w:pPr>
              <w:spacing w:after="0" w:before="0" w:line="240"/>
              <w:jc w:val="left"/>
            </w:pPr>
            <w:r>
              <w:rPr>
                <w:rFonts w:ascii="Arial" w:cs="Arial" w:eastAsia="Arial" w:hAnsi="Arial"/>
                <w:b/>
                <w:bCs/>
                <w:i w:val="false"/>
                <w:iCs w:val="false"/>
                <w:caps w:val="false"/>
                <w:color w:val="1F4E79"/>
                <w:sz w:val="18"/>
                <w:szCs w:val="18"/>
              </w:rPr>
              <w:t xml:space="preserve">Representative paths</w:t>
            </w:r>
          </w:p>
        </w:tc>
        <w:tc>
          <w:tcPr>
            <w:tcW w:type="pct" w:w="40%"/>
            <w:shd w:fill="D9EAF7" w:val="clear"/>
            <w:tcMar>
              <w:top w:type="dxa" w:w="90"/>
              <w:left w:type="dxa" w:w="90"/>
              <w:bottom w:type="dxa" w:w="90"/>
              <w:right w:type="dxa" w:w="90"/>
            </w:tcMar>
          </w:tcPr>
          <w:p>
            <w:pPr>
              <w:spacing w:after="0" w:before="0" w:line="240"/>
              <w:jc w:val="left"/>
            </w:pPr>
            <w:r>
              <w:rPr>
                <w:rFonts w:ascii="Arial" w:cs="Arial" w:eastAsia="Arial" w:hAnsi="Arial"/>
                <w:b/>
                <w:bCs/>
                <w:i w:val="false"/>
                <w:iCs w:val="false"/>
                <w:caps w:val="false"/>
                <w:color w:val="1F4E79"/>
                <w:sz w:val="18"/>
                <w:szCs w:val="18"/>
              </w:rPr>
              <w:t xml:space="preserve">Control note</w:t>
            </w:r>
          </w:p>
        </w:tc>
      </w:tr>
      <w:tr>
        <w:trPr>
          <w:tblHeader w:val="false"/>
        </w:trPr>
        <w:tc>
          <w:tcPr>
            <w:tcW w:type="pct" w:w="22%"/>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Crossmatch</w:t>
            </w:r>
          </w:p>
        </w:tc>
        <w:tc>
          <w:tcPr>
            <w:tcW w:type="pct" w:w="38%"/>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crossmatch/uploads/ and related job/result records</w:t>
            </w:r>
          </w:p>
        </w:tc>
        <w:tc>
          <w:tcPr>
            <w:tcW w:type="pct" w:w="4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Treat uploaded and generated files as sensitive.</w:t>
            </w:r>
          </w:p>
        </w:tc>
      </w:tr>
      <w:tr>
        <w:trPr>
          <w:tblHeader w:val="false"/>
        </w:trPr>
        <w:tc>
          <w:tcPr>
            <w:tcW w:type="pct" w:w="22%"/>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Deduplication</w:t>
            </w:r>
          </w:p>
        </w:tc>
        <w:tc>
          <w:tcPr>
            <w:tcW w:type="pct" w:w="38%"/>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deduplication/uploads/; deduplication/logs/</w:t>
            </w:r>
          </w:p>
        </w:tc>
        <w:tc>
          <w:tcPr>
            <w:tcW w:type="pct" w:w="4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Block direct script execution and protect logs.</w:t>
            </w:r>
          </w:p>
        </w:tc>
      </w:tr>
      <w:tr>
        <w:trPr>
          <w:tblHeader w:val="false"/>
        </w:trPr>
        <w:tc>
          <w:tcPr>
            <w:tcW w:type="pct" w:w="22%"/>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Inbox attachments</w:t>
            </w:r>
          </w:p>
        </w:tc>
        <w:tc>
          <w:tcPr>
            <w:tcW w:type="pct" w:w="38%"/>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inbox/uploads/</w:t>
            </w:r>
          </w:p>
        </w:tc>
        <w:tc>
          <w:tcPr>
            <w:tcW w:type="pct" w:w="4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Apply upload restrictions and retention controls.</w:t>
            </w:r>
          </w:p>
        </w:tc>
      </w:tr>
      <w:tr>
        <w:trPr>
          <w:tblHeader w:val="false"/>
        </w:trPr>
        <w:tc>
          <w:tcPr>
            <w:tcW w:type="pct" w:w="22%"/>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Operational uploads</w:t>
            </w:r>
          </w:p>
        </w:tc>
        <w:tc>
          <w:tcPr>
            <w:tcW w:type="pct" w:w="38%"/>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pages/uploads/</w:t>
            </w:r>
          </w:p>
        </w:tc>
        <w:tc>
          <w:tcPr>
            <w:tcW w:type="pct" w:w="4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Store only authorized files with restricted access.</w:t>
            </w:r>
          </w:p>
        </w:tc>
      </w:tr>
      <w:tr>
        <w:trPr>
          <w:tblHeader w:val="false"/>
        </w:trPr>
        <w:tc>
          <w:tcPr>
            <w:tcW w:type="pct" w:w="22%"/>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MEBIS outputs/jobs</w:t>
            </w:r>
          </w:p>
        </w:tc>
        <w:tc>
          <w:tcPr>
            <w:tcW w:type="pct" w:w="38%"/>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mebis-consolidator/outputs/; mebis-lgu-template/jobs/; mebis-lgu-template/outputs/</w:t>
            </w:r>
          </w:p>
        </w:tc>
        <w:tc>
          <w:tcPr>
            <w:tcW w:type="pct" w:w="4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Protect generated outputs from public access.</w:t>
            </w:r>
          </w:p>
        </w:tc>
      </w:tr>
      <w:tr>
        <w:trPr>
          <w:tblHeader w:val="false"/>
        </w:trPr>
        <w:tc>
          <w:tcPr>
            <w:tcW w:type="pct" w:w="22%"/>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Profile exports</w:t>
            </w:r>
          </w:p>
        </w:tc>
        <w:tc>
          <w:tcPr>
            <w:tcW w:type="pct" w:w="38%"/>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pages/profile_exports/ and related job/output helpers</w:t>
            </w:r>
          </w:p>
        </w:tc>
        <w:tc>
          <w:tcPr>
            <w:tcW w:type="pct" w:w="4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Treat generated files as sensitive and review retention.</w:t>
            </w:r>
          </w:p>
        </w:tc>
      </w:tr>
    </w:tbl>
    <w:p>
      <w:pPr>
        <w:pStyle w:val="Heading2"/>
        <w:spacing w:after="130" w:before="220" w:line="276"/>
        <w:jc w:val="left"/>
      </w:pPr>
      <w:r>
        <w:rPr>
          <w:rFonts w:ascii="Arial" w:cs="Arial" w:eastAsia="Arial" w:hAnsi="Arial"/>
          <w:b/>
          <w:bCs/>
          <w:i w:val="false"/>
          <w:iCs w:val="false"/>
          <w:caps w:val="false"/>
          <w:color w:val="1F4E79"/>
          <w:sz w:val="25"/>
          <w:szCs w:val="25"/>
        </w:rPr>
        <w:t xml:space="preserve">G.4 Backup and Restore Approach</w:t>
      </w:r>
    </w:p>
    <w:p>
      <w:pPr>
        <w:spacing w:after="120" w:before="80" w:line="276"/>
        <w:jc w:val="both"/>
      </w:pPr>
      <w:r>
        <w:rPr>
          <w:rFonts w:ascii="Arial" w:cs="Arial" w:eastAsia="Arial" w:hAnsi="Arial"/>
          <w:b w:val="false"/>
          <w:bCs w:val="false"/>
          <w:i w:val="false"/>
          <w:iCs w:val="false"/>
          <w:caps w:val="false"/>
          <w:color w:val="000000"/>
          <w:sz w:val="22"/>
          <w:szCs w:val="22"/>
        </w:rPr>
        <w:t xml:space="preserve">The production backup process must be supplied and validated by the host or system owner. At minimum, the controlled operations record should cover database backups, required upload/output directories, deployment package references, non-secret configuration inventory, encryption approach, retention period, restoration-test schedule, and responsible personnel.</w:t>
      </w:r>
    </w:p>
    <w:p>
      <w:pPr>
        <w:spacing w:after="80" w:before="120" w:line="276"/>
        <w:jc w:val="center"/>
      </w:pPr>
      <w:r>
        <w:rPr>
          <w:rFonts w:ascii="Arial" w:cs="Arial" w:eastAsia="Arial" w:hAnsi="Arial"/>
          <w:b w:val="false"/>
          <w:bCs w:val="false"/>
          <w:i w:val="false"/>
          <w:iCs w:val="false"/>
          <w:caps w:val="false"/>
          <w:color w:val="000000"/>
          <w:sz w:val="22"/>
          <w:szCs w:val="22"/>
        </w:rPr>
        <w:t xml:space="preserve">Table G-</w:t>
      </w:r>
      <w:fldSimple w:instr="SEQ TableG \* ARABIC"/>
      <w:r>
        <w:rPr>
          <w:rFonts w:ascii="Arial" w:cs="Arial" w:eastAsia="Arial" w:hAnsi="Arial"/>
          <w:b/>
          <w:bCs/>
          <w:i w:val="false"/>
          <w:iCs w:val="false"/>
          <w:caps w:val="false"/>
          <w:color w:val="000000"/>
          <w:sz w:val="22"/>
          <w:szCs w:val="22"/>
        </w:rPr>
        <w:t xml:space="preserve">. Backup validation checklist</w:t>
      </w:r>
    </w:p>
    <w:tbl>
      <w:tblPr>
        <w:tblW w:type="pct" w:w="100%"/>
        <w:tblBorders>
          <w:top w:val="single" w:color="808080" w:sz="4"/>
          <w:left w:val="single" w:color="808080" w:sz="4"/>
          <w:bottom w:val="single" w:color="808080" w:sz="4"/>
          <w:right w:val="single" w:color="808080" w:sz="4"/>
          <w:insideH w:val="single" w:color="BFBFBF" w:sz="4"/>
          <w:insideV w:val="single" w:color="BFBFBF" w:sz="4"/>
        </w:tblBorders>
      </w:tblPr>
      <w:tblGrid>
        <w:gridCol w:w="100"/>
        <w:gridCol w:w="100"/>
        <w:gridCol w:w="100"/>
      </w:tblGrid>
      <w:tr>
        <w:trPr>
          <w:tblHeader/>
        </w:trPr>
        <w:tc>
          <w:tcPr>
            <w:tcW w:type="pct" w:w="22%"/>
            <w:shd w:fill="D9EAF7" w:val="clear"/>
            <w:tcMar>
              <w:top w:type="dxa" w:w="90"/>
              <w:left w:type="dxa" w:w="90"/>
              <w:bottom w:type="dxa" w:w="90"/>
              <w:right w:type="dxa" w:w="90"/>
            </w:tcMar>
          </w:tcPr>
          <w:p>
            <w:pPr>
              <w:spacing w:after="0" w:before="0" w:line="240"/>
              <w:jc w:val="left"/>
            </w:pPr>
            <w:r>
              <w:rPr>
                <w:rFonts w:ascii="Arial" w:cs="Arial" w:eastAsia="Arial" w:hAnsi="Arial"/>
                <w:b/>
                <w:bCs/>
                <w:i w:val="false"/>
                <w:iCs w:val="false"/>
                <w:caps w:val="false"/>
                <w:color w:val="1F4E79"/>
                <w:sz w:val="18"/>
                <w:szCs w:val="18"/>
              </w:rPr>
              <w:t xml:space="preserve">Backup item</w:t>
            </w:r>
          </w:p>
        </w:tc>
        <w:tc>
          <w:tcPr>
            <w:tcW w:type="pct" w:w="55%"/>
            <w:shd w:fill="D9EAF7" w:val="clear"/>
            <w:tcMar>
              <w:top w:type="dxa" w:w="90"/>
              <w:left w:type="dxa" w:w="90"/>
              <w:bottom w:type="dxa" w:w="90"/>
              <w:right w:type="dxa" w:w="90"/>
            </w:tcMar>
          </w:tcPr>
          <w:p>
            <w:pPr>
              <w:spacing w:after="0" w:before="0" w:line="240"/>
              <w:jc w:val="left"/>
            </w:pPr>
            <w:r>
              <w:rPr>
                <w:rFonts w:ascii="Arial" w:cs="Arial" w:eastAsia="Arial" w:hAnsi="Arial"/>
                <w:b/>
                <w:bCs/>
                <w:i w:val="false"/>
                <w:iCs w:val="false"/>
                <w:caps w:val="false"/>
                <w:color w:val="1F4E79"/>
                <w:sz w:val="18"/>
                <w:szCs w:val="18"/>
              </w:rPr>
              <w:t xml:space="preserve">Expected coverage</w:t>
            </w:r>
          </w:p>
        </w:tc>
        <w:tc>
          <w:tcPr>
            <w:tcW w:type="pct" w:w="23%"/>
            <w:shd w:fill="D9EAF7" w:val="clear"/>
            <w:tcMar>
              <w:top w:type="dxa" w:w="90"/>
              <w:left w:type="dxa" w:w="90"/>
              <w:bottom w:type="dxa" w:w="90"/>
              <w:right w:type="dxa" w:w="90"/>
            </w:tcMar>
          </w:tcPr>
          <w:p>
            <w:pPr>
              <w:spacing w:after="0" w:before="0" w:line="240"/>
              <w:jc w:val="left"/>
            </w:pPr>
            <w:r>
              <w:rPr>
                <w:rFonts w:ascii="Arial" w:cs="Arial" w:eastAsia="Arial" w:hAnsi="Arial"/>
                <w:b/>
                <w:bCs/>
                <w:i w:val="false"/>
                <w:iCs w:val="false"/>
                <w:caps w:val="false"/>
                <w:color w:val="1F4E79"/>
                <w:sz w:val="18"/>
                <w:szCs w:val="18"/>
              </w:rPr>
              <w:t xml:space="preserve">Validation status</w:t>
            </w:r>
          </w:p>
        </w:tc>
      </w:tr>
      <w:tr>
        <w:trPr>
          <w:tblHeader w:val="false"/>
        </w:trPr>
        <w:tc>
          <w:tcPr>
            <w:tcW w:type="pct" w:w="22%"/>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Database</w:t>
            </w:r>
          </w:p>
        </w:tc>
        <w:tc>
          <w:tcPr>
            <w:tcW w:type="pct" w:w="55%"/>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Users, roles, MEB, targets, activities, reports, notifications, messages, audit logs, and job metadata.</w:t>
            </w:r>
          </w:p>
        </w:tc>
        <w:tc>
          <w:tcPr>
            <w:tcW w:type="pct" w:w="23%"/>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[MANUAL INPUT REQUIRED]</w:t>
            </w:r>
          </w:p>
        </w:tc>
      </w:tr>
      <w:tr>
        <w:trPr>
          <w:tblHeader w:val="false"/>
        </w:trPr>
        <w:tc>
          <w:tcPr>
            <w:tcW w:type="pct" w:w="22%"/>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Runtime files</w:t>
            </w:r>
          </w:p>
        </w:tc>
        <w:tc>
          <w:tcPr>
            <w:tcW w:type="pct" w:w="55%"/>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Required upload/output directories after sensitivity and retention review.</w:t>
            </w:r>
          </w:p>
        </w:tc>
        <w:tc>
          <w:tcPr>
            <w:tcW w:type="pct" w:w="23%"/>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[MANUAL INPUT REQUIRED]</w:t>
            </w:r>
          </w:p>
        </w:tc>
      </w:tr>
      <w:tr>
        <w:trPr>
          <w:tblHeader w:val="false"/>
        </w:trPr>
        <w:tc>
          <w:tcPr>
            <w:tcW w:type="pct" w:w="22%"/>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Configuration inventory</w:t>
            </w:r>
          </w:p>
        </w:tc>
        <w:tc>
          <w:tcPr>
            <w:tcW w:type="pct" w:w="55%"/>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Non-secret environment summary and deployment package/version reference.</w:t>
            </w:r>
          </w:p>
        </w:tc>
        <w:tc>
          <w:tcPr>
            <w:tcW w:type="pct" w:w="23%"/>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[MANUAL INPUT REQUIRED]</w:t>
            </w:r>
          </w:p>
        </w:tc>
      </w:tr>
      <w:tr>
        <w:trPr>
          <w:tblHeader w:val="false"/>
        </w:trPr>
        <w:tc>
          <w:tcPr>
            <w:tcW w:type="pct" w:w="22%"/>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Restore test</w:t>
            </w:r>
          </w:p>
        </w:tc>
        <w:tc>
          <w:tcPr>
            <w:tcW w:type="pct" w:w="55%"/>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Scheduled restoration test with date, responsible personnel, and result.</w:t>
            </w:r>
          </w:p>
        </w:tc>
        <w:tc>
          <w:tcPr>
            <w:tcW w:type="pct" w:w="23%"/>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[MANUAL INPUT REQUIRED]</w:t>
            </w:r>
          </w:p>
        </w:tc>
      </w:tr>
    </w:tbl>
    <w:p>
      <w:pPr>
        <w:pStyle w:val="Heading2"/>
        <w:spacing w:after="130" w:before="220" w:line="276"/>
        <w:jc w:val="left"/>
      </w:pPr>
      <w:r>
        <w:rPr>
          <w:rFonts w:ascii="Arial" w:cs="Arial" w:eastAsia="Arial" w:hAnsi="Arial"/>
          <w:b/>
          <w:bCs/>
          <w:i w:val="false"/>
          <w:iCs w:val="false"/>
          <w:caps w:val="false"/>
          <w:color w:val="1F4E79"/>
          <w:sz w:val="25"/>
          <w:szCs w:val="25"/>
        </w:rPr>
        <w:t xml:space="preserve">G.5 Release and Maintenance Responsibilities</w:t>
      </w:r>
    </w:p>
    <w:p>
      <w:pPr>
        <w:spacing w:after="80" w:before="120" w:line="276"/>
        <w:jc w:val="center"/>
      </w:pPr>
      <w:r>
        <w:rPr>
          <w:rFonts w:ascii="Arial" w:cs="Arial" w:eastAsia="Arial" w:hAnsi="Arial"/>
          <w:b w:val="false"/>
          <w:bCs w:val="false"/>
          <w:i w:val="false"/>
          <w:iCs w:val="false"/>
          <w:caps w:val="false"/>
          <w:color w:val="000000"/>
          <w:sz w:val="22"/>
          <w:szCs w:val="22"/>
        </w:rPr>
        <w:t xml:space="preserve">Table G-</w:t>
      </w:r>
      <w:fldSimple w:instr="SEQ TableG \* ARABIC"/>
      <w:r>
        <w:rPr>
          <w:rFonts w:ascii="Arial" w:cs="Arial" w:eastAsia="Arial" w:hAnsi="Arial"/>
          <w:b/>
          <w:bCs/>
          <w:i w:val="false"/>
          <w:iCs w:val="false"/>
          <w:caps w:val="false"/>
          <w:color w:val="000000"/>
          <w:sz w:val="22"/>
          <w:szCs w:val="22"/>
        </w:rPr>
        <w:t xml:space="preserve">. Maintenance responsibility matrix</w:t>
      </w:r>
    </w:p>
    <w:tbl>
      <w:tblPr>
        <w:tblW w:type="pct" w:w="100%"/>
        <w:tblBorders>
          <w:top w:val="single" w:color="808080" w:sz="4"/>
          <w:left w:val="single" w:color="808080" w:sz="4"/>
          <w:bottom w:val="single" w:color="808080" w:sz="4"/>
          <w:right w:val="single" w:color="808080" w:sz="4"/>
          <w:insideH w:val="single" w:color="BFBFBF" w:sz="4"/>
          <w:insideV w:val="single" w:color="BFBFBF" w:sz="4"/>
        </w:tblBorders>
      </w:tblPr>
      <w:tblGrid>
        <w:gridCol w:w="100"/>
        <w:gridCol w:w="100"/>
        <w:gridCol w:w="100"/>
        <w:gridCol w:w="100"/>
      </w:tblGrid>
      <w:tr>
        <w:trPr>
          <w:tblHeader/>
        </w:trPr>
        <w:tc>
          <w:tcPr>
            <w:tcW w:type="pct" w:w="22%"/>
            <w:shd w:fill="D9EAF7" w:val="clear"/>
            <w:tcMar>
              <w:top w:type="dxa" w:w="90"/>
              <w:left w:type="dxa" w:w="90"/>
              <w:bottom w:type="dxa" w:w="90"/>
              <w:right w:type="dxa" w:w="90"/>
            </w:tcMar>
          </w:tcPr>
          <w:p>
            <w:pPr>
              <w:spacing w:after="0" w:before="0" w:line="240"/>
              <w:jc w:val="left"/>
            </w:pPr>
            <w:r>
              <w:rPr>
                <w:rFonts w:ascii="Arial" w:cs="Arial" w:eastAsia="Arial" w:hAnsi="Arial"/>
                <w:b/>
                <w:bCs/>
                <w:i w:val="false"/>
                <w:iCs w:val="false"/>
                <w:caps w:val="false"/>
                <w:color w:val="1F4E79"/>
                <w:sz w:val="18"/>
                <w:szCs w:val="18"/>
              </w:rPr>
              <w:t xml:space="preserve">Area</w:t>
            </w:r>
          </w:p>
        </w:tc>
        <w:tc>
          <w:tcPr>
            <w:tcW w:type="pct" w:w="26%"/>
            <w:shd w:fill="D9EAF7" w:val="clear"/>
            <w:tcMar>
              <w:top w:type="dxa" w:w="90"/>
              <w:left w:type="dxa" w:w="90"/>
              <w:bottom w:type="dxa" w:w="90"/>
              <w:right w:type="dxa" w:w="90"/>
            </w:tcMar>
          </w:tcPr>
          <w:p>
            <w:pPr>
              <w:spacing w:after="0" w:before="0" w:line="240"/>
              <w:jc w:val="left"/>
            </w:pPr>
            <w:r>
              <w:rPr>
                <w:rFonts w:ascii="Arial" w:cs="Arial" w:eastAsia="Arial" w:hAnsi="Arial"/>
                <w:b/>
                <w:bCs/>
                <w:i w:val="false"/>
                <w:iCs w:val="false"/>
                <w:caps w:val="false"/>
                <w:color w:val="1F4E79"/>
                <w:sz w:val="18"/>
                <w:szCs w:val="18"/>
              </w:rPr>
              <w:t xml:space="preserve">Responsible party</w:t>
            </w:r>
          </w:p>
        </w:tc>
        <w:tc>
          <w:tcPr>
            <w:tcW w:type="pct" w:w="24%"/>
            <w:shd w:fill="D9EAF7" w:val="clear"/>
            <w:tcMar>
              <w:top w:type="dxa" w:w="90"/>
              <w:left w:type="dxa" w:w="90"/>
              <w:bottom w:type="dxa" w:w="90"/>
              <w:right w:type="dxa" w:w="90"/>
            </w:tcMar>
          </w:tcPr>
          <w:p>
            <w:pPr>
              <w:spacing w:after="0" w:before="0" w:line="240"/>
              <w:jc w:val="left"/>
            </w:pPr>
            <w:r>
              <w:rPr>
                <w:rFonts w:ascii="Arial" w:cs="Arial" w:eastAsia="Arial" w:hAnsi="Arial"/>
                <w:b/>
                <w:bCs/>
                <w:i w:val="false"/>
                <w:iCs w:val="false"/>
                <w:caps w:val="false"/>
                <w:color w:val="1F4E79"/>
                <w:sz w:val="18"/>
                <w:szCs w:val="18"/>
              </w:rPr>
              <w:t xml:space="preserve">Frequency</w:t>
            </w:r>
          </w:p>
        </w:tc>
        <w:tc>
          <w:tcPr>
            <w:tcW w:type="pct" w:w="28%"/>
            <w:shd w:fill="D9EAF7" w:val="clear"/>
            <w:tcMar>
              <w:top w:type="dxa" w:w="90"/>
              <w:left w:type="dxa" w:w="90"/>
              <w:bottom w:type="dxa" w:w="90"/>
              <w:right w:type="dxa" w:w="90"/>
            </w:tcMar>
          </w:tcPr>
          <w:p>
            <w:pPr>
              <w:spacing w:after="0" w:before="0" w:line="240"/>
              <w:jc w:val="left"/>
            </w:pPr>
            <w:r>
              <w:rPr>
                <w:rFonts w:ascii="Arial" w:cs="Arial" w:eastAsia="Arial" w:hAnsi="Arial"/>
                <w:b/>
                <w:bCs/>
                <w:i w:val="false"/>
                <w:iCs w:val="false"/>
                <w:caps w:val="false"/>
                <w:color w:val="1F4E79"/>
                <w:sz w:val="18"/>
                <w:szCs w:val="18"/>
              </w:rPr>
              <w:t xml:space="preserve">Evidence</w:t>
            </w:r>
          </w:p>
        </w:tc>
      </w:tr>
      <w:tr>
        <w:trPr>
          <w:tblHeader w:val="false"/>
        </w:trPr>
        <w:tc>
          <w:tcPr>
            <w:tcW w:type="pct" w:w="22%"/>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User and role review</w:t>
            </w:r>
          </w:p>
        </w:tc>
        <w:tc>
          <w:tcPr>
            <w:tcW w:type="pct" w:w="26%"/>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System owner / administrator</w:t>
            </w:r>
          </w:p>
        </w:tc>
        <w:tc>
          <w:tcPr>
            <w:tcW w:type="pct" w:w="24%"/>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Per reporting cycle and personnel changes</w:t>
            </w:r>
          </w:p>
        </w:tc>
        <w:tc>
          <w:tcPr>
            <w:tcW w:type="pct" w:w="28%"/>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User review record</w:t>
            </w:r>
          </w:p>
        </w:tc>
      </w:tr>
      <w:tr>
        <w:trPr>
          <w:tblHeader w:val="false"/>
        </w:trPr>
        <w:tc>
          <w:tcPr>
            <w:tcW w:type="pct" w:w="22%"/>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Audit-log review</w:t>
            </w:r>
          </w:p>
        </w:tc>
        <w:tc>
          <w:tcPr>
            <w:tcW w:type="pct" w:w="26%"/>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Administrator / reviewer</w:t>
            </w:r>
          </w:p>
        </w:tc>
        <w:tc>
          <w:tcPr>
            <w:tcW w:type="pct" w:w="24%"/>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Per reporting cycle or incident review</w:t>
            </w:r>
          </w:p>
        </w:tc>
        <w:tc>
          <w:tcPr>
            <w:tcW w:type="pct" w:w="28%"/>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Audit review sheet</w:t>
            </w:r>
          </w:p>
        </w:tc>
      </w:tr>
      <w:tr>
        <w:trPr>
          <w:tblHeader w:val="false"/>
        </w:trPr>
        <w:tc>
          <w:tcPr>
            <w:tcW w:type="pct" w:w="22%"/>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Backup verification</w:t>
            </w:r>
          </w:p>
        </w:tc>
        <w:tc>
          <w:tcPr>
            <w:tcW w:type="pct" w:w="26%"/>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Host/system owner</w:t>
            </w:r>
          </w:p>
        </w:tc>
        <w:tc>
          <w:tcPr>
            <w:tcW w:type="pct" w:w="24%"/>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Per approved backup schedule</w:t>
            </w:r>
          </w:p>
        </w:tc>
        <w:tc>
          <w:tcPr>
            <w:tcW w:type="pct" w:w="28%"/>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Backup and restore test record</w:t>
            </w:r>
          </w:p>
        </w:tc>
      </w:tr>
      <w:tr>
        <w:trPr>
          <w:tblHeader w:val="false"/>
        </w:trPr>
        <w:tc>
          <w:tcPr>
            <w:tcW w:type="pct" w:w="22%"/>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Dependency/security review</w:t>
            </w:r>
          </w:p>
        </w:tc>
        <w:tc>
          <w:tcPr>
            <w:tcW w:type="pct" w:w="26%"/>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Technical maintainer</w:t>
            </w:r>
          </w:p>
        </w:tc>
        <w:tc>
          <w:tcPr>
            <w:tcW w:type="pct" w:w="24%"/>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Per release or advisory</w:t>
            </w:r>
          </w:p>
        </w:tc>
        <w:tc>
          <w:tcPr>
            <w:tcW w:type="pct" w:w="28%"/>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Patch/release notes</w:t>
            </w:r>
          </w:p>
        </w:tc>
      </w:tr>
      <w:tr>
        <w:trPr>
          <w:tblHeader w:val="false"/>
        </w:trPr>
        <w:tc>
          <w:tcPr>
            <w:tcW w:type="pct" w:w="22%"/>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Worker/job monitoring</w:t>
            </w:r>
          </w:p>
        </w:tc>
        <w:tc>
          <w:tcPr>
            <w:tcW w:type="pct" w:w="26%"/>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Administrator / maintainer</w:t>
            </w:r>
          </w:p>
        </w:tc>
        <w:tc>
          <w:tcPr>
            <w:tcW w:type="pct" w:w="24%"/>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Routine operations review</w:t>
            </w:r>
          </w:p>
        </w:tc>
        <w:tc>
          <w:tcPr>
            <w:tcW w:type="pct" w:w="28%"/>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Job status review</w:t>
            </w:r>
          </w:p>
        </w:tc>
      </w:tr>
      <w:tr>
        <w:trPr>
          <w:tblHeader w:val="false"/>
        </w:trPr>
        <w:tc>
          <w:tcPr>
            <w:tcW w:type="pct" w:w="22%"/>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Documentation update</w:t>
            </w:r>
          </w:p>
        </w:tc>
        <w:tc>
          <w:tcPr>
            <w:tcW w:type="pct" w:w="26%"/>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Documentation owner / KM reviewer</w:t>
            </w:r>
          </w:p>
        </w:tc>
        <w:tc>
          <w:tcPr>
            <w:tcW w:type="pct" w:w="24%"/>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Per release or policy cycle</w:t>
            </w:r>
          </w:p>
        </w:tc>
        <w:tc>
          <w:tcPr>
            <w:tcW w:type="pct" w:w="28%"/>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Updated manuals and appendices</w:t>
            </w:r>
          </w:p>
        </w:tc>
      </w:tr>
    </w:tbl>
    <w:p>
      <w:pPr>
        <w:pStyle w:val="Heading2"/>
        <w:spacing w:after="130" w:before="220" w:line="276"/>
        <w:jc w:val="left"/>
      </w:pPr>
      <w:r>
        <w:rPr>
          <w:rFonts w:ascii="Arial" w:cs="Arial" w:eastAsia="Arial" w:hAnsi="Arial"/>
          <w:b/>
          <w:bCs/>
          <w:i w:val="false"/>
          <w:iCs w:val="false"/>
          <w:caps w:val="false"/>
          <w:color w:val="1F4E79"/>
          <w:sz w:val="25"/>
          <w:szCs w:val="25"/>
        </w:rPr>
        <w:t xml:space="preserve">G.6 Background Jobs and Realtime Components</w:t>
      </w:r>
    </w:p>
    <w:p>
      <w:pPr>
        <w:spacing w:after="80" w:before="120" w:line="276"/>
        <w:jc w:val="center"/>
      </w:pPr>
      <w:r>
        <w:rPr>
          <w:rFonts w:ascii="Arial" w:cs="Arial" w:eastAsia="Arial" w:hAnsi="Arial"/>
          <w:b w:val="false"/>
          <w:bCs w:val="false"/>
          <w:i w:val="false"/>
          <w:iCs w:val="false"/>
          <w:caps w:val="false"/>
          <w:color w:val="000000"/>
          <w:sz w:val="22"/>
          <w:szCs w:val="22"/>
        </w:rPr>
        <w:t xml:space="preserve">Table G-</w:t>
      </w:r>
      <w:fldSimple w:instr="SEQ TableG \* ARABIC"/>
      <w:r>
        <w:rPr>
          <w:rFonts w:ascii="Arial" w:cs="Arial" w:eastAsia="Arial" w:hAnsi="Arial"/>
          <w:b/>
          <w:bCs/>
          <w:i w:val="false"/>
          <w:iCs w:val="false"/>
          <w:caps w:val="false"/>
          <w:color w:val="000000"/>
          <w:sz w:val="22"/>
          <w:szCs w:val="22"/>
        </w:rPr>
        <w:t xml:space="preserve">. Worker and realtime component summary</w:t>
      </w:r>
    </w:p>
    <w:tbl>
      <w:tblPr>
        <w:tblW w:type="pct" w:w="100%"/>
        <w:tblBorders>
          <w:top w:val="single" w:color="808080" w:sz="4"/>
          <w:left w:val="single" w:color="808080" w:sz="4"/>
          <w:bottom w:val="single" w:color="808080" w:sz="4"/>
          <w:right w:val="single" w:color="808080" w:sz="4"/>
          <w:insideH w:val="single" w:color="BFBFBF" w:sz="4"/>
          <w:insideV w:val="single" w:color="BFBFBF" w:sz="4"/>
        </w:tblBorders>
      </w:tblPr>
      <w:tblGrid>
        <w:gridCol w:w="100"/>
        <w:gridCol w:w="100"/>
        <w:gridCol w:w="100"/>
      </w:tblGrid>
      <w:tr>
        <w:trPr>
          <w:tblHeader/>
        </w:trPr>
        <w:tc>
          <w:tcPr>
            <w:tcW w:type="pct" w:w="22%"/>
            <w:shd w:fill="D9EAF7" w:val="clear"/>
            <w:tcMar>
              <w:top w:type="dxa" w:w="90"/>
              <w:left w:type="dxa" w:w="90"/>
              <w:bottom w:type="dxa" w:w="90"/>
              <w:right w:type="dxa" w:w="90"/>
            </w:tcMar>
          </w:tcPr>
          <w:p>
            <w:pPr>
              <w:spacing w:after="0" w:before="0" w:line="240"/>
              <w:jc w:val="left"/>
            </w:pPr>
            <w:r>
              <w:rPr>
                <w:rFonts w:ascii="Arial" w:cs="Arial" w:eastAsia="Arial" w:hAnsi="Arial"/>
                <w:b/>
                <w:bCs/>
                <w:i w:val="false"/>
                <w:iCs w:val="false"/>
                <w:caps w:val="false"/>
                <w:color w:val="1F4E79"/>
                <w:sz w:val="18"/>
                <w:szCs w:val="18"/>
              </w:rPr>
              <w:t xml:space="preserve">Area</w:t>
            </w:r>
          </w:p>
        </w:tc>
        <w:tc>
          <w:tcPr>
            <w:tcW w:type="pct" w:w="38%"/>
            <w:shd w:fill="D9EAF7" w:val="clear"/>
            <w:tcMar>
              <w:top w:type="dxa" w:w="90"/>
              <w:left w:type="dxa" w:w="90"/>
              <w:bottom w:type="dxa" w:w="90"/>
              <w:right w:type="dxa" w:w="90"/>
            </w:tcMar>
          </w:tcPr>
          <w:p>
            <w:pPr>
              <w:spacing w:after="0" w:before="0" w:line="240"/>
              <w:jc w:val="left"/>
            </w:pPr>
            <w:r>
              <w:rPr>
                <w:rFonts w:ascii="Arial" w:cs="Arial" w:eastAsia="Arial" w:hAnsi="Arial"/>
                <w:b/>
                <w:bCs/>
                <w:i w:val="false"/>
                <w:iCs w:val="false"/>
                <w:caps w:val="false"/>
                <w:color w:val="1F4E79"/>
                <w:sz w:val="18"/>
                <w:szCs w:val="18"/>
              </w:rPr>
              <w:t xml:space="preserve">Representative files</w:t>
            </w:r>
          </w:p>
        </w:tc>
        <w:tc>
          <w:tcPr>
            <w:tcW w:type="pct" w:w="40%"/>
            <w:shd w:fill="D9EAF7" w:val="clear"/>
            <w:tcMar>
              <w:top w:type="dxa" w:w="90"/>
              <w:left w:type="dxa" w:w="90"/>
              <w:bottom w:type="dxa" w:w="90"/>
              <w:right w:type="dxa" w:w="90"/>
            </w:tcMar>
          </w:tcPr>
          <w:p>
            <w:pPr>
              <w:spacing w:after="0" w:before="0" w:line="240"/>
              <w:jc w:val="left"/>
            </w:pPr>
            <w:r>
              <w:rPr>
                <w:rFonts w:ascii="Arial" w:cs="Arial" w:eastAsia="Arial" w:hAnsi="Arial"/>
                <w:b/>
                <w:bCs/>
                <w:i w:val="false"/>
                <w:iCs w:val="false"/>
                <w:caps w:val="false"/>
                <w:color w:val="1F4E79"/>
                <w:sz w:val="18"/>
                <w:szCs w:val="18"/>
              </w:rPr>
              <w:t xml:space="preserve">Purpose</w:t>
            </w:r>
          </w:p>
        </w:tc>
      </w:tr>
      <w:tr>
        <w:trPr>
          <w:tblHeader w:val="false"/>
        </w:trPr>
        <w:tc>
          <w:tcPr>
            <w:tcW w:type="pct" w:w="22%"/>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MEB import</w:t>
            </w:r>
          </w:p>
        </w:tc>
        <w:tc>
          <w:tcPr>
            <w:tcW w:type="pct" w:w="38%"/>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pages/meb_import_worker.php; pages/meb_import_helpers.php</w:t>
            </w:r>
          </w:p>
        </w:tc>
        <w:tc>
          <w:tcPr>
            <w:tcW w:type="pct" w:w="4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Background import of MEB workbooks with progress/status updates.</w:t>
            </w:r>
          </w:p>
        </w:tc>
      </w:tr>
      <w:tr>
        <w:trPr>
          <w:tblHeader w:val="false"/>
        </w:trPr>
        <w:tc>
          <w:tcPr>
            <w:tcW w:type="pct" w:w="22%"/>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Profile export</w:t>
            </w:r>
          </w:p>
        </w:tc>
        <w:tc>
          <w:tcPr>
            <w:tcW w:type="pct" w:w="38%"/>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pages/profile_export_worker.php; pages/profile_export_job_helpers.php</w:t>
            </w:r>
          </w:p>
        </w:tc>
        <w:tc>
          <w:tcPr>
            <w:tcW w:type="pct" w:w="4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Background generation of profile exports.</w:t>
            </w:r>
          </w:p>
        </w:tc>
      </w:tr>
      <w:tr>
        <w:trPr>
          <w:tblHeader w:val="false"/>
        </w:trPr>
        <w:tc>
          <w:tcPr>
            <w:tcW w:type="pct" w:w="22%"/>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Deduplication</w:t>
            </w:r>
          </w:p>
        </w:tc>
        <w:tc>
          <w:tcPr>
            <w:tcW w:type="pct" w:w="38%"/>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deduplication/worker.php; deduplication/worker_v2.php</w:t>
            </w:r>
          </w:p>
        </w:tc>
        <w:tc>
          <w:tcPr>
            <w:tcW w:type="pct" w:w="4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Duplicate detection and result storage.</w:t>
            </w:r>
          </w:p>
        </w:tc>
      </w:tr>
      <w:tr>
        <w:trPr>
          <w:tblHeader w:val="false"/>
        </w:trPr>
        <w:tc>
          <w:tcPr>
            <w:tcW w:type="pct" w:w="22%"/>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Crossmatch</w:t>
            </w:r>
          </w:p>
        </w:tc>
        <w:tc>
          <w:tcPr>
            <w:tcW w:type="pct" w:w="38%"/>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crossmatch/run_job.php</w:t>
            </w:r>
          </w:p>
        </w:tc>
        <w:tc>
          <w:tcPr>
            <w:tcW w:type="pct" w:w="4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Match scoring and result storage.</w:t>
            </w:r>
          </w:p>
        </w:tc>
      </w:tr>
      <w:tr>
        <w:trPr>
          <w:tblHeader w:val="false"/>
        </w:trPr>
        <w:tc>
          <w:tcPr>
            <w:tcW w:type="pct" w:w="22%"/>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MEBIS LGU template</w:t>
            </w:r>
          </w:p>
        </w:tc>
        <w:tc>
          <w:tcPr>
            <w:tcW w:type="pct" w:w="38%"/>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mebis-lgu-template/worker.php</w:t>
            </w:r>
          </w:p>
        </w:tc>
        <w:tc>
          <w:tcPr>
            <w:tcW w:type="pct" w:w="4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Background generation of import-ready templates.</w:t>
            </w:r>
          </w:p>
        </w:tc>
      </w:tr>
      <w:tr>
        <w:trPr>
          <w:tblHeader w:val="false"/>
        </w:trPr>
        <w:tc>
          <w:tcPr>
            <w:tcW w:type="pct" w:w="22%"/>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Realtime bridge</w:t>
            </w:r>
          </w:p>
        </w:tc>
        <w:tc>
          <w:tcPr>
            <w:tcW w:type="pct" w:w="38%"/>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dist/js/kodus-live-refresh.js; socket helpers</w:t>
            </w:r>
          </w:p>
        </w:tc>
        <w:tc>
          <w:tcPr>
            <w:tcW w:type="pct" w:w="4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Optional live refresh and notification channels using environment-based configuration.</w:t>
            </w:r>
          </w:p>
        </w:tc>
      </w:tr>
    </w:tbl>
    <w:p>
      <w:pPr>
        <w:pStyle w:val="Heading2"/>
        <w:spacing w:after="130" w:before="220" w:line="276"/>
        <w:jc w:val="left"/>
      </w:pPr>
      <w:r>
        <w:rPr>
          <w:rFonts w:ascii="Arial" w:cs="Arial" w:eastAsia="Arial" w:hAnsi="Arial"/>
          <w:b/>
          <w:bCs/>
          <w:i w:val="false"/>
          <w:iCs w:val="false"/>
          <w:caps w:val="false"/>
          <w:color w:val="1F4E79"/>
          <w:sz w:val="25"/>
          <w:szCs w:val="25"/>
        </w:rPr>
        <w:t xml:space="preserve">G.7 Deployment Evidence Figure</w:t>
      </w:r>
    </w:p>
    <w:tbl>
      <w:tblPr>
        <w:tblW w:type="pct" w:w="100%"/>
        <w:tblBorders>
          <w:top w:val="single" w:color="999999" w:sz="8"/>
          <w:left w:val="single" w:color="999999" w:sz="8"/>
          <w:bottom w:val="single" w:color="999999" w:sz="8"/>
          <w:right w:val="single" w:color="999999" w:sz="8"/>
          <w:insideH w:val="single" w:color="auto" w:sz="4"/>
          <w:insideV w:val="single" w:color="auto" w:sz="4"/>
        </w:tblBorders>
      </w:tblPr>
      <w:tblGrid>
        <w:gridCol w:w="100"/>
      </w:tblGrid>
      <w:tr>
        <w:tc>
          <w:tcPr>
            <w:shd w:fill="F2F2F2" w:val="clear"/>
            <w:tcMar>
              <w:top w:type="dxa" w:w="850"/>
              <w:left w:type="dxa" w:w="120"/>
              <w:bottom w:type="dxa" w:w="850"/>
              <w:right w:type="dxa" w:w="120"/>
            </w:tcMar>
          </w:tcPr>
          <w:p>
            <w:pPr>
              <w:jc w:val="center"/>
            </w:pPr>
            <w:r>
              <w:rPr>
                <w:rFonts w:ascii="Arial" w:cs="Arial" w:eastAsia="Arial" w:hAnsi="Arial"/>
                <w:b/>
                <w:bCs/>
                <w:i w:val="false"/>
                <w:iCs w:val="false"/>
                <w:caps w:val="false"/>
                <w:color w:val="C00000"/>
                <w:sz w:val="22"/>
                <w:szCs w:val="22"/>
              </w:rPr>
              <w:t xml:space="preserve">[MANUAL SCREENSHOT INSERT REQUIRED]</w:t>
            </w:r>
          </w:p>
          <w:p>
            <w:pPr>
              <w:jc w:val="center"/>
            </w:pPr>
            <w:r>
              <w:rPr>
                <w:rFonts w:ascii="Arial" w:cs="Arial" w:eastAsia="Arial" w:hAnsi="Arial"/>
                <w:b/>
                <w:bCs/>
                <w:i w:val="false"/>
                <w:iCs w:val="false"/>
                <w:caps w:val="false"/>
                <w:color w:val="666666"/>
                <w:sz w:val="18"/>
                <w:szCs w:val="18"/>
              </w:rPr>
              <w:t xml:space="preserve">Deployment Architecture Placeholder</w:t>
            </w:r>
          </w:p>
          <w:p>
            <w:pPr>
              <w:jc w:val="center"/>
            </w:pPr>
            <w:r>
              <w:rPr>
                <w:rFonts w:ascii="Arial" w:cs="Arial" w:eastAsia="Arial" w:hAnsi="Arial"/>
                <w:b w:val="false"/>
                <w:bCs w:val="false"/>
                <w:i/>
                <w:iCs/>
                <w:caps w:val="false"/>
                <w:color w:val="666666"/>
                <w:sz w:val="18"/>
                <w:szCs w:val="18"/>
              </w:rPr>
              <w:t xml:space="preserve">Use sanitized or synthetic data only.</w:t>
            </w:r>
          </w:p>
        </w:tc>
      </w:tr>
    </w:tbl>
    <w:p>
      <w:pPr>
        <w:spacing w:after="60" w:before="80" w:line="276"/>
        <w:jc w:val="center"/>
      </w:pPr>
      <w:r>
        <w:rPr>
          <w:rFonts w:ascii="Arial" w:cs="Arial" w:eastAsia="Arial" w:hAnsi="Arial"/>
          <w:b w:val="false"/>
          <w:bCs w:val="false"/>
          <w:i w:val="false"/>
          <w:iCs w:val="false"/>
          <w:caps w:val="false"/>
          <w:color w:val="000000"/>
          <w:sz w:val="22"/>
          <w:szCs w:val="22"/>
        </w:rPr>
        <w:t xml:space="preserve">Figure G-</w:t>
      </w:r>
      <w:fldSimple w:instr="SEQ FigureG \* ARABIC"/>
      <w:r>
        <w:rPr>
          <w:rFonts w:ascii="Arial" w:cs="Arial" w:eastAsia="Arial" w:hAnsi="Arial"/>
          <w:b/>
          <w:bCs/>
          <w:i w:val="false"/>
          <w:iCs w:val="false"/>
          <w:caps w:val="false"/>
          <w:color w:val="000000"/>
          <w:sz w:val="22"/>
          <w:szCs w:val="22"/>
        </w:rPr>
        <w:t xml:space="preserve">. Deployment Architecture Placeholder</w:t>
      </w:r>
    </w:p>
    <w:p>
      <w:pPr>
        <w:spacing w:after="150" w:before="20" w:line="276"/>
        <w:jc w:val="both"/>
      </w:pPr>
      <w:r>
        <w:rPr>
          <w:rFonts w:ascii="Arial" w:cs="Arial" w:eastAsia="Arial" w:hAnsi="Arial"/>
          <w:b/>
          <w:bCs/>
          <w:i w:val="false"/>
          <w:iCs w:val="false"/>
          <w:caps w:val="false"/>
          <w:color w:val="000000"/>
          <w:sz w:val="22"/>
          <w:szCs w:val="22"/>
        </w:rPr>
        <w:t xml:space="preserve">Purpose/use: </w:t>
      </w:r>
      <w:r>
        <w:rPr>
          <w:rFonts w:ascii="Arial" w:cs="Arial" w:eastAsia="Arial" w:hAnsi="Arial"/>
          <w:b w:val="false"/>
          <w:bCs w:val="false"/>
          <w:i w:val="false"/>
          <w:iCs w:val="false"/>
          <w:caps w:val="false"/>
          <w:color w:val="000000"/>
          <w:sz w:val="22"/>
          <w:szCs w:val="22"/>
        </w:rPr>
        <w:t xml:space="preserve">Reserved for approved non-secret deployment architecture screenshot or diagram showing environment family, web tier, application tier, database tier, and backup responsibility without hostnames, IP addresses, credentials, or network-sensitive details.</w:t>
      </w:r>
    </w:p>
    <w:p>
      <w:pPr>
        <w:pStyle w:val="Heading2"/>
        <w:spacing w:after="130" w:before="220" w:line="276"/>
        <w:jc w:val="left"/>
      </w:pPr>
      <w:r>
        <w:rPr>
          <w:rFonts w:ascii="Arial" w:cs="Arial" w:eastAsia="Arial" w:hAnsi="Arial"/>
          <w:b/>
          <w:bCs/>
          <w:i w:val="false"/>
          <w:iCs w:val="false"/>
          <w:caps w:val="false"/>
          <w:color w:val="1F4E79"/>
          <w:sz w:val="25"/>
          <w:szCs w:val="25"/>
        </w:rPr>
        <w:t xml:space="preserve">G. Owner Validation Checklist</w:t>
      </w:r>
    </w:p>
    <w:p>
      <w:pPr>
        <w:spacing w:after="80" w:before="120" w:line="276"/>
        <w:jc w:val="center"/>
      </w:pPr>
      <w:r>
        <w:rPr>
          <w:rFonts w:ascii="Arial" w:cs="Arial" w:eastAsia="Arial" w:hAnsi="Arial"/>
          <w:b w:val="false"/>
          <w:bCs w:val="false"/>
          <w:i w:val="false"/>
          <w:iCs w:val="false"/>
          <w:caps w:val="false"/>
          <w:color w:val="000000"/>
          <w:sz w:val="22"/>
          <w:szCs w:val="22"/>
        </w:rPr>
        <w:t xml:space="preserve">Table G-</w:t>
      </w:r>
      <w:fldSimple w:instr="SEQ TableG \* ARABIC"/>
      <w:r>
        <w:rPr>
          <w:rFonts w:ascii="Arial" w:cs="Arial" w:eastAsia="Arial" w:hAnsi="Arial"/>
          <w:b/>
          <w:bCs/>
          <w:i w:val="false"/>
          <w:iCs w:val="false"/>
          <w:caps w:val="false"/>
          <w:color w:val="000000"/>
          <w:sz w:val="22"/>
          <w:szCs w:val="22"/>
        </w:rPr>
        <w:t xml:space="preserve">. Owner validation checklist</w:t>
      </w:r>
    </w:p>
    <w:tbl>
      <w:tblPr>
        <w:tblW w:type="pct" w:w="100%"/>
        <w:tblBorders>
          <w:top w:val="single" w:color="808080" w:sz="4"/>
          <w:left w:val="single" w:color="808080" w:sz="4"/>
          <w:bottom w:val="single" w:color="808080" w:sz="4"/>
          <w:right w:val="single" w:color="808080" w:sz="4"/>
          <w:insideH w:val="single" w:color="BFBFBF" w:sz="4"/>
          <w:insideV w:val="single" w:color="BFBFBF" w:sz="4"/>
        </w:tblBorders>
      </w:tblPr>
      <w:tblGrid>
        <w:gridCol w:w="100"/>
        <w:gridCol w:w="100"/>
        <w:gridCol w:w="100"/>
      </w:tblGrid>
      <w:tr>
        <w:trPr>
          <w:tblHeader/>
        </w:trPr>
        <w:tc>
          <w:tcPr>
            <w:tcW w:type="pct" w:w="28%"/>
            <w:shd w:fill="D9EAF7" w:val="clear"/>
            <w:tcMar>
              <w:top w:type="dxa" w:w="90"/>
              <w:left w:type="dxa" w:w="90"/>
              <w:bottom w:type="dxa" w:w="90"/>
              <w:right w:type="dxa" w:w="90"/>
            </w:tcMar>
          </w:tcPr>
          <w:p>
            <w:pPr>
              <w:spacing w:after="0" w:before="0" w:line="240"/>
              <w:jc w:val="left"/>
            </w:pPr>
            <w:r>
              <w:rPr>
                <w:rFonts w:ascii="Arial" w:cs="Arial" w:eastAsia="Arial" w:hAnsi="Arial"/>
                <w:b/>
                <w:bCs/>
                <w:i w:val="false"/>
                <w:iCs w:val="false"/>
                <w:caps w:val="false"/>
                <w:color w:val="1F4E79"/>
                <w:sz w:val="18"/>
                <w:szCs w:val="18"/>
              </w:rPr>
              <w:t xml:space="preserve">Validation item</w:t>
            </w:r>
          </w:p>
        </w:tc>
        <w:tc>
          <w:tcPr>
            <w:tcW w:type="pct" w:w="52%"/>
            <w:shd w:fill="D9EAF7" w:val="clear"/>
            <w:tcMar>
              <w:top w:type="dxa" w:w="90"/>
              <w:left w:type="dxa" w:w="90"/>
              <w:bottom w:type="dxa" w:w="90"/>
              <w:right w:type="dxa" w:w="90"/>
            </w:tcMar>
          </w:tcPr>
          <w:p>
            <w:pPr>
              <w:spacing w:after="0" w:before="0" w:line="240"/>
              <w:jc w:val="left"/>
            </w:pPr>
            <w:r>
              <w:rPr>
                <w:rFonts w:ascii="Arial" w:cs="Arial" w:eastAsia="Arial" w:hAnsi="Arial"/>
                <w:b/>
                <w:bCs/>
                <w:i w:val="false"/>
                <w:iCs w:val="false"/>
                <w:caps w:val="false"/>
                <w:color w:val="1F4E79"/>
                <w:sz w:val="18"/>
                <w:szCs w:val="18"/>
              </w:rPr>
              <w:t xml:space="preserve">Required action</w:t>
            </w:r>
          </w:p>
        </w:tc>
        <w:tc>
          <w:tcPr>
            <w:tcW w:type="pct" w:w="20%"/>
            <w:shd w:fill="D9EAF7" w:val="clear"/>
            <w:tcMar>
              <w:top w:type="dxa" w:w="90"/>
              <w:left w:type="dxa" w:w="90"/>
              <w:bottom w:type="dxa" w:w="90"/>
              <w:right w:type="dxa" w:w="90"/>
            </w:tcMar>
          </w:tcPr>
          <w:p>
            <w:pPr>
              <w:spacing w:after="0" w:before="0" w:line="240"/>
              <w:jc w:val="left"/>
            </w:pPr>
            <w:r>
              <w:rPr>
                <w:rFonts w:ascii="Arial" w:cs="Arial" w:eastAsia="Arial" w:hAnsi="Arial"/>
                <w:b/>
                <w:bCs/>
                <w:i w:val="false"/>
                <w:iCs w:val="false"/>
                <w:caps w:val="false"/>
                <w:color w:val="1F4E79"/>
                <w:sz w:val="18"/>
                <w:szCs w:val="18"/>
              </w:rPr>
              <w:t xml:space="preserve">Status</w:t>
            </w:r>
          </w:p>
        </w:tc>
      </w:tr>
      <w:tr>
        <w:trPr>
          <w:tblHeader w:val="false"/>
        </w:trPr>
        <w:tc>
          <w:tcPr>
            <w:tcW w:type="pct" w:w="28%"/>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Sanitization</w:t>
            </w:r>
          </w:p>
        </w:tc>
        <w:tc>
          <w:tcPr>
            <w:tcW w:type="pct" w:w="52%"/>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Confirm no beneficiary-level personal information, account secret, token, or password is visible.</w:t>
            </w:r>
          </w:p>
        </w:tc>
        <w:tc>
          <w:tcPr>
            <w:tcW w:type="pct" w:w="2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[MANUAL INPUT REQUIRED]</w:t>
            </w:r>
          </w:p>
        </w:tc>
      </w:tr>
      <w:tr>
        <w:trPr>
          <w:tblHeader w:val="false"/>
        </w:trPr>
        <w:tc>
          <w:tcPr>
            <w:tcW w:type="pct" w:w="28%"/>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Currency</w:t>
            </w:r>
          </w:p>
        </w:tc>
        <w:tc>
          <w:tcPr>
            <w:tcW w:type="pct" w:w="52%"/>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Confirm screenshots, tables, and process notes reflect the approved KODUS build.</w:t>
            </w:r>
          </w:p>
        </w:tc>
        <w:tc>
          <w:tcPr>
            <w:tcW w:type="pct" w:w="2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[MANUAL INPUT REQUIRED]</w:t>
            </w:r>
          </w:p>
        </w:tc>
      </w:tr>
      <w:tr>
        <w:trPr>
          <w:tblHeader w:val="false"/>
        </w:trPr>
        <w:tc>
          <w:tcPr>
            <w:tcW w:type="pct" w:w="28%"/>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Sign-off</w:t>
            </w:r>
          </w:p>
        </w:tc>
        <w:tc>
          <w:tcPr>
            <w:tcW w:type="pct" w:w="52%"/>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Record reviewer, date reviewed, and approving official in the title page.</w:t>
            </w:r>
          </w:p>
        </w:tc>
        <w:tc>
          <w:tcPr>
            <w:tcW w:type="pct" w:w="2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[MANUAL INPUT REQUIRED]</w:t>
            </w:r>
          </w:p>
        </w:tc>
      </w:tr>
      <w:tr>
        <w:trPr>
          <w:tblHeader w:val="false"/>
        </w:trPr>
        <w:tc>
          <w:tcPr>
            <w:tcW w:type="pct" w:w="28%"/>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Retention</w:t>
            </w:r>
          </w:p>
        </w:tc>
        <w:tc>
          <w:tcPr>
            <w:tcW w:type="pct" w:w="52%"/>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File the validated appendix with the controlled GPD/KM documentation set.</w:t>
            </w:r>
          </w:p>
        </w:tc>
        <w:tc>
          <w:tcPr>
            <w:tcW w:type="pct" w:w="2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[MANUAL INPUT REQUIRED]</w:t>
            </w:r>
          </w:p>
        </w:tc>
      </w:tr>
    </w:tbl>
    <w:sectPr>
      <w:headerReference w:type="default" r:id="rId7"/>
      <w:footerReference w:type="default" r:id="rId8"/>
      <w:pgSz w:w="11906" w:h="16838" w:orient="portrait"/>
      <w:pgMar w:top="108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b/>
        <w:bCs/>
        <w:i w:val="false"/>
        <w:iCs w:val="false"/>
        <w:caps w:val="false"/>
        <w:color w:val="666666"/>
        <w:sz w:val="18"/>
        <w:szCs w:val="18"/>
      </w:rPr>
      <w:t xml:space="preserve">FOR OFFICIAL USE ONLY</w:t>
    </w:r>
    <w:r>
      <w:rPr>
        <w:rFonts w:ascii="Arial" w:cs="Arial" w:eastAsia="Arial" w:hAnsi="Arial"/>
        <w:b w:val="false"/>
        <w:bCs w:val="false"/>
        <w:i w:val="false"/>
        <w:iCs w:val="false"/>
        <w:caps w:val="false"/>
        <w:color w:val="666666"/>
        <w:sz w:val="18"/>
        <w:szCs w:val="18"/>
      </w:rPr>
      <w:t xml:space="preserve">    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rial" w:cs="Arial" w:eastAsia="Arial" w:hAnsi="Arial"/>
        <w:b/>
        <w:bCs/>
        <w:i w:val="false"/>
        <w:iCs w:val="false"/>
        <w:caps w:val="false"/>
        <w:color w:val="666666"/>
        <w:sz w:val="18"/>
        <w:szCs w:val="18"/>
      </w:rPr>
      <w:t xml:space="preserve">KODUS Good Practice Documentation - Appendix 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pPr>
    <w:rPr>
      <w:rFonts w:ascii="Arial" w:cs="Arial" w:eastAsia="Arial" w:hAnsi="Arial"/>
      <w:b/>
      <w:bCs/>
      <w:color w:val="1F4E79"/>
      <w:sz w:val="30"/>
      <w:szCs w:val="30"/>
    </w:rPr>
  </w:style>
  <w:style w:type="paragraph" w:styleId="Heading2">
    <w:name w:val="Heading 2"/>
    <w:basedOn w:val="Normal"/>
    <w:next w:val="Normal"/>
    <w:qFormat/>
    <w:pPr>
      <w:spacing w:after="130" w:before="240"/>
    </w:pPr>
    <w:rPr>
      <w:rFonts w:ascii="Arial" w:cs="Arial" w:eastAsia="Arial" w:hAnsi="Arial"/>
      <w:b/>
      <w:bCs/>
      <w:color w:val="1F4E79"/>
      <w:sz w:val="25"/>
      <w:szCs w:val="25"/>
    </w:rPr>
  </w:style>
  <w:style w:type="paragraph" w:styleId="Heading3">
    <w:name w:val="Heading 3"/>
    <w:basedOn w:val="Normal"/>
    <w:next w:val="Normal"/>
    <w:qFormat/>
    <w:pPr>
      <w:spacing w:after="110" w:before="200"/>
    </w:pPr>
    <w:rPr>
      <w:rFonts w:ascii="Arial" w:cs="Arial" w:eastAsia="Arial" w:hAnsi="Arial"/>
      <w:b/>
      <w:bCs/>
      <w:color w:val="1F4E7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Appendix G - Deployment Documentation</dc:title>
  <dc:creator>KODUS GPD Appendix Tooling</dc:creator>
  <dc:description>KODUS Good Practice Documentation appendix package</dc:description>
  <cp:lastModifiedBy>Un-named</cp:lastModifiedBy>
  <cp:revision>1</cp:revision>
  <dcterms:created xsi:type="dcterms:W3CDTF">2026-05-12T08:29:32.910Z</dcterms:created>
  <dcterms:modified xsi:type="dcterms:W3CDTF">2026-05-12T08:29:32.910Z</dcterms:modified>
</cp:coreProperties>
</file>

<file path=docProps/custom.xml><?xml version="1.0" encoding="utf-8"?>
<Properties xmlns="http://schemas.openxmlformats.org/officeDocument/2006/custom-properties" xmlns:vt="http://schemas.openxmlformats.org/officeDocument/2006/docPropsVTypes"/>
</file>