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C4D4" w14:textId="77777777" w:rsidR="00F37C1A" w:rsidRDefault="00000000">
      <w:pPr>
        <w:ind w:left="4320" w:firstLine="720"/>
        <w:rPr>
          <w:lang w:val="en-PH"/>
        </w:rPr>
      </w:pPr>
      <w:r>
        <w:rPr>
          <w:noProof/>
          <w:lang w:val="en-PH"/>
        </w:rPr>
        <w:drawing>
          <wp:anchor distT="0" distB="0" distL="114300" distR="114300" simplePos="0" relativeHeight="251659264" behindDoc="0" locked="0" layoutInCell="1" allowOverlap="1" wp14:anchorId="2D00704F" wp14:editId="04E15FCB">
            <wp:simplePos x="0" y="0"/>
            <wp:positionH relativeFrom="column">
              <wp:posOffset>-405130</wp:posOffset>
            </wp:positionH>
            <wp:positionV relativeFrom="paragraph">
              <wp:posOffset>-575945</wp:posOffset>
            </wp:positionV>
            <wp:extent cx="2392680" cy="784860"/>
            <wp:effectExtent l="0" t="0" r="0" b="0"/>
            <wp:wrapNone/>
            <wp:docPr id="1" name="Picture 1" descr="DSWD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SWD LOGO new"/>
                    <pic:cNvPicPr>
                      <a:picLocks noChangeAspect="1"/>
                    </pic:cNvPicPr>
                  </pic:nvPicPr>
                  <pic:blipFill>
                    <a:blip r:embed="rId5"/>
                    <a:stretch>
                      <a:fillRect/>
                    </a:stretch>
                  </pic:blipFill>
                  <pic:spPr>
                    <a:xfrm>
                      <a:off x="0" y="0"/>
                      <a:ext cx="2392680" cy="784860"/>
                    </a:xfrm>
                    <a:prstGeom prst="rect">
                      <a:avLst/>
                    </a:prstGeom>
                  </pic:spPr>
                </pic:pic>
              </a:graphicData>
            </a:graphic>
          </wp:anchor>
        </w:drawing>
      </w:r>
    </w:p>
    <w:p w14:paraId="3FC8B7BB" w14:textId="77777777" w:rsidR="00F37C1A" w:rsidRDefault="00F37C1A">
      <w:pPr>
        <w:ind w:left="4320" w:firstLine="720"/>
        <w:rPr>
          <w:lang w:val="en-PH"/>
        </w:rPr>
      </w:pPr>
    </w:p>
    <w:p w14:paraId="123D5C0D" w14:textId="048E0D20" w:rsidR="00F37C1A" w:rsidRDefault="00C271AC" w:rsidP="00C271AC">
      <w:pPr>
        <w:ind w:left="3600"/>
      </w:pPr>
      <w:r>
        <w:t xml:space="preserve">    DRN: </w:t>
      </w:r>
      <w:r w:rsidRPr="00C271AC">
        <w:rPr>
          <w:u w:val="single"/>
        </w:rPr>
        <w:t>CARAGA-FO-DRMD-DRRMS-A-REP-25-10-33200-</w:t>
      </w:r>
      <w:r w:rsidRPr="00C271AC">
        <w:rPr>
          <w:u w:val="single"/>
        </w:rPr>
        <w:t>S</w:t>
      </w:r>
    </w:p>
    <w:p w14:paraId="57010D67" w14:textId="77777777" w:rsidR="00F37C1A" w:rsidRDefault="00F37C1A">
      <w:pPr>
        <w:rPr>
          <w:lang w:val="en-PH"/>
        </w:rPr>
      </w:pPr>
    </w:p>
    <w:tbl>
      <w:tblPr>
        <w:tblStyle w:val="TableGrid"/>
        <w:tblW w:w="9660" w:type="dxa"/>
        <w:tblInd w:w="-502" w:type="dxa"/>
        <w:tblLook w:val="04A0" w:firstRow="1" w:lastRow="0" w:firstColumn="1" w:lastColumn="0" w:noHBand="0" w:noVBand="1"/>
      </w:tblPr>
      <w:tblGrid>
        <w:gridCol w:w="1609"/>
        <w:gridCol w:w="8051"/>
      </w:tblGrid>
      <w:tr w:rsidR="00F37C1A" w14:paraId="705F619E" w14:textId="77777777">
        <w:trPr>
          <w:trHeight w:val="809"/>
        </w:trPr>
        <w:tc>
          <w:tcPr>
            <w:tcW w:w="9660" w:type="dxa"/>
            <w:gridSpan w:val="2"/>
          </w:tcPr>
          <w:p w14:paraId="5E6C0879" w14:textId="77777777" w:rsidR="00F37C1A" w:rsidRDefault="00F37C1A">
            <w:pPr>
              <w:rPr>
                <w:b/>
                <w:bCs/>
                <w:lang w:val="en-PH"/>
              </w:rPr>
            </w:pPr>
          </w:p>
          <w:p w14:paraId="718E04E9" w14:textId="77777777" w:rsidR="00F37C1A" w:rsidRDefault="00000000">
            <w:pPr>
              <w:jc w:val="center"/>
              <w:rPr>
                <w:b/>
                <w:bCs/>
                <w:lang w:val="en-PH"/>
              </w:rPr>
            </w:pPr>
            <w:r>
              <w:rPr>
                <w:b/>
                <w:bCs/>
                <w:sz w:val="32"/>
                <w:szCs w:val="32"/>
                <w:lang w:val="en-PH"/>
              </w:rPr>
              <w:t>GOOD PRACTICE DOCUMENTATION</w:t>
            </w:r>
          </w:p>
        </w:tc>
      </w:tr>
      <w:tr w:rsidR="00F37C1A" w14:paraId="021E0C4E" w14:textId="77777777">
        <w:trPr>
          <w:trHeight w:val="439"/>
        </w:trPr>
        <w:tc>
          <w:tcPr>
            <w:tcW w:w="1609" w:type="dxa"/>
          </w:tcPr>
          <w:p w14:paraId="1630D7B9" w14:textId="77777777" w:rsidR="00F37C1A" w:rsidRDefault="00000000">
            <w:pPr>
              <w:rPr>
                <w:b/>
                <w:bCs/>
                <w:lang w:val="en-PH"/>
              </w:rPr>
            </w:pPr>
            <w:r>
              <w:rPr>
                <w:b/>
                <w:bCs/>
                <w:lang w:val="en-PH"/>
              </w:rPr>
              <w:t>Title</w:t>
            </w:r>
          </w:p>
        </w:tc>
        <w:tc>
          <w:tcPr>
            <w:tcW w:w="8051" w:type="dxa"/>
          </w:tcPr>
          <w:p w14:paraId="6AD08848" w14:textId="77777777" w:rsidR="00F37C1A" w:rsidRDefault="00000000">
            <w:pPr>
              <w:jc w:val="center"/>
              <w:rPr>
                <w:b/>
                <w:bCs/>
                <w:lang w:val="en-PH"/>
              </w:rPr>
            </w:pPr>
            <w:proofErr w:type="spellStart"/>
            <w:r>
              <w:rPr>
                <w:b/>
                <w:bCs/>
                <w:lang w:val="en-PH"/>
              </w:rPr>
              <w:t>Masterlist</w:t>
            </w:r>
            <w:proofErr w:type="spellEnd"/>
            <w:r>
              <w:rPr>
                <w:b/>
                <w:bCs/>
                <w:lang w:val="en-PH"/>
              </w:rPr>
              <w:t xml:space="preserve"> of Eligible Beneficiaries Information System (MEBIS)</w:t>
            </w:r>
          </w:p>
          <w:p w14:paraId="5D091536" w14:textId="77777777" w:rsidR="00F37C1A" w:rsidRDefault="00000000">
            <w:pPr>
              <w:jc w:val="center"/>
              <w:rPr>
                <w:lang w:val="en-PH"/>
              </w:rPr>
            </w:pPr>
            <w:r>
              <w:rPr>
                <w:lang w:val="en-PH"/>
              </w:rPr>
              <w:t>Risk Resiliency Program Through Cash for Training and Work (RRP-CFTW)</w:t>
            </w:r>
          </w:p>
          <w:p w14:paraId="407F978D" w14:textId="77777777" w:rsidR="00F37C1A" w:rsidRDefault="00F37C1A">
            <w:pPr>
              <w:rPr>
                <w:lang w:val="en-PH"/>
              </w:rPr>
            </w:pPr>
          </w:p>
          <w:p w14:paraId="79E5DB61" w14:textId="77777777" w:rsidR="00F37C1A" w:rsidRDefault="00000000">
            <w:pPr>
              <w:rPr>
                <w:lang w:val="en-PH"/>
              </w:rPr>
            </w:pPr>
            <w:r>
              <w:rPr>
                <w:b/>
                <w:bCs/>
                <w:lang w:val="en-PH"/>
              </w:rPr>
              <w:t>Writer:</w:t>
            </w:r>
            <w:r>
              <w:rPr>
                <w:lang w:val="en-PH"/>
              </w:rPr>
              <w:t xml:space="preserve"> Leo Tristan S. </w:t>
            </w:r>
            <w:proofErr w:type="spellStart"/>
            <w:r>
              <w:rPr>
                <w:lang w:val="en-PH"/>
              </w:rPr>
              <w:t>Bagcat</w:t>
            </w:r>
            <w:proofErr w:type="spellEnd"/>
            <w:r>
              <w:rPr>
                <w:lang w:val="en-PH"/>
              </w:rPr>
              <w:t>, PDO II</w:t>
            </w:r>
          </w:p>
        </w:tc>
      </w:tr>
      <w:tr w:rsidR="00F37C1A" w14:paraId="2A5238AD" w14:textId="77777777">
        <w:trPr>
          <w:trHeight w:val="439"/>
        </w:trPr>
        <w:tc>
          <w:tcPr>
            <w:tcW w:w="1609" w:type="dxa"/>
          </w:tcPr>
          <w:p w14:paraId="55CACDBF" w14:textId="77777777" w:rsidR="00F37C1A" w:rsidRDefault="00000000">
            <w:pPr>
              <w:rPr>
                <w:b/>
                <w:bCs/>
                <w:lang w:val="en-PH"/>
              </w:rPr>
            </w:pPr>
            <w:r>
              <w:rPr>
                <w:b/>
                <w:bCs/>
                <w:lang w:val="en-PH"/>
              </w:rPr>
              <w:t>Context</w:t>
            </w:r>
          </w:p>
        </w:tc>
        <w:tc>
          <w:tcPr>
            <w:tcW w:w="8051" w:type="dxa"/>
          </w:tcPr>
          <w:p w14:paraId="6044082E" w14:textId="77777777" w:rsidR="00F37C1A" w:rsidRDefault="00000000">
            <w:r>
              <w:t xml:space="preserve">The </w:t>
            </w:r>
            <w:proofErr w:type="spellStart"/>
            <w:r>
              <w:t>Masterlist</w:t>
            </w:r>
            <w:proofErr w:type="spellEnd"/>
            <w:r>
              <w:t xml:space="preserve"> of Eligible Beneficiaries Information System (MEBIS) was developed as an innovative response to the challenges of data management within the Risk Resiliency Program through Cash for Training and Work (RRP-CFTW). It provides an automated, standardized, and error-free way of collecting, consolidating, and validating beneficiary data from the Barangay to the Regional Office level.</w:t>
            </w:r>
            <w:r>
              <w:br/>
            </w:r>
            <w:r>
              <w:br/>
              <w:t>Before the development of MEBIS, beneficiary data submissions from different BLGUs were inconsistent and prone to duplications, miscalculations, and delays. The lack of a uniform format led to multiple returns and corrections, which hampered the efficient implementation of payouts. MEBIS was created to address these issues and promote a unified, accurate, and transparent beneficiary listing process across LGUs.</w:t>
            </w:r>
          </w:p>
          <w:p w14:paraId="2CFABDDB" w14:textId="77777777" w:rsidR="00F37C1A" w:rsidRDefault="00F37C1A"/>
        </w:tc>
      </w:tr>
      <w:tr w:rsidR="00F37C1A" w14:paraId="330796B6" w14:textId="77777777">
        <w:trPr>
          <w:trHeight w:val="439"/>
        </w:trPr>
        <w:tc>
          <w:tcPr>
            <w:tcW w:w="1609" w:type="dxa"/>
          </w:tcPr>
          <w:p w14:paraId="2F550E94" w14:textId="77777777" w:rsidR="00F37C1A" w:rsidRDefault="00000000">
            <w:pPr>
              <w:rPr>
                <w:b/>
                <w:bCs/>
                <w:lang w:val="en-PH"/>
              </w:rPr>
            </w:pPr>
            <w:r>
              <w:rPr>
                <w:b/>
                <w:bCs/>
                <w:lang w:val="en-PH"/>
              </w:rPr>
              <w:t>Implementation</w:t>
            </w:r>
          </w:p>
        </w:tc>
        <w:tc>
          <w:tcPr>
            <w:tcW w:w="8051" w:type="dxa"/>
          </w:tcPr>
          <w:p w14:paraId="6D1D1369" w14:textId="77777777" w:rsidR="00F37C1A" w:rsidRDefault="00000000">
            <w:pPr>
              <w:pStyle w:val="ListBullet"/>
              <w:ind w:left="400" w:hanging="400"/>
            </w:pPr>
            <w:r>
              <w:t>Pre-Implementation Stage</w:t>
            </w:r>
          </w:p>
          <w:p w14:paraId="0F7EA692" w14:textId="77777777" w:rsidR="00F37C1A" w:rsidRDefault="00000000">
            <w:r>
              <w:t xml:space="preserve">The MEBIS was conceptualized to address recurring problems in the manual preparation of the </w:t>
            </w:r>
            <w:proofErr w:type="spellStart"/>
            <w:r>
              <w:t>Masterlist</w:t>
            </w:r>
            <w:proofErr w:type="spellEnd"/>
            <w:r>
              <w:t xml:space="preserve"> of Eligible Beneficiaries (MEB). Using Microsoft Excel with Visual Basic for Applications (VBA), the system allows users to encode and validate data efficiently without installation. The major issues identified before development included:</w:t>
            </w:r>
            <w:r>
              <w:br/>
              <w:t>- Inconsistent MEB formats among BLGUs</w:t>
            </w:r>
            <w:r>
              <w:br/>
              <w:t>- Duplication of family members and beneficiaries</w:t>
            </w:r>
            <w:r>
              <w:br/>
              <w:t>- Errors in summary computation at the MLGU level</w:t>
            </w:r>
            <w:r>
              <w:br/>
              <w:t>- Time-consuming TTS generation handled by a single staff member</w:t>
            </w:r>
            <w:r>
              <w:br/>
            </w:r>
            <w:r>
              <w:br/>
              <w:t>With MEBIS, a fixed format and locked data fields were implemented to ensure standardization and accuracy. The design allows quick and reliable data gathering and processing, leading to faster turnaround times for the Risk Resiliency Program documentation.</w:t>
            </w:r>
          </w:p>
          <w:p w14:paraId="08C8F999" w14:textId="77777777" w:rsidR="00F37C1A" w:rsidRDefault="00000000">
            <w:pPr>
              <w:pStyle w:val="ListBullet"/>
              <w:ind w:left="400" w:hanging="400"/>
            </w:pPr>
            <w:r>
              <w:t>Implementation Stage</w:t>
            </w:r>
          </w:p>
          <w:p w14:paraId="211C0BCB" w14:textId="77777777" w:rsidR="00F37C1A" w:rsidRDefault="00000000">
            <w:r>
              <w:t>MEBIS was first officially deployed in Agusan del Sur in March 2023 during the RRP-CFWT implementation. Positive feedback and successful outcomes from this pilot encouraged its replication in other provinces within the Caraga Region. The deployment proved that high data quality starts at the BLGU level, where encoding accuracy determines the success of the entire data consolidation and payout preparation process.</w:t>
            </w:r>
          </w:p>
          <w:p w14:paraId="4BFD40D7" w14:textId="77777777" w:rsidR="00F37C1A" w:rsidRDefault="00000000">
            <w:pPr>
              <w:pStyle w:val="ListBullet"/>
              <w:ind w:left="400" w:hanging="400"/>
            </w:pPr>
            <w:r>
              <w:t>Post-Implementation Stage</w:t>
            </w:r>
          </w:p>
          <w:p w14:paraId="4DAD46A1" w14:textId="77777777" w:rsidR="00F37C1A" w:rsidRDefault="00000000">
            <w:pPr>
              <w:rPr>
                <w:rFonts w:eastAsia="Times New Roman"/>
                <w:sz w:val="24"/>
                <w:szCs w:val="24"/>
                <w:lang w:val="en-PH"/>
              </w:rPr>
            </w:pPr>
            <w:r>
              <w:t>Following its initial success, the system continued to be refined based on user feedback. Orientation and training sessions were conducted for Field Office and LGU staff to ensure proper usage. The adoption of MEBIS led to a noticeable improvement in processing time, reduced errors, and improved coordination between LGUs and the DSWD Field Office.</w:t>
            </w:r>
          </w:p>
          <w:p w14:paraId="0B7B761E" w14:textId="77777777" w:rsidR="00F37C1A" w:rsidRDefault="00F37C1A">
            <w:pPr>
              <w:pStyle w:val="NoSpacing"/>
              <w:spacing w:line="288" w:lineRule="auto"/>
              <w:rPr>
                <w:rFonts w:eastAsia="Times New Roman"/>
                <w:sz w:val="24"/>
                <w:szCs w:val="24"/>
                <w:lang w:val="en-PH"/>
              </w:rPr>
            </w:pPr>
          </w:p>
          <w:p w14:paraId="1A6F1865" w14:textId="77777777" w:rsidR="00F37C1A" w:rsidRDefault="00F37C1A"/>
        </w:tc>
      </w:tr>
      <w:tr w:rsidR="00F37C1A" w14:paraId="65D1518E" w14:textId="77777777">
        <w:trPr>
          <w:trHeight w:val="439"/>
        </w:trPr>
        <w:tc>
          <w:tcPr>
            <w:tcW w:w="1609" w:type="dxa"/>
          </w:tcPr>
          <w:p w14:paraId="452D8A8D" w14:textId="77777777" w:rsidR="00F37C1A" w:rsidRDefault="00000000">
            <w:pPr>
              <w:rPr>
                <w:b/>
                <w:bCs/>
                <w:lang w:val="en-PH"/>
              </w:rPr>
            </w:pPr>
            <w:r>
              <w:rPr>
                <w:b/>
                <w:bCs/>
                <w:lang w:val="en-PH"/>
              </w:rPr>
              <w:t>Results/ Impact</w:t>
            </w:r>
          </w:p>
        </w:tc>
        <w:tc>
          <w:tcPr>
            <w:tcW w:w="8051" w:type="dxa"/>
          </w:tcPr>
          <w:p w14:paraId="7F29132B" w14:textId="77777777" w:rsidR="00F37C1A" w:rsidRDefault="00000000">
            <w:r>
              <w:t>The implementation of MEBIS has yielded measurable improvements in operational efficiency and data integrity. Key achievements include:</w:t>
            </w:r>
            <w:r>
              <w:br/>
              <w:t>- 100% standardized MEB format across all BLGUs using the system</w:t>
            </w:r>
            <w:r>
              <w:br/>
              <w:t>- Significant reduction in duplicated beneficiary entries</w:t>
            </w:r>
            <w:r>
              <w:br/>
              <w:t>- Faster document consolidation and Time Tally Sheet generation</w:t>
            </w:r>
            <w:r>
              <w:br/>
              <w:t>- Increased confidence in the accuracy and reliability of beneficiary data</w:t>
            </w:r>
            <w:r>
              <w:br/>
            </w:r>
            <w:r>
              <w:br/>
            </w:r>
            <w:r>
              <w:lastRenderedPageBreak/>
              <w:t>Overall, MEBIS became a model of how digital transformation in government processes can enhance service delivery and transparency.</w:t>
            </w:r>
          </w:p>
        </w:tc>
      </w:tr>
      <w:tr w:rsidR="00F37C1A" w14:paraId="4A81BDA6" w14:textId="77777777">
        <w:trPr>
          <w:trHeight w:val="439"/>
        </w:trPr>
        <w:tc>
          <w:tcPr>
            <w:tcW w:w="1609" w:type="dxa"/>
          </w:tcPr>
          <w:p w14:paraId="2A329505" w14:textId="77777777" w:rsidR="00F37C1A" w:rsidRDefault="00000000">
            <w:pPr>
              <w:rPr>
                <w:b/>
                <w:bCs/>
                <w:lang w:val="en-PH"/>
              </w:rPr>
            </w:pPr>
            <w:r>
              <w:rPr>
                <w:b/>
                <w:bCs/>
                <w:lang w:val="en-PH"/>
              </w:rPr>
              <w:lastRenderedPageBreak/>
              <w:t>Lessons Learned</w:t>
            </w:r>
          </w:p>
        </w:tc>
        <w:tc>
          <w:tcPr>
            <w:tcW w:w="8051" w:type="dxa"/>
          </w:tcPr>
          <w:p w14:paraId="718BB1E3" w14:textId="77777777" w:rsidR="00F37C1A" w:rsidRDefault="00000000">
            <w:r>
              <w:t>1. Continuous innovation in data management systems is essential to keep up with evolving program requirements.</w:t>
            </w:r>
            <w:r>
              <w:br/>
              <w:t>2. Proper user orientation and feedback mechanisms are key to successful technology adoption.</w:t>
            </w:r>
            <w:r>
              <w:br/>
              <w:t>3. The system’s dependency on Microsoft Excel’s macro functionality highlighted the need for a digital certificate and compatibility with other office software.</w:t>
            </w:r>
            <w:r>
              <w:br/>
              <w:t>4. Collaboration between IT developers and field implementers ensures the practicality of system features.</w:t>
            </w:r>
          </w:p>
          <w:p w14:paraId="17343FD6" w14:textId="77777777" w:rsidR="00F37C1A" w:rsidRDefault="00F37C1A"/>
        </w:tc>
      </w:tr>
      <w:tr w:rsidR="00F37C1A" w14:paraId="6990A7D1" w14:textId="77777777">
        <w:trPr>
          <w:trHeight w:val="439"/>
        </w:trPr>
        <w:tc>
          <w:tcPr>
            <w:tcW w:w="1609" w:type="dxa"/>
          </w:tcPr>
          <w:p w14:paraId="6E555907" w14:textId="77777777" w:rsidR="00F37C1A" w:rsidRDefault="00000000">
            <w:pPr>
              <w:rPr>
                <w:b/>
                <w:bCs/>
                <w:lang w:val="en-PH"/>
              </w:rPr>
            </w:pPr>
            <w:r>
              <w:rPr>
                <w:b/>
                <w:bCs/>
                <w:lang w:val="en-PH"/>
              </w:rPr>
              <w:t>Implication for Replication</w:t>
            </w:r>
          </w:p>
        </w:tc>
        <w:tc>
          <w:tcPr>
            <w:tcW w:w="8051" w:type="dxa"/>
          </w:tcPr>
          <w:p w14:paraId="5B454592" w14:textId="77777777" w:rsidR="00F37C1A" w:rsidRDefault="00000000">
            <w:pPr>
              <w:rPr>
                <w:lang w:val="en-PH"/>
              </w:rPr>
            </w:pPr>
            <w:r>
              <w:t>The MEBIS can be replicated in other regions implementing similar cash-for-work or social protection programs. By providing a centralized, user-friendly, and standardized data system, other Field Offices can adopt the same model to improve data quality and efficiency. The modular nature of MEBIS allows for easy customization to suit other program needs.</w:t>
            </w:r>
            <w:r>
              <w:rPr>
                <w:lang w:val="en-PH"/>
              </w:rPr>
              <w:t xml:space="preserve"> The system is still evolving aiming to redesign into a much convenient application that uses other programming language that will eliminate issues about digital certificates and configuring the application.</w:t>
            </w:r>
          </w:p>
          <w:p w14:paraId="0B8ADEC3" w14:textId="77777777" w:rsidR="00F37C1A" w:rsidRDefault="00F37C1A"/>
        </w:tc>
      </w:tr>
      <w:tr w:rsidR="00F37C1A" w14:paraId="6FA04960" w14:textId="77777777">
        <w:trPr>
          <w:trHeight w:val="468"/>
        </w:trPr>
        <w:tc>
          <w:tcPr>
            <w:tcW w:w="1609" w:type="dxa"/>
          </w:tcPr>
          <w:p w14:paraId="6D82F9FB" w14:textId="77777777" w:rsidR="00F37C1A" w:rsidRDefault="00000000">
            <w:pPr>
              <w:rPr>
                <w:b/>
                <w:bCs/>
                <w:lang w:val="en-PH"/>
              </w:rPr>
            </w:pPr>
            <w:r>
              <w:rPr>
                <w:b/>
                <w:bCs/>
                <w:lang w:val="en-PH"/>
              </w:rPr>
              <w:t>References</w:t>
            </w:r>
          </w:p>
        </w:tc>
        <w:tc>
          <w:tcPr>
            <w:tcW w:w="8051" w:type="dxa"/>
          </w:tcPr>
          <w:p w14:paraId="54BCF217" w14:textId="77777777" w:rsidR="00F37C1A" w:rsidRDefault="00F37C1A"/>
        </w:tc>
      </w:tr>
    </w:tbl>
    <w:p w14:paraId="732BCCBA" w14:textId="77777777" w:rsidR="00F37C1A" w:rsidRDefault="00F37C1A"/>
    <w:p w14:paraId="7259E84A" w14:textId="77777777" w:rsidR="00F37C1A" w:rsidRDefault="00000000">
      <w:pPr>
        <w:ind w:leftChars="-300" w:left="-600"/>
        <w:rPr>
          <w:lang w:val="en-PH"/>
        </w:rPr>
      </w:pPr>
      <w:r>
        <w:rPr>
          <w:lang w:val="en-PH"/>
        </w:rPr>
        <w:t xml:space="preserve">Prepared by: </w:t>
      </w:r>
    </w:p>
    <w:p w14:paraId="7E314E4C" w14:textId="77777777" w:rsidR="00F37C1A" w:rsidRDefault="00F37C1A">
      <w:pPr>
        <w:ind w:leftChars="-300" w:left="-600"/>
        <w:rPr>
          <w:lang w:val="en-PH"/>
        </w:rPr>
      </w:pPr>
    </w:p>
    <w:p w14:paraId="4495BDB5" w14:textId="77777777" w:rsidR="00F37C1A" w:rsidRDefault="00F37C1A">
      <w:pPr>
        <w:ind w:leftChars="-300" w:left="-600"/>
        <w:rPr>
          <w:lang w:val="en-PH"/>
        </w:rPr>
      </w:pPr>
    </w:p>
    <w:p w14:paraId="3F9BAB96" w14:textId="77777777" w:rsidR="00F37C1A" w:rsidRDefault="00000000">
      <w:pPr>
        <w:ind w:leftChars="-300" w:left="-600"/>
        <w:rPr>
          <w:b/>
          <w:bCs/>
          <w:lang w:val="en-PH"/>
        </w:rPr>
      </w:pPr>
      <w:r>
        <w:rPr>
          <w:b/>
          <w:bCs/>
          <w:lang w:val="en-PH"/>
        </w:rPr>
        <w:t>LEO TRISTAN S. BAGCAT</w:t>
      </w:r>
    </w:p>
    <w:p w14:paraId="5212635F" w14:textId="77777777" w:rsidR="00F37C1A" w:rsidRDefault="00000000">
      <w:pPr>
        <w:ind w:leftChars="-300" w:left="-600"/>
        <w:rPr>
          <w:lang w:val="en-PH"/>
        </w:rPr>
      </w:pPr>
      <w:r>
        <w:rPr>
          <w:lang w:val="en-PH"/>
        </w:rPr>
        <w:t>Project Development Officer II</w:t>
      </w:r>
    </w:p>
    <w:p w14:paraId="267B1119" w14:textId="77777777" w:rsidR="00F37C1A" w:rsidRDefault="00F37C1A">
      <w:pPr>
        <w:ind w:leftChars="-300" w:left="-600"/>
        <w:rPr>
          <w:lang w:val="en-PH"/>
        </w:rPr>
      </w:pPr>
    </w:p>
    <w:p w14:paraId="5A4BC0E6" w14:textId="77777777" w:rsidR="00F37C1A" w:rsidRDefault="00F37C1A">
      <w:pPr>
        <w:ind w:leftChars="-300" w:left="-600"/>
        <w:rPr>
          <w:lang w:val="en-PH"/>
        </w:rPr>
      </w:pPr>
    </w:p>
    <w:p w14:paraId="27342913" w14:textId="77777777" w:rsidR="00F37C1A" w:rsidRDefault="00F37C1A">
      <w:pPr>
        <w:ind w:leftChars="-300" w:left="-600"/>
        <w:rPr>
          <w:lang w:val="en-PH"/>
        </w:rPr>
      </w:pPr>
    </w:p>
    <w:p w14:paraId="17187880" w14:textId="77777777" w:rsidR="00F37C1A" w:rsidRDefault="00000000">
      <w:pPr>
        <w:ind w:leftChars="-300" w:left="-600"/>
        <w:rPr>
          <w:lang w:val="en-PH"/>
        </w:rPr>
      </w:pPr>
      <w:r>
        <w:rPr>
          <w:lang w:val="en-PH"/>
        </w:rPr>
        <w:t>Recommending Approval:</w:t>
      </w:r>
    </w:p>
    <w:p w14:paraId="20D37BA0" w14:textId="77777777" w:rsidR="00F37C1A" w:rsidRDefault="00F37C1A">
      <w:pPr>
        <w:ind w:leftChars="-300" w:left="-600"/>
        <w:rPr>
          <w:lang w:val="en-PH"/>
        </w:rPr>
      </w:pPr>
    </w:p>
    <w:p w14:paraId="6C3A7AA5" w14:textId="77777777" w:rsidR="00F37C1A" w:rsidRDefault="00F37C1A">
      <w:pPr>
        <w:ind w:leftChars="-300" w:left="-600"/>
        <w:rPr>
          <w:lang w:val="en-PH"/>
        </w:rPr>
      </w:pPr>
    </w:p>
    <w:p w14:paraId="1A7FFDC3" w14:textId="77777777" w:rsidR="00F37C1A" w:rsidRDefault="00000000">
      <w:pPr>
        <w:ind w:leftChars="-300" w:left="-600"/>
        <w:rPr>
          <w:b/>
          <w:bCs/>
          <w:lang w:val="en-PH"/>
        </w:rPr>
      </w:pPr>
      <w:r>
        <w:rPr>
          <w:b/>
          <w:bCs/>
          <w:lang w:val="en-PH"/>
        </w:rPr>
        <w:t>RAMIL M. TACULOD</w:t>
      </w:r>
    </w:p>
    <w:p w14:paraId="3B36D205" w14:textId="77777777" w:rsidR="00F37C1A" w:rsidRDefault="00000000">
      <w:pPr>
        <w:ind w:leftChars="-300" w:left="-600"/>
        <w:rPr>
          <w:lang w:val="en-PH"/>
        </w:rPr>
      </w:pPr>
      <w:r>
        <w:rPr>
          <w:lang w:val="en-PH"/>
        </w:rPr>
        <w:t>Knowledge Management Team Chairperson</w:t>
      </w:r>
    </w:p>
    <w:p w14:paraId="4123DBCA" w14:textId="77777777" w:rsidR="00F37C1A" w:rsidRDefault="00F37C1A">
      <w:pPr>
        <w:ind w:leftChars="-300" w:left="-600"/>
        <w:rPr>
          <w:lang w:val="en-PH"/>
        </w:rPr>
      </w:pPr>
    </w:p>
    <w:p w14:paraId="17B3A349" w14:textId="77777777" w:rsidR="00F37C1A" w:rsidRDefault="00F37C1A">
      <w:pPr>
        <w:ind w:leftChars="-300" w:left="-600"/>
        <w:rPr>
          <w:lang w:val="en-PH"/>
        </w:rPr>
      </w:pPr>
    </w:p>
    <w:p w14:paraId="618BE542" w14:textId="77777777" w:rsidR="00F37C1A" w:rsidRDefault="00F37C1A">
      <w:pPr>
        <w:ind w:leftChars="-300" w:left="-600"/>
        <w:rPr>
          <w:lang w:val="en-PH"/>
        </w:rPr>
      </w:pPr>
    </w:p>
    <w:p w14:paraId="4EE70897" w14:textId="77777777" w:rsidR="00F37C1A" w:rsidRDefault="00000000">
      <w:pPr>
        <w:ind w:leftChars="-300" w:left="-600"/>
        <w:rPr>
          <w:lang w:val="en-PH"/>
        </w:rPr>
      </w:pPr>
      <w:r>
        <w:rPr>
          <w:lang w:val="en-PH"/>
        </w:rPr>
        <w:t>Approved by:</w:t>
      </w:r>
    </w:p>
    <w:p w14:paraId="10416D1D" w14:textId="77777777" w:rsidR="00F37C1A" w:rsidRDefault="00F37C1A">
      <w:pPr>
        <w:ind w:leftChars="-300" w:left="-600"/>
        <w:rPr>
          <w:lang w:val="en-PH"/>
        </w:rPr>
      </w:pPr>
    </w:p>
    <w:p w14:paraId="3903A65C" w14:textId="77777777" w:rsidR="00F37C1A" w:rsidRDefault="00F37C1A">
      <w:pPr>
        <w:ind w:leftChars="-300" w:left="-600"/>
        <w:rPr>
          <w:lang w:val="en-PH"/>
        </w:rPr>
      </w:pPr>
    </w:p>
    <w:p w14:paraId="5C11F36F" w14:textId="77777777" w:rsidR="00F37C1A" w:rsidRDefault="00000000">
      <w:pPr>
        <w:ind w:leftChars="-300" w:left="-600"/>
        <w:rPr>
          <w:b/>
          <w:bCs/>
          <w:lang w:val="en-PH"/>
        </w:rPr>
      </w:pPr>
      <w:r>
        <w:rPr>
          <w:b/>
          <w:bCs/>
          <w:lang w:val="en-PH"/>
        </w:rPr>
        <w:t>MARI-FLOR A. DOLLAGA-LIBANG</w:t>
      </w:r>
    </w:p>
    <w:p w14:paraId="37B4C543" w14:textId="77777777" w:rsidR="00F37C1A" w:rsidRDefault="00000000">
      <w:pPr>
        <w:ind w:leftChars="-300" w:left="-600"/>
        <w:rPr>
          <w:lang w:val="en-PH"/>
        </w:rPr>
      </w:pPr>
      <w:r>
        <w:rPr>
          <w:lang w:val="en-PH"/>
        </w:rPr>
        <w:t>Regional Director</w:t>
      </w:r>
    </w:p>
    <w:sectPr w:rsidR="00F37C1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08B"/>
    <w:multiLevelType w:val="singleLevel"/>
    <w:tmpl w:val="4E3C108B"/>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165355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EFC425F"/>
    <w:rsid w:val="00942DD2"/>
    <w:rsid w:val="00C271AC"/>
    <w:rsid w:val="00F37C1A"/>
    <w:rsid w:val="0399751F"/>
    <w:rsid w:val="15B25EA5"/>
    <w:rsid w:val="1EFC425F"/>
    <w:rsid w:val="48443683"/>
    <w:rsid w:val="736A6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E233BD2"/>
  <w15:docId w15:val="{2D0F7E34-217B-468F-8882-7F859EEC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Yumico M. Supangan</cp:lastModifiedBy>
  <cp:revision>2</cp:revision>
  <dcterms:created xsi:type="dcterms:W3CDTF">2025-10-08T04:05:00Z</dcterms:created>
  <dcterms:modified xsi:type="dcterms:W3CDTF">2025-10-16T01:31:00Z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76A68CD281B945038667B5F5D02CF20C_13</vt:lpwstr>
  </property>
</Properties>
</file>